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Objectif principal : Faire comprendre la police des travailleuses chez les hyménoptères.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Objectifs secondaires 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Comprendre le mécanisme de régulation et ses changements de comportement en fonction du nombre de prétendants pour la reine (1 scénario pour 1 prétendant, et 1 scénario pour plusieurs (k) prétendants)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Comprendre l’intérêt de la transmission de la génétique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Listes des paramètres en jeu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 de prétendant changeant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limite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Formule pour le calcul des points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(¼ + 1/(2*k) ) / 2 = proportion de génétique en commun avec k le nombre de prétendants de la reine.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2 prétendant, les frères (œufs de la reine) et les neveux (œuf des autres ouvrières) ont 25 % du patrimoine en commun avec l’abeille contrôlé par l’utilisateur.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le calcul de point, s’il n’y a qu’un seul prétendant, il est plus rentable de tuer les œufs mâles de la reine.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deux prétendants, il n’y a aucun intérêt de tuer ni les œufs des autres ouvrières, ni ceuxde la reine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À partir de 3 prétendants, il est plus rentable de tuer les oeufs des autres ouvrières.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prétendants: 20%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4 -&gt; 19%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5 -&gt; 17,5%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Tend vers 12,5%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