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Proposition de Nom d’Équipe: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--Pizza pasta ou Sole Mio–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Redaco (2)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Cedecare (1)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Ctrl-E (Recentrons notre façon d’apprendre)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BumbleBizz (2)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Choix au hazard : Redaco a été sélectionné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 nom du projet sélectionné : BumbleBizz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C 2 D et 2 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Proposition du nom du jeu 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 Police (2)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–L’abeille police–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–Deborah (abeille en hébreu)--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L’abeille Baillé (1)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police rayée jaune et noire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Queenlegacy (2)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Supremacy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RGBee (2)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BeeHunter (1)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Egghunter (2)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Suite à une égalité entre RGBee et EggHunter, le nom du jeu sera EggHunter. Pour mettre tout le monde d’accord, le nom d’équipe change pour RGBee qui plait à plus de monde que Redaco.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Conclusion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Nom d’équipe : RGBee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Nom du projet : BumbleBizz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Nom du jeu : EggHunter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