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48xzdekmy3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40"/>
        <w:gridCol w:w="2400"/>
        <w:gridCol w:w="1380"/>
        <w:gridCol w:w="1260"/>
        <w:tblGridChange w:id="0">
          <w:tblGrid>
            <w:gridCol w:w="5040"/>
            <w:gridCol w:w="2400"/>
            <w:gridCol w:w="1380"/>
            <w:gridCol w:w="12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Alfredo Benjamín Castro Alarcón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Diurna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2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85"/>
        <w:gridCol w:w="1260"/>
        <w:gridCol w:w="3540"/>
        <w:tblGridChange w:id="0">
          <w:tblGrid>
            <w:gridCol w:w="1935"/>
            <w:gridCol w:w="1020"/>
            <w:gridCol w:w="930"/>
            <w:gridCol w:w="1050"/>
            <w:gridCol w:w="1185"/>
            <w:gridCol w:w="1260"/>
            <w:gridCol w:w="354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bookmarkStart w:colFirst="0" w:colLast="0" w:name="_heading=h.jvyponqio3ps" w:id="1"/>
            <w:bookmarkEnd w:id="1"/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 de productos/procesos. 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Aprobada la línea de Calidad de Software. Dominio práctico de metodologías de prueba y aseguramiento de calidad técnica.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2. Propuestas de solución informática integral. 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Solvencia para integrar requerimientos de negocio, arquitectura y desarrollo en proyectos de escala académica/junior.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3. Gestionar proyectos informáticos. 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Conocimiento sólido de marcos ágiles e híbridos sustentado por la especialización Duoc UC, requiriendo mayor rodaje en producción.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4. Construir modelos de datos y Big Data. 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Competencia lograda a nivel funcional. Capacidad para estructurar bases de datos relacionales, con oportunidad de mejora en entornos masivos.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5. Modelo arquitectónico de solución sistémica. 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Capacidad para diseñar arquitecturas de software aplicando integración de plataformas, capas de persistencia y patrones básicos.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6. Desarrollar solución de software y mantenimiento. 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Dominio técnico funcional en desarrollo Fullstack y Web con control de versiones (Git).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7. Programar consultas o rutinas para manipular BD. 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Construcción efectiva de consultas SQL y procedimientos almacenados para la lógica de negocio.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8. Construir programas y automatizar procesos. 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Habilidad lógica para resolver algoritmos y automatizar flujos operativos mediante software. 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9. Resolver vulnerabilidades sistémicas (Seguridad). 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Sólida base teórica y práctica en seguridad computacional, respaldada por certificaciones iniciales de la industria (Cisco/CertiProf).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10. Comunicación oral y escrita en Inglés (Intermedio Alto). 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Aprobación de la línea de inglés hasta nivel Intermedio Alto, con capacidad fluida de comprensión y redacción técnica. 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2Q0ExxxXkIYlJXEh09mfP+qTvw==">CgMxLjAyDmguaDQ4eHpkZWtteTNoMg5oLmp2eXBvbnFpbzNwczgAciExS0hhQmN6VzBtNDh0RzVuWko1MGJWNVBCLVVXbWlncWI=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