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2425.7031250000005" w:hRule="atLeast"/>
          <w:tblHeader w:val="0"/>
        </w:trPr>
        <w:tc>
          <w:tcPr>
            <w:shd w:fill="deeaf6" w:val="clear"/>
            <w:vAlign w:val="center"/>
          </w:tcPr>
          <w:p w:rsidR="00000000" w:rsidDel="00000000" w:rsidP="00000000" w:rsidRDefault="00000000" w:rsidRPr="00000000" w14:paraId="00000009">
            <w:pPr>
              <w:jc w:val="both"/>
              <w:rPr>
                <w:rFonts w:ascii="Arial" w:cs="Arial" w:eastAsia="Arial" w:hAnsi="Arial"/>
                <w:sz w:val="20"/>
                <w:szCs w:val="20"/>
              </w:rPr>
            </w:pPr>
            <w:r w:rsidDel="00000000" w:rsidR="00000000" w:rsidRPr="00000000">
              <w:rPr>
                <w:sz w:val="24"/>
                <w:szCs w:val="24"/>
                <w:rtl w:val="0"/>
              </w:rPr>
              <w:t xml:space="preserve">¿Has podido cumplir todas las actividades en los tiempos definidos? ¿Qué factores han facilitado o </w:t>
            </w:r>
            <w:r w:rsidDel="00000000" w:rsidR="00000000" w:rsidRPr="00000000">
              <w:rPr>
                <w:rFonts w:ascii="Arial" w:cs="Arial" w:eastAsia="Arial" w:hAnsi="Arial"/>
                <w:sz w:val="20"/>
                <w:szCs w:val="20"/>
                <w:rtl w:val="0"/>
              </w:rPr>
              <w:t xml:space="preserve">dificultado el desarrollo de las actividades de tu plan de trabajo?</w:t>
            </w:r>
          </w:p>
          <w:p w:rsidR="00000000" w:rsidDel="00000000" w:rsidP="00000000" w:rsidRDefault="00000000" w:rsidRPr="00000000" w14:paraId="0000000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line="276" w:lineRule="auto"/>
              <w:jc w:val="both"/>
              <w:rPr>
                <w:sz w:val="20"/>
                <w:szCs w:val="20"/>
              </w:rPr>
            </w:pPr>
            <w:r w:rsidDel="00000000" w:rsidR="00000000" w:rsidRPr="00000000">
              <w:rPr>
                <w:rFonts w:ascii="Arial" w:cs="Arial" w:eastAsia="Arial" w:hAnsi="Arial"/>
                <w:sz w:val="20"/>
                <w:szCs w:val="20"/>
                <w:rtl w:val="0"/>
              </w:rPr>
              <w:t xml:space="preserve">Cumplimos los tiempos gracias a SCRUM y Sprints semanales. Nos facilitó usar Docker, PostgreSQL 16 con SQLAlchemy y el script de semilla para poblar </w:t>
            </w:r>
            <w:r w:rsidDel="00000000" w:rsidR="00000000" w:rsidRPr="00000000">
              <w:rPr>
                <w:rFonts w:ascii="Arial" w:cs="Arial" w:eastAsia="Arial" w:hAnsi="Arial"/>
                <w:sz w:val="20"/>
                <w:szCs w:val="20"/>
                <w:rtl w:val="0"/>
              </w:rPr>
              <w:t xml:space="preserve">clearbid_db</w:t>
            </w:r>
            <w:r w:rsidDel="00000000" w:rsidR="00000000" w:rsidRPr="00000000">
              <w:rPr>
                <w:rFonts w:ascii="Arial" w:cs="Arial" w:eastAsia="Arial" w:hAnsi="Arial"/>
                <w:sz w:val="20"/>
                <w:szCs w:val="20"/>
                <w:rtl w:val="0"/>
              </w:rPr>
              <w:t xml:space="preserve">. La dificultad fue procesar y estructurar la información dispersa en PDFs de registros públicos de condados para el motor de reglas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sz w:val="20"/>
                <w:szCs w:val="20"/>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spacing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Normalice la base PostgreSQL con SQLAlchemy para persistir los datos extraídos de PDFs y cargas desde </w:t>
            </w:r>
            <w:r w:rsidDel="00000000" w:rsidR="00000000" w:rsidRPr="00000000">
              <w:rPr>
                <w:rFonts w:ascii="Roboto Mono" w:cs="Roboto Mono" w:eastAsia="Roboto Mono" w:hAnsi="Roboto Mono"/>
                <w:sz w:val="20"/>
                <w:szCs w:val="20"/>
                <w:rtl w:val="0"/>
              </w:rPr>
              <w:t xml:space="preserve">/admin</w:t>
            </w:r>
            <w:r w:rsidDel="00000000" w:rsidR="00000000" w:rsidRPr="00000000">
              <w:rPr>
                <w:rFonts w:ascii="Arial" w:cs="Arial" w:eastAsia="Arial" w:hAnsi="Arial"/>
                <w:color w:val="1f1f1f"/>
                <w:sz w:val="20"/>
                <w:szCs w:val="20"/>
                <w:rtl w:val="0"/>
              </w:rPr>
              <w:t xml:space="preserve"> o la API. Aislé la lógica del motor de reglas para evaluar con precisión el semáforo de riesgo (rojo, amarillo, verde). Además, fijé contratos de API estandarizados con el frontend para evitar ajustes en el código base. </w:t>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Cumplimos los objetivos con SCRUM gracias al uso de Docker, PostgreSQL 16 con SQLAlchemy y el </w:t>
            </w:r>
            <w:r w:rsidDel="00000000" w:rsidR="00000000" w:rsidRPr="00000000">
              <w:rPr>
                <w:rFonts w:ascii="Arial" w:cs="Arial" w:eastAsia="Arial" w:hAnsi="Arial"/>
                <w:i w:val="1"/>
                <w:iCs w:val="1"/>
                <w:sz w:val="20"/>
                <w:szCs w:val="20"/>
                <w:rtl w:val="0"/>
              </w:rPr>
              <w:t xml:space="preserve">seed script</w:t>
            </w:r>
            <w:r w:rsidDel="00000000" w:rsidR="00000000" w:rsidRPr="00000000">
              <w:rPr>
                <w:rFonts w:ascii="Arial" w:cs="Arial" w:eastAsia="Arial" w:hAnsi="Arial"/>
                <w:sz w:val="20"/>
                <w:szCs w:val="20"/>
                <w:rtl w:val="0"/>
              </w:rPr>
              <w:t xml:space="preserve"> para la base </w:t>
            </w:r>
            <w:r w:rsidDel="00000000" w:rsidR="00000000" w:rsidRPr="00000000">
              <w:rPr>
                <w:rFonts w:ascii="Arial" w:cs="Arial" w:eastAsia="Arial" w:hAnsi="Arial"/>
                <w:sz w:val="20"/>
                <w:szCs w:val="20"/>
                <w:rtl w:val="0"/>
              </w:rPr>
              <w:t xml:space="preserve">clearbid_db</w:t>
            </w:r>
            <w:r w:rsidDel="00000000" w:rsidR="00000000" w:rsidRPr="00000000">
              <w:rPr>
                <w:rFonts w:ascii="Arial" w:cs="Arial" w:eastAsia="Arial" w:hAnsi="Arial"/>
                <w:sz w:val="20"/>
                <w:szCs w:val="20"/>
                <w:rtl w:val="0"/>
              </w:rPr>
              <w:t xml:space="preserve">. Superé la dificultad de los PDFs públicos de condados normalizando la base relacional, aislando el motor de reglas (semáforo) y estandarizando la API para ingresos desde </w:t>
            </w:r>
            <w:r w:rsidDel="00000000" w:rsidR="00000000" w:rsidRPr="00000000">
              <w:rPr>
                <w:rFonts w:ascii="Arial" w:cs="Arial" w:eastAsia="Arial" w:hAnsi="Arial"/>
                <w:sz w:val="20"/>
                <w:szCs w:val="20"/>
                <w:rtl w:val="0"/>
              </w:rPr>
              <w:t xml:space="preserve">/admin</w:t>
            </w:r>
            <w:r w:rsidDel="00000000" w:rsidR="00000000" w:rsidRPr="00000000">
              <w:rPr>
                <w:rFonts w:ascii="Arial" w:cs="Arial" w:eastAsia="Arial" w:hAnsi="Arial"/>
                <w:sz w:val="20"/>
                <w:szCs w:val="20"/>
                <w:rtl w:val="0"/>
              </w:rPr>
              <w:t xml:space="preserve">. Evalúo mi gestión positivamente al lograr la persistencia y evaluación de riesgos, enfocando la mejora en optimizar la ingesta de PDFs y sumar pruebas unitarias.</w:t>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spacing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Inquietud principal:</w:t>
            </w:r>
          </w:p>
          <w:p w:rsidR="00000000" w:rsidDel="00000000" w:rsidP="00000000" w:rsidRDefault="00000000" w:rsidRPr="00000000" w14:paraId="0000002A">
            <w:pPr>
              <w:spacing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Mi mayor inquietud es cómo escalar la extracción de datos de las propiedades de los condados si cambian sus formatos o formatos complejos en el futuro, y si las métricas del motor de reglas (semáforo) requerirán ajustes dinámicos según el tipo de propiedad.</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rFonts w:ascii="Arial" w:cs="Arial" w:eastAsia="Arial" w:hAnsi="Arial"/>
                <w:color w:val="767171"/>
              </w:rPr>
            </w:pPr>
            <w:r w:rsidDel="00000000" w:rsidR="00000000" w:rsidRPr="00000000">
              <w:rPr>
                <w:rtl w:val="0"/>
              </w:rPr>
            </w:r>
          </w:p>
          <w:p w:rsidR="00000000" w:rsidDel="00000000" w:rsidP="00000000" w:rsidRDefault="00000000" w:rsidRPr="00000000" w14:paraId="00000032">
            <w:pPr>
              <w:spacing w:line="276" w:lineRule="auto"/>
              <w:jc w:val="both"/>
              <w:rPr>
                <w:color w:val="767171"/>
                <w:sz w:val="24"/>
                <w:szCs w:val="24"/>
              </w:rPr>
            </w:pPr>
            <w:r w:rsidDel="00000000" w:rsidR="00000000" w:rsidRPr="00000000">
              <w:rPr>
                <w:rFonts w:ascii="Arial" w:cs="Arial" w:eastAsia="Arial" w:hAnsi="Arial"/>
                <w:color w:val="1f1f1f"/>
                <w:sz w:val="20"/>
                <w:szCs w:val="20"/>
                <w:rtl w:val="0"/>
              </w:rPr>
              <w:t xml:space="preserve">No considero necesaria una redistribución general del trabajo, ya que la división por roles ha funcionado bien hasta ahora</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5fkqjuql89b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spacing w:line="276" w:lineRule="auto"/>
              <w:jc w:val="both"/>
              <w:rPr>
                <w:color w:val="1f1f1f"/>
              </w:rPr>
            </w:pPr>
            <w:r w:rsidDel="00000000" w:rsidR="00000000" w:rsidRPr="00000000">
              <w:rPr>
                <w:color w:val="1f1f1f"/>
                <w:rtl w:val="0"/>
              </w:rPr>
              <w:t xml:space="preserve">Evaluación general:</w:t>
            </w:r>
          </w:p>
          <w:p w:rsidR="00000000" w:rsidDel="00000000" w:rsidP="00000000" w:rsidRDefault="00000000" w:rsidRPr="00000000" w14:paraId="0000003B">
            <w:pPr>
              <w:spacing w:line="276" w:lineRule="auto"/>
              <w:jc w:val="both"/>
              <w:rPr>
                <w:color w:val="1f1f1f"/>
              </w:rPr>
            </w:pPr>
            <w:r w:rsidDel="00000000" w:rsidR="00000000" w:rsidRPr="00000000">
              <w:rPr>
                <w:color w:val="1f1f1f"/>
                <w:rtl w:val="0"/>
              </w:rPr>
              <w:t xml:space="preserve">El trabajo grupal fue muy positivo, mantuvimos excelente ritmo y coordinación con SCRUM y sprints semanales.</w:t>
            </w:r>
          </w:p>
          <w:p w:rsidR="00000000" w:rsidDel="00000000" w:rsidP="00000000" w:rsidRDefault="00000000" w:rsidRPr="00000000" w14:paraId="0000003C">
            <w:pPr>
              <w:spacing w:line="276" w:lineRule="auto"/>
              <w:jc w:val="both"/>
              <w:rPr>
                <w:color w:val="1f1f1f"/>
              </w:rPr>
            </w:pPr>
            <w:r w:rsidDel="00000000" w:rsidR="00000000" w:rsidRPr="00000000">
              <w:rPr>
                <w:rtl w:val="0"/>
              </w:rPr>
            </w:r>
          </w:p>
          <w:p w:rsidR="00000000" w:rsidDel="00000000" w:rsidP="00000000" w:rsidRDefault="00000000" w:rsidRPr="00000000" w14:paraId="0000003D">
            <w:pPr>
              <w:spacing w:line="276" w:lineRule="auto"/>
              <w:jc w:val="both"/>
              <w:rPr>
                <w:color w:val="1f1f1f"/>
              </w:rPr>
            </w:pPr>
            <w:r w:rsidDel="00000000" w:rsidR="00000000" w:rsidRPr="00000000">
              <w:rPr>
                <w:color w:val="1f1f1f"/>
                <w:rtl w:val="0"/>
              </w:rPr>
              <w:t xml:space="preserve">Aspectos positivos:</w:t>
            </w:r>
          </w:p>
          <w:p w:rsidR="00000000" w:rsidDel="00000000" w:rsidP="00000000" w:rsidRDefault="00000000" w:rsidRPr="00000000" w14:paraId="0000003E">
            <w:pPr>
              <w:spacing w:line="276" w:lineRule="auto"/>
              <w:jc w:val="both"/>
              <w:rPr>
                <w:color w:val="1f1f1f"/>
              </w:rPr>
            </w:pPr>
            <w:r w:rsidDel="00000000" w:rsidR="00000000" w:rsidRPr="00000000">
              <w:rPr>
                <w:color w:val="1f1f1f"/>
                <w:rtl w:val="0"/>
              </w:rPr>
              <w:t xml:space="preserve">Destaco la clara división de roles y la integración fluida entre PostgreSQL 16, la API y el frontend.</w:t>
            </w:r>
          </w:p>
          <w:p w:rsidR="00000000" w:rsidDel="00000000" w:rsidP="00000000" w:rsidRDefault="00000000" w:rsidRPr="00000000" w14:paraId="0000003F">
            <w:pPr>
              <w:spacing w:line="276" w:lineRule="auto"/>
              <w:jc w:val="both"/>
              <w:rPr>
                <w:color w:val="1f1f1f"/>
              </w:rPr>
            </w:pPr>
            <w:r w:rsidDel="00000000" w:rsidR="00000000" w:rsidRPr="00000000">
              <w:rPr>
                <w:rtl w:val="0"/>
              </w:rPr>
            </w:r>
          </w:p>
          <w:p w:rsidR="00000000" w:rsidDel="00000000" w:rsidP="00000000" w:rsidRDefault="00000000" w:rsidRPr="00000000" w14:paraId="00000040">
            <w:pPr>
              <w:spacing w:line="276" w:lineRule="auto"/>
              <w:jc w:val="both"/>
              <w:rPr>
                <w:color w:val="1f1f1f"/>
              </w:rPr>
            </w:pPr>
            <w:r w:rsidDel="00000000" w:rsidR="00000000" w:rsidRPr="00000000">
              <w:rPr>
                <w:color w:val="1f1f1f"/>
                <w:rtl w:val="0"/>
              </w:rPr>
              <w:t xml:space="preserve">Aspectos a mejorar:</w:t>
            </w:r>
          </w:p>
          <w:p w:rsidR="00000000" w:rsidDel="00000000" w:rsidP="00000000" w:rsidRDefault="00000000" w:rsidRPr="00000000" w14:paraId="00000041">
            <w:pPr>
              <w:spacing w:line="276" w:lineRule="auto"/>
              <w:jc w:val="both"/>
              <w:rPr>
                <w:color w:val="1f1f1f"/>
              </w:rPr>
            </w:pPr>
            <w:r w:rsidDel="00000000" w:rsidR="00000000" w:rsidRPr="00000000">
              <w:rPr>
                <w:color w:val="1f1f1f"/>
                <w:rtl w:val="0"/>
              </w:rPr>
              <w:t xml:space="preserve">Debemos sincronizarnos mejor para manejar PDFs inusuales de condados y formalizar pruebas de integración punta a punta del motor de reglas.</w:t>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84SLspuELQn2h45uvLaSvvJc9Q==">CgMxLjAyDmguNWZrcWp1cWw4OWJtOAByITFrcEtJV1dXOTZIcno0N2szeGRWYVRVbU53X09jY21RaQ==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