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812u469kpsr9"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9408</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9408</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cantSplit/>
          <w:cantSplit/>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cantSplit/>
          <w:cantSplit/>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0"/>
        <w:gridCol w:w="7125"/>
        <w:tblGridChange w:id="0">
          <w:tblGrid>
            <w:gridCol w:w="2520"/>
            <w:gridCol w:w="7125"/>
          </w:tblGrid>
        </w:tblGridChange>
      </w:tblGrid>
      <w:tr>
        <w:trPr>
          <w:cantSplit w:val="0"/>
          <w:tblHeader w:val="0"/>
          <w:cantSplit/>
          <w:cantSplit/>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240" w:lineRule="auto"/>
              <w:rPr/>
            </w:pPr>
            <w:r/>
            <w:r>
              <w:t>En la etapa inicial de Fase 2 se reportó la preparación de una base local con PostgreSQL, Docker, FastAPI y Alembic, además del inicio de la interfaz React/TypeScript. Ese registro describe el hito de trabajo original; no debe confundirse con la configuración revisada después, cuyo docker-compose conecta la API con PostgreSQL alojado en Supabase y no inicia una base PostgreSQL local.</w:t>
            </w:r>
          </w:p>
          <w:p>
            <w:r>
              <w:t>Al corte complementario del 19 de octubre de 2026, el equipo informa una evolución hacia Supabase, el levantamiento de un primer prototipo publicado y un flujo de verificación por correo desarrollado por Cristopher. La captura aportada muestra una interfaz autenticada con 11 registros visibles. La consulta de GitHub identifica cinco ramas; la única con un commit diferencial reciente respecto de main es feature/frontend, cuyo cambio abarca también archivos de backend y configuración. La integración completa y la procedencia de los datos no se consideran verificadas.</w:t>
            </w:r>
          </w:p>
        </w:tc>
      </w:tr>
      <w:tr>
        <w:trPr>
          <w:cantSplit w:val="0"/>
          <w:trHeight w:val="1247" w:hRule="atLeast"/>
          <w:tblHeader w:val="0"/>
          <w:cantSplit/>
          <w:cantSplit/>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spacing w:after="240" w:before="240" w:lineRule="auto"/>
              <w:jc w:val="both"/>
              <w:rPr>
                <w:sz w:val="20"/>
                <w:szCs w:val="20"/>
              </w:rPr>
            </w:pPr>
            <w:r/>
            <w:r>
              <w:t>Objetivo general: avanzar hacia un prototipo funcional que centralice información de propiedades de subasta y apoye la evaluación previa a una oferta.</w:t>
            </w:r>
          </w:p>
          <w:p>
            <w:r>
              <w:t>En Fase 2 se priorizaron la estructura modular, una API inicial, el modelo de datos, el entorno de desarrollo y una interfaz demostrable. La validación de la integración entre componentes continúa pendiente.</w:t>
            </w:r>
          </w:p>
          <w:p>
            <w:r>
              <w:t>El alcance de Fase 1 incluyó información financiera, legal y física, clasificación de riesgo, filtros, visualización geográfica, alertas y herramientas administrativas. Estos elementos se mantienen como objetivos del producto; no todos cuentan con evidencia de implementación en el corte actual.</w:t>
            </w:r>
          </w:p>
        </w:tc>
      </w:tr>
      <w:tr>
        <w:trPr>
          <w:cantSplit w:val="0"/>
          <w:trHeight w:val="939" w:hRule="atLeast"/>
          <w:tblHeader w:val="0"/>
          <w:cantSplit/>
          <w:cantSplit/>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1">
            <w:pPr>
              <w:jc w:val="both"/>
              <w:rPr>
                <w:rFonts w:ascii="Calibri" w:cs="Calibri" w:eastAsia="Calibri" w:hAnsi="Calibri"/>
                <w:sz w:val="20"/>
                <w:szCs w:val="20"/>
              </w:rPr>
            </w:pPr>
            <w:r>
              <w:t>La guía de Fase 2 declara Scrum con sprints quincenales y coordinación asíncrona por restricciones de horario. En el plan de trabajo aparecen Trello, documentos compartidos y GitHub como recursos. Alfredo informa que no ha utilizado Trello; en los materiales revisados no se adjuntó captura ni exportación del tablero. Por tanto, Trello y Scrum se registran como metodología/herramientas declaradas o planificadas, no como seguimiento operativo corroborado. No hay evidencia suficiente para confirmar la ejecución o cumplimiento de cada sprint.</w:t>
            </w:r>
          </w:p>
          <w:p>
            <w:r>
              <w:t>Las ramas se asociaron inicialmente a áreas técnicas para organizar el trabajo, pero el equipo aclara que los integrantes trabajaron de forma transversal y realizaron pruebas y versiones propias. La asignación de roles se conserva como planificación, no como prueba de autoría exclusiva.</w:t>
            </w:r>
          </w:p>
        </w:tc>
      </w:tr>
      <w:tr>
        <w:trPr>
          <w:cantSplit w:val="0"/>
          <w:trHeight w:val="2377" w:hRule="atLeast"/>
          <w:tblHeader w:val="0"/>
          <w:cantSplit/>
          <w:cantSplit/>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3">
            <w:pPr>
              <w:jc w:val="both"/>
              <w:rPr>
                <w:sz w:val="20"/>
                <w:szCs w:val="20"/>
              </w:rPr>
            </w:pPr>
            <w:r/>
            <w:r>
              <w:t>Evidencia histórica consignada en el informe original: se declararon capturas de Swagger con GET/POST de propiedades y una respuesta 201 para una propiedad de prueba con clasificación de riesgo roja. El archivo entregado no contiene esas capturas incrustadas. Además, Errores en pruebas.txt registra respuestas 200 donde las pruebas esperaban 201 y 401. Por ello, el resultado 201 se conserva como antecedente declarado en el informe, no como resultado corroborado en esta revisión.</w:t>
            </w:r>
          </w:p>
          <w:p>
            <w:r>
              <w:t>Evidencia actual formalizada: listado y comparación de las cinco ramas en GitHub; commit reciente de feature/frontend; estructura de backend/web y documentación de Supabase en main; captura del prototipo publicado en Netlify; aportes de implementación declarados por el equipo. Cada tipo de evidencia y sus límites se detallan en la sección 4.</w:t>
            </w:r>
          </w:p>
        </w:tc>
      </w:tr>
    </w:tbl>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sdt>
      <w:sdtPr>
        <w:lock w:val="contentLocked"/>
        <w:id w:val="429295364"/>
        <w:tag w:val="goog_rdk_0"/>
      </w:sdtPr>
      <w:sdtContent>
        <w:tbl>
          <w:tblPr>
            <w:tblStyle w:val="Table3"/>
            <w:tblpPr w:leftFromText="180" w:rightFromText="180" w:topFromText="180" w:bottomFromText="180" w:vertAnchor="text" w:horzAnchor="text" w:tblpX="-740.9999999999997" w:tblpY="0"/>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p w:rsidR="00000000" w:rsidDel="00000000" w:rsidP="00000000" w:rsidRDefault="00000000" w:rsidRPr="00000000" w14:paraId="00000028">
                <w:pPr>
                  <w:widowControl w:val="0"/>
                  <w:spacing w:after="0" w:line="240" w:lineRule="auto"/>
                  <w:rPr>
                    <w:b w:val="1"/>
                    <w:bCs w:val="1"/>
                    <w:color w:val="0b5394"/>
                    <w:sz w:val="24"/>
                    <w:szCs w:val="24"/>
                  </w:rPr>
                </w:pPr>
                <w:r w:rsidDel="00000000" w:rsidR="00000000" w:rsidRPr="00000000">
                  <w:rPr>
                    <w:b w:val="1"/>
                    <w:bCs w:val="1"/>
                    <w:color w:val="0b5394"/>
                    <w:sz w:val="24"/>
                    <w:szCs w:val="24"/>
                    <w:rtl w:val="0"/>
                  </w:rPr>
                  <w:t xml:space="preserve">2. Monitoreo Del Plan de Trabajo</w:t>
                </w:r>
              </w:p>
            </w:tc>
          </w:tr>
          <w:tr>
            <w:trPr>
              <w:cantSplit w:val="0"/>
              <w:tblHeader w:val="0"/>
            </w:trPr>
            <w:tc>
              <w:tcPr/>
              <w:p w:rsidR="00000000" w:rsidDel="00000000" w:rsidP="00000000" w:rsidRDefault="00000000" w:rsidRPr="00000000" w14:paraId="00000029">
                <w:pPr>
                  <w:jc w:val="both"/>
                  <w:rPr>
                    <w:color w:val="595959"/>
                    <w:sz w:val="24"/>
                    <w:szCs w:val="2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sdtContent>
    </w:sdt>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1">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726" w:tblpY="4830"/>
        <w:tblW w:w="100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395"/>
        <w:gridCol w:w="960"/>
        <w:gridCol w:w="1275"/>
        <w:gridCol w:w="1275"/>
        <w:gridCol w:w="1485"/>
        <w:gridCol w:w="1035"/>
        <w:gridCol w:w="1260"/>
        <w:tblGridChange w:id="0">
          <w:tblGrid>
            <w:gridCol w:w="1335"/>
            <w:gridCol w:w="1395"/>
            <w:gridCol w:w="960"/>
            <w:gridCol w:w="1275"/>
            <w:gridCol w:w="1275"/>
            <w:gridCol w:w="1485"/>
            <w:gridCol w:w="1035"/>
            <w:gridCol w:w="1260"/>
          </w:tblGrid>
        </w:tblGridChange>
      </w:tblGrid>
      <w:tr>
        <w:trPr>
          <w:cantSplit w:val="0"/>
          <w:trHeight w:val="415" w:hRule="atLeast"/>
          <w:tblHeader w:val="0"/>
          <w:cantSplit/>
          <w:cantSplit/>
        </w:trPr>
        <w:tc>
          <w:tcPr>
            <w:gridSpan w:val="8"/>
            <w:vAlign w:val="center"/>
          </w:tcPr>
          <w:p w:rsidR="00000000" w:rsidDel="00000000" w:rsidP="00000000" w:rsidRDefault="00000000" w:rsidRPr="00000000" w14:paraId="00000032">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cantSplit/>
          <w:cantSplit/>
        </w:trPr>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40">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41">
            <w:pPr>
              <w:jc w:val="center"/>
              <w:rPr>
                <w:color w:val="1f3864"/>
                <w:sz w:val="18"/>
                <w:szCs w:val="18"/>
              </w:rPr>
            </w:pPr>
            <w:r w:rsidDel="00000000" w:rsidR="00000000" w:rsidRPr="00000000">
              <w:rPr>
                <w:color w:val="1f3864"/>
                <w:sz w:val="18"/>
                <w:szCs w:val="18"/>
                <w:rtl w:val="0"/>
              </w:rPr>
              <w:t xml:space="preserve">Ajustes</w:t>
            </w:r>
          </w:p>
        </w:tc>
      </w:tr>
      <w:tr>
        <w:trPr>
          <w:cantSplit w:val="0"/>
          <w:trHeight w:val="1093.8736979166665" w:hRule="atLeast"/>
          <w:tblHeader w:val="0"/>
          <w:cantSplit/>
          <w:cantSplit/>
        </w:trPr>
        <w:tc>
          <w:tcPr/>
          <w:p w:rsidR="00000000" w:rsidDel="00000000" w:rsidP="00000000" w:rsidRDefault="00000000" w:rsidRPr="00000000" w14:paraId="00000042">
            <w:pPr>
              <w:jc w:val="both"/>
              <w:rPr>
                <w:b w:val="1"/>
                <w:bCs w:val="1"/>
                <w:sz w:val="16"/>
                <w:szCs w:val="16"/>
              </w:rPr>
            </w:pPr>
            <w:r w:rsidDel="00000000" w:rsidR="00000000" w:rsidRPr="00000000">
              <w:rPr>
                <w:sz w:val="16"/>
                <w:szCs w:val="16"/>
                <w:rtl w:val="0"/>
              </w:rPr>
              <w:t xml:space="preserve">Gestión de Proyectos TI </w:t>
            </w:r>
            <w:r w:rsidDel="00000000" w:rsidR="00000000" w:rsidRPr="00000000">
              <w:rPr>
                <w:rtl w:val="0"/>
              </w:rPr>
            </w:r>
          </w:p>
        </w:tc>
        <w:tc>
          <w:tcPr/>
          <w:p w:rsidR="00000000" w:rsidDel="00000000" w:rsidP="00000000" w:rsidRDefault="00000000" w:rsidRPr="00000000" w14:paraId="00000043">
            <w:pPr>
              <w:jc w:val="both"/>
              <w:rPr>
                <w:sz w:val="16"/>
                <w:szCs w:val="16"/>
              </w:rPr>
            </w:pPr>
            <w:r w:rsidDel="00000000" w:rsidR="00000000" w:rsidRPr="00000000">
              <w:rPr>
                <w:sz w:val="16"/>
                <w:szCs w:val="16"/>
                <w:rtl w:val="0"/>
              </w:rPr>
              <w:t xml:space="preserve">Planificación, Backlog y Coordinación con Cliente </w:t>
            </w:r>
            <w:r w:rsidDel="00000000" w:rsidR="00000000" w:rsidRPr="00000000">
              <w:rPr>
                <w:rtl w:val="0"/>
              </w:rPr>
            </w:r>
          </w:p>
        </w:tc>
        <w:tc>
          <w:tcPr/>
          <w:p>
            <w:r>
              <w:t>Trello (declarado/planificado; uso no corroborado), documentos compartidos y GitHub</w:t>
            </w:r>
          </w:p>
        </w:tc>
        <w:tc>
          <w:tcPr/>
          <w:p w:rsidR="00000000" w:rsidDel="00000000" w:rsidP="00000000" w:rsidRDefault="00000000" w:rsidRPr="00000000" w14:paraId="00000045">
            <w:pPr>
              <w:jc w:val="both"/>
              <w:rPr>
                <w:sz w:val="16"/>
                <w:szCs w:val="16"/>
              </w:rPr>
            </w:pPr>
            <w:r w:rsidDel="00000000" w:rsidR="00000000" w:rsidRPr="00000000">
              <w:rPr>
                <w:sz w:val="16"/>
                <w:szCs w:val="16"/>
                <w:rtl w:val="0"/>
              </w:rPr>
              <w:t xml:space="preserve">Semanas 1 - 3 </w:t>
            </w:r>
          </w:p>
        </w:tc>
        <w:tc>
          <w:tcPr/>
          <w:p w:rsidR="00000000" w:rsidDel="00000000" w:rsidP="00000000" w:rsidRDefault="00000000" w:rsidRPr="00000000" w14:paraId="00000046">
            <w:pPr>
              <w:jc w:val="both"/>
              <w:rPr>
                <w:sz w:val="16"/>
                <w:szCs w:val="16"/>
              </w:rPr>
            </w:pPr>
            <w:r w:rsidDel="00000000" w:rsidR="00000000" w:rsidRPr="00000000">
              <w:rPr>
                <w:sz w:val="16"/>
                <w:szCs w:val="16"/>
                <w:rtl w:val="0"/>
              </w:rPr>
              <w:t xml:space="preserve">Alfredo Castro </w:t>
            </w:r>
            <w:r w:rsidDel="00000000" w:rsidR="00000000" w:rsidRPr="00000000">
              <w:rPr>
                <w:rtl w:val="0"/>
              </w:rPr>
            </w:r>
          </w:p>
        </w:tc>
        <w:tc>
          <w:tcPr/>
          <w:p>
            <w:r>
              <w:t>Alfredo indica que no ha utilizado Trello. La carpeta revisada no contiene captura o exportación del tablero; falta confirmar si otros integrantes lo han usado.</w:t>
            </w:r>
          </w:p>
        </w:tc>
        <w:tc>
          <w:tcPr/>
          <w:p>
            <w:r>
              <w:t>Planificación consignada; seguimiento en Trello no verificado</w:t>
            </w:r>
          </w:p>
        </w:tc>
        <w:tc>
          <w:tcPr/>
          <w:p>
            <w:r>
              <w:t>Confirmar el tablero activo y respaldar tareas/fechas; si no se utiliza, documentar el mecanismo real de seguimiento.</w:t>
            </w:r>
          </w:p>
        </w:tc>
      </w:tr>
      <w:tr>
        <w:trPr>
          <w:cantSplit w:val="0"/>
          <w:trHeight w:val="690" w:hRule="atLeast"/>
          <w:tblHeader w:val="0"/>
          <w:cantSplit/>
          <w:cantSplit/>
        </w:trPr>
        <w:tc>
          <w:tcPr/>
          <w:p w:rsidR="00000000" w:rsidDel="00000000" w:rsidP="00000000" w:rsidRDefault="00000000" w:rsidRPr="00000000" w14:paraId="0000004A">
            <w:pPr>
              <w:jc w:val="both"/>
              <w:rPr>
                <w:sz w:val="16"/>
                <w:szCs w:val="16"/>
              </w:rPr>
            </w:pPr>
            <w:r w:rsidDel="00000000" w:rsidR="00000000" w:rsidRPr="00000000">
              <w:rPr>
                <w:sz w:val="16"/>
                <w:szCs w:val="16"/>
                <w:rtl w:val="0"/>
              </w:rPr>
              <w:t xml:space="preserve">Gestión y Modelado de BD </w:t>
            </w:r>
          </w:p>
        </w:tc>
        <w:tc>
          <w:tcPr/>
          <w:p w:rsidR="00000000" w:rsidDel="00000000" w:rsidP="00000000" w:rsidRDefault="00000000" w:rsidRPr="00000000" w14:paraId="0000004B">
            <w:pPr>
              <w:jc w:val="both"/>
              <w:rPr>
                <w:sz w:val="16"/>
                <w:szCs w:val="16"/>
              </w:rPr>
            </w:pPr>
            <w:r w:rsidDel="00000000" w:rsidR="00000000" w:rsidRPr="00000000">
              <w:rPr>
                <w:sz w:val="16"/>
                <w:szCs w:val="16"/>
                <w:rtl w:val="0"/>
              </w:rPr>
              <w:t xml:space="preserve">Configuración PostgreSQL Local, Alembic y Modelado MVP </w:t>
            </w:r>
          </w:p>
        </w:tc>
        <w:tc>
          <w:tcPr/>
          <w:p w:rsidR="00000000" w:rsidDel="00000000" w:rsidP="00000000" w:rsidRDefault="00000000" w:rsidRPr="00000000" w14:paraId="0000004C">
            <w:pPr>
              <w:jc w:val="both"/>
              <w:rPr>
                <w:sz w:val="16"/>
                <w:szCs w:val="16"/>
              </w:rPr>
            </w:pPr>
            <w:r w:rsidDel="00000000" w:rsidR="00000000" w:rsidRPr="00000000">
              <w:rPr>
                <w:sz w:val="16"/>
                <w:szCs w:val="16"/>
                <w:rtl w:val="0"/>
              </w:rPr>
              <w:t xml:space="preserve">PostgreSQL, Alembic, Docker </w:t>
            </w:r>
          </w:p>
        </w:tc>
        <w:tc>
          <w:tcPr/>
          <w:p w:rsidR="00000000" w:rsidDel="00000000" w:rsidP="00000000" w:rsidRDefault="00000000" w:rsidRPr="00000000" w14:paraId="0000004D">
            <w:pPr>
              <w:jc w:val="both"/>
              <w:rPr>
                <w:sz w:val="16"/>
                <w:szCs w:val="16"/>
              </w:rPr>
            </w:pPr>
            <w:r w:rsidDel="00000000" w:rsidR="00000000" w:rsidRPr="00000000">
              <w:rPr>
                <w:sz w:val="16"/>
                <w:szCs w:val="16"/>
                <w:rtl w:val="0"/>
              </w:rPr>
              <w:t xml:space="preserve">Semanas 3 - 6 </w:t>
            </w:r>
          </w:p>
        </w:tc>
        <w:tc>
          <w:tcPr/>
          <w:p w:rsidR="00000000" w:rsidDel="00000000" w:rsidP="00000000" w:rsidRDefault="00000000" w:rsidRPr="00000000" w14:paraId="0000004E">
            <w:pPr>
              <w:jc w:val="both"/>
              <w:rPr>
                <w:sz w:val="16"/>
                <w:szCs w:val="16"/>
              </w:rPr>
            </w:pPr>
            <w:r w:rsidDel="00000000" w:rsidR="00000000" w:rsidRPr="00000000">
              <w:rPr>
                <w:sz w:val="16"/>
                <w:szCs w:val="16"/>
                <w:rtl w:val="0"/>
              </w:rPr>
              <w:t xml:space="preserve">Felipe Calderón </w:t>
            </w:r>
          </w:p>
        </w:tc>
        <w:tc>
          <w:tcPr/>
          <w:p w:rsidR="00000000" w:rsidDel="00000000" w:rsidP="00000000" w:rsidRDefault="00000000" w:rsidRPr="00000000" w14:paraId="0000004F">
            <w:pPr>
              <w:spacing w:after="40"/>
              <w:jc w:val="both"/>
              <w:rPr>
                <w:sz w:val="16"/>
                <w:szCs w:val="16"/>
              </w:rPr>
            </w:pPr>
            <w:r>
              <w:rPr>
                <w:sz w:val="17"/>
              </w:rPr>
            </w:r>
            <w:r>
              <w:rPr>
                <w:sz w:val="17"/>
              </w:rPr>
              <w:t>Felipe realizó el primer levantamiento local según el equipo. Alfredo informa la estructura Supabase y diez registros iniciales; Matías, población posterior de tablas y datos. feature/data-engine no presenta cambios exclusivos frente a main.</w:t>
            </w:r>
          </w:p>
        </w:tc>
        <w:tc>
          <w:tcPr/>
          <w:p w:rsidR="00000000" w:rsidDel="00000000" w:rsidP="00000000" w:rsidRDefault="00000000" w:rsidRPr="00000000" w14:paraId="00000050">
            <w:pPr>
              <w:spacing w:after="40"/>
              <w:jc w:val="both"/>
              <w:rPr>
                <w:sz w:val="16"/>
                <w:szCs w:val="16"/>
              </w:rPr>
            </w:pPr>
            <w:r>
              <w:rPr>
                <w:sz w:val="17"/>
              </w:rPr>
            </w:r>
            <w:r>
              <w:rPr>
                <w:sz w:val="17"/>
              </w:rPr>
              <w:t>Avance reportado; rama sin diferencia propia visible</w:t>
            </w:r>
          </w:p>
        </w:tc>
        <w:tc>
          <w:tcPr/>
          <w:p w:rsidR="00000000" w:rsidDel="00000000" w:rsidP="00000000" w:rsidRDefault="00000000" w:rsidRPr="00000000" w14:paraId="00000051">
            <w:pPr>
              <w:spacing w:after="40"/>
              <w:jc w:val="both"/>
              <w:rPr>
                <w:sz w:val="16"/>
                <w:szCs w:val="16"/>
              </w:rPr>
            </w:pPr>
            <w:r>
              <w:rPr>
                <w:sz w:val="17"/>
              </w:rPr>
            </w:r>
            <w:r>
              <w:rPr>
                <w:sz w:val="17"/>
              </w:rPr>
              <w:t>Publicar esquema y migraciones con commit identificable. Conciliar los diez registros iniciales con los 11 que muestra la captura del prototipo y validar origen/calidad.</w:t>
            </w:r>
          </w:p>
        </w:tc>
      </w:tr>
      <w:tr>
        <w:trPr>
          <w:cantSplit w:val="0"/>
          <w:trHeight w:val="810" w:hRule="atLeast"/>
          <w:tblHeader w:val="0"/>
          <w:cantSplit/>
          <w:cantSplit/>
        </w:trPr>
        <w:tc>
          <w:tcPr/>
          <w:p w:rsidR="00000000" w:rsidDel="00000000" w:rsidP="00000000" w:rsidRDefault="00000000" w:rsidRPr="00000000" w14:paraId="00000052">
            <w:pPr>
              <w:jc w:val="both"/>
              <w:rPr>
                <w:sz w:val="16"/>
                <w:szCs w:val="16"/>
              </w:rPr>
            </w:pPr>
            <w:r w:rsidDel="00000000" w:rsidR="00000000" w:rsidRPr="00000000">
              <w:rPr>
                <w:sz w:val="16"/>
                <w:szCs w:val="16"/>
                <w:rtl w:val="0"/>
              </w:rPr>
              <w:t xml:space="preserve">Desarrollo de Software / Ciberseguridad </w:t>
            </w:r>
          </w:p>
        </w:tc>
        <w:tc>
          <w:tcPr/>
          <w:p w:rsidR="00000000" w:rsidDel="00000000" w:rsidP="00000000" w:rsidRDefault="00000000" w:rsidRPr="00000000" w14:paraId="00000053">
            <w:pPr>
              <w:jc w:val="both"/>
              <w:rPr>
                <w:sz w:val="16"/>
                <w:szCs w:val="16"/>
              </w:rPr>
            </w:pPr>
            <w:r w:rsidDel="00000000" w:rsidR="00000000" w:rsidRPr="00000000">
              <w:rPr>
                <w:sz w:val="16"/>
                <w:szCs w:val="16"/>
                <w:rtl w:val="0"/>
              </w:rPr>
              <w:t xml:space="preserve">Desarrollo Backend API REST FastAPI y Motor de Riesgo </w:t>
            </w:r>
          </w:p>
        </w:tc>
        <w:tc>
          <w:tcPr/>
          <w:p w:rsidR="00000000" w:rsidDel="00000000" w:rsidP="00000000" w:rsidRDefault="00000000" w:rsidRPr="00000000" w14:paraId="00000054">
            <w:pPr>
              <w:jc w:val="both"/>
              <w:rPr>
                <w:sz w:val="16"/>
                <w:szCs w:val="16"/>
              </w:rPr>
            </w:pPr>
            <w:r w:rsidDel="00000000" w:rsidR="00000000" w:rsidRPr="00000000">
              <w:rPr>
                <w:sz w:val="16"/>
                <w:szCs w:val="16"/>
                <w:rtl w:val="0"/>
              </w:rPr>
              <w:t xml:space="preserve">Python, FastAPI, Swagger, JWT </w:t>
            </w:r>
          </w:p>
        </w:tc>
        <w:tc>
          <w:tcPr/>
          <w:p w:rsidR="00000000" w:rsidDel="00000000" w:rsidP="00000000" w:rsidRDefault="00000000" w:rsidRPr="00000000" w14:paraId="00000055">
            <w:pPr>
              <w:jc w:val="both"/>
              <w:rPr>
                <w:sz w:val="16"/>
                <w:szCs w:val="16"/>
              </w:rPr>
            </w:pPr>
            <w:r w:rsidDel="00000000" w:rsidR="00000000" w:rsidRPr="00000000">
              <w:rPr>
                <w:sz w:val="16"/>
                <w:szCs w:val="16"/>
                <w:rtl w:val="0"/>
              </w:rPr>
              <w:t xml:space="preserve">Semanas 5 - 11 </w:t>
            </w:r>
          </w:p>
        </w:tc>
        <w:tc>
          <w:tcPr/>
          <w:p w:rsidR="00000000" w:rsidDel="00000000" w:rsidP="00000000" w:rsidRDefault="00000000" w:rsidRPr="00000000" w14:paraId="00000056">
            <w:pPr>
              <w:jc w:val="both"/>
              <w:rPr>
                <w:sz w:val="16"/>
                <w:szCs w:val="16"/>
              </w:rPr>
            </w:pPr>
            <w:r w:rsidDel="00000000" w:rsidR="00000000" w:rsidRPr="00000000">
              <w:rPr>
                <w:sz w:val="16"/>
                <w:szCs w:val="16"/>
                <w:rtl w:val="0"/>
              </w:rPr>
              <w:t xml:space="preserve">Alfredo Castro </w:t>
            </w:r>
          </w:p>
        </w:tc>
        <w:tc>
          <w:tcPr/>
          <w:p w:rsidR="00000000" w:rsidDel="00000000" w:rsidP="00000000" w:rsidRDefault="00000000" w:rsidRPr="00000000" w14:paraId="00000057">
            <w:pPr>
              <w:spacing w:after="40"/>
              <w:jc w:val="both"/>
              <w:rPr>
                <w:sz w:val="16"/>
                <w:szCs w:val="16"/>
              </w:rPr>
            </w:pPr>
            <w:r>
              <w:rPr>
                <w:sz w:val="17"/>
              </w:rPr>
            </w:r>
            <w:r>
              <w:rPr>
                <w:sz w:val="17"/>
              </w:rPr>
              <w:t>El rol se asignó inicialmente a Alfredo; el equipo informa que Cristopher desarrolló backend y seguridad, incluido el envío de códigos por correo de prueba. feature/backend no tiene cambios exclusivos frente a main; parte de la actualización está en feature/frontend.</w:t>
            </w:r>
          </w:p>
        </w:tc>
        <w:tc>
          <w:tcPr/>
          <w:p w:rsidR="00000000" w:rsidDel="00000000" w:rsidP="00000000" w:rsidRDefault="00000000" w:rsidRPr="00000000" w14:paraId="00000058">
            <w:pPr>
              <w:spacing w:after="40"/>
              <w:jc w:val="both"/>
              <w:rPr>
                <w:sz w:val="16"/>
                <w:szCs w:val="16"/>
              </w:rPr>
            </w:pPr>
            <w:r>
              <w:rPr>
                <w:sz w:val="17"/>
              </w:rPr>
            </w:r>
            <w:r>
              <w:rPr>
                <w:sz w:val="17"/>
              </w:rPr>
              <w:t>Implementación parcial; pruebas por reconciliar</w:t>
            </w:r>
          </w:p>
        </w:tc>
        <w:tc>
          <w:tcPr/>
          <w:p w:rsidR="00000000" w:rsidDel="00000000" w:rsidP="00000000" w:rsidRDefault="00000000" w:rsidRPr="00000000" w14:paraId="00000059">
            <w:pPr>
              <w:spacing w:after="40"/>
              <w:jc w:val="both"/>
              <w:rPr>
                <w:sz w:val="16"/>
                <w:szCs w:val="16"/>
              </w:rPr>
            </w:pPr>
            <w:r>
              <w:rPr>
                <w:sz w:val="17"/>
              </w:rPr>
            </w:r>
            <w:r>
              <w:rPr>
                <w:sz w:val="17"/>
              </w:rPr>
              <w:t>Verificar el flujo OTP y los códigos HTTP en el commit vigente; documentar logs, entorno y resultado reproducible.</w:t>
            </w:r>
          </w:p>
        </w:tc>
      </w:tr>
      <w:tr>
        <w:trPr>
          <w:cantSplit w:val="0"/>
          <w:trHeight w:val="750" w:hRule="atLeast"/>
          <w:tblHeader w:val="0"/>
          <w:cantSplit/>
          <w:cantSplit/>
        </w:trPr>
        <w:tc>
          <w:tcPr/>
          <w:p w:rsidR="00000000" w:rsidDel="00000000" w:rsidP="00000000" w:rsidRDefault="00000000" w:rsidRPr="00000000" w14:paraId="0000005A">
            <w:pPr>
              <w:jc w:val="both"/>
              <w:rPr>
                <w:sz w:val="16"/>
                <w:szCs w:val="16"/>
              </w:rPr>
            </w:pPr>
            <w:r w:rsidDel="00000000" w:rsidR="00000000" w:rsidRPr="00000000">
              <w:rPr>
                <w:sz w:val="16"/>
                <w:szCs w:val="16"/>
                <w:rtl w:val="0"/>
              </w:rPr>
              <w:t xml:space="preserve">Desarrollo Web </w:t>
            </w:r>
          </w:p>
        </w:tc>
        <w:tc>
          <w:tcPr/>
          <w:p w:rsidR="00000000" w:rsidDel="00000000" w:rsidP="00000000" w:rsidRDefault="00000000" w:rsidRPr="00000000" w14:paraId="0000005B">
            <w:pPr>
              <w:jc w:val="both"/>
              <w:rPr>
                <w:sz w:val="16"/>
                <w:szCs w:val="16"/>
              </w:rPr>
            </w:pPr>
            <w:r w:rsidDel="00000000" w:rsidR="00000000" w:rsidRPr="00000000">
              <w:rPr>
                <w:sz w:val="16"/>
                <w:szCs w:val="16"/>
                <w:rtl w:val="0"/>
              </w:rPr>
              <w:t xml:space="preserve">Inicialización y Desarrollo Frontend React + TypeScript </w:t>
            </w:r>
          </w:p>
        </w:tc>
        <w:tc>
          <w:tcPr/>
          <w:p w:rsidR="00000000" w:rsidDel="00000000" w:rsidP="00000000" w:rsidRDefault="00000000" w:rsidRPr="00000000" w14:paraId="0000005C">
            <w:pPr>
              <w:jc w:val="both"/>
              <w:rPr>
                <w:sz w:val="16"/>
                <w:szCs w:val="16"/>
              </w:rPr>
            </w:pPr>
            <w:r w:rsidDel="00000000" w:rsidR="00000000" w:rsidRPr="00000000">
              <w:rPr>
                <w:sz w:val="16"/>
                <w:szCs w:val="16"/>
                <w:rtl w:val="0"/>
              </w:rPr>
              <w:t xml:space="preserve">React 18, Vite, Tailwind CSS </w:t>
            </w:r>
          </w:p>
        </w:tc>
        <w:tc>
          <w:tcPr/>
          <w:p w:rsidR="00000000" w:rsidDel="00000000" w:rsidP="00000000" w:rsidRDefault="00000000" w:rsidRPr="00000000" w14:paraId="0000005D">
            <w:pPr>
              <w:jc w:val="both"/>
              <w:rPr>
                <w:sz w:val="16"/>
                <w:szCs w:val="16"/>
              </w:rPr>
            </w:pPr>
            <w:r w:rsidDel="00000000" w:rsidR="00000000" w:rsidRPr="00000000">
              <w:rPr>
                <w:sz w:val="16"/>
                <w:szCs w:val="16"/>
                <w:rtl w:val="0"/>
              </w:rPr>
              <w:t xml:space="preserve">Semanas 7 - 13 </w:t>
            </w:r>
          </w:p>
        </w:tc>
        <w:tc>
          <w:tcPr/>
          <w:p w:rsidR="00000000" w:rsidDel="00000000" w:rsidP="00000000" w:rsidRDefault="00000000" w:rsidRPr="00000000" w14:paraId="0000005E">
            <w:pPr>
              <w:jc w:val="both"/>
              <w:rPr>
                <w:sz w:val="16"/>
                <w:szCs w:val="16"/>
              </w:rPr>
            </w:pPr>
            <w:r w:rsidDel="00000000" w:rsidR="00000000" w:rsidRPr="00000000">
              <w:rPr>
                <w:sz w:val="16"/>
                <w:szCs w:val="16"/>
                <w:rtl w:val="0"/>
              </w:rPr>
              <w:t xml:space="preserve">Cristopher Hernández </w:t>
            </w:r>
          </w:p>
        </w:tc>
        <w:tc>
          <w:tcPr/>
          <w:p w:rsidR="00000000" w:rsidDel="00000000" w:rsidP="00000000" w:rsidRDefault="00000000" w:rsidRPr="00000000" w14:paraId="0000005F">
            <w:pPr>
              <w:spacing w:after="40"/>
              <w:jc w:val="both"/>
              <w:rPr>
                <w:sz w:val="16"/>
                <w:szCs w:val="16"/>
              </w:rPr>
            </w:pPr>
            <w:r>
              <w:rPr>
                <w:sz w:val="17"/>
              </w:rPr>
            </w:r>
            <w:r>
              <w:rPr>
                <w:sz w:val="17"/>
              </w:rPr>
              <w:t>Cristopher lideró inicialmente frontend. El equipo informa que la rama actual incorporó cambios de alcance general. La captura Netlify presenta vistas/controles de interfaz, sin prueba funcional independiente.</w:t>
            </w:r>
          </w:p>
        </w:tc>
        <w:tc>
          <w:tcPr/>
          <w:p w:rsidR="00000000" w:rsidDel="00000000" w:rsidP="00000000" w:rsidRDefault="00000000" w:rsidRPr="00000000" w14:paraId="00000060">
            <w:pPr>
              <w:spacing w:after="40"/>
              <w:jc w:val="both"/>
              <w:rPr>
                <w:sz w:val="16"/>
                <w:szCs w:val="16"/>
              </w:rPr>
            </w:pPr>
            <w:r>
              <w:rPr>
                <w:sz w:val="17"/>
              </w:rPr>
            </w:r>
            <w:r>
              <w:rPr>
                <w:sz w:val="17"/>
              </w:rPr>
              <w:t>Prototipo publicado; interacción no revalidada</w:t>
            </w:r>
          </w:p>
        </w:tc>
        <w:tc>
          <w:tcPr/>
          <w:p w:rsidR="00000000" w:rsidDel="00000000" w:rsidP="00000000" w:rsidRDefault="00000000" w:rsidRPr="00000000" w14:paraId="00000061">
            <w:pPr>
              <w:spacing w:after="40"/>
              <w:jc w:val="both"/>
              <w:rPr>
                <w:sz w:val="16"/>
                <w:szCs w:val="16"/>
              </w:rPr>
            </w:pPr>
            <w:r>
              <w:rPr>
                <w:sz w:val="17"/>
              </w:rPr>
            </w:r>
            <w:r>
              <w:rPr>
                <w:sz w:val="17"/>
              </w:rPr>
              <w:t>Probar filtros, tabla, tarjetas, mapa y ficha; documentar versión desplegada y commit asociado.</w:t>
            </w:r>
          </w:p>
        </w:tc>
      </w:tr>
      <w:tr>
        <w:trPr>
          <w:cantSplit w:val="0"/>
          <w:trHeight w:val="642.32421875" w:hRule="atLeast"/>
          <w:tblHeader w:val="0"/>
          <w:cantSplit/>
          <w:cantSplit/>
        </w:trPr>
        <w:tc>
          <w:tcPr/>
          <w:p w:rsidR="00000000" w:rsidDel="00000000" w:rsidP="00000000" w:rsidRDefault="00000000" w:rsidRPr="00000000" w14:paraId="00000062">
            <w:pPr>
              <w:jc w:val="both"/>
              <w:rPr>
                <w:sz w:val="16"/>
                <w:szCs w:val="16"/>
              </w:rPr>
            </w:pPr>
            <w:r w:rsidDel="00000000" w:rsidR="00000000" w:rsidRPr="00000000">
              <w:rPr>
                <w:sz w:val="16"/>
                <w:szCs w:val="16"/>
                <w:rtl w:val="0"/>
              </w:rPr>
              <w:t xml:space="preserve">Calidad, Seguridad y DevOps </w:t>
            </w:r>
          </w:p>
        </w:tc>
        <w:tc>
          <w:tcPr/>
          <w:p w:rsidR="00000000" w:rsidDel="00000000" w:rsidP="00000000" w:rsidRDefault="00000000" w:rsidRPr="00000000" w14:paraId="00000063">
            <w:pPr>
              <w:jc w:val="both"/>
              <w:rPr>
                <w:i w:val="1"/>
                <w:iCs w:val="1"/>
                <w:sz w:val="18"/>
                <w:szCs w:val="18"/>
              </w:rPr>
            </w:pPr>
            <w:r w:rsidDel="00000000" w:rsidR="00000000" w:rsidRPr="00000000">
              <w:rPr>
                <w:sz w:val="16"/>
                <w:szCs w:val="16"/>
                <w:rtl w:val="0"/>
              </w:rPr>
              <w:t xml:space="preserve">Dockerización Integral y Suite de Pruebas QA</w:t>
            </w:r>
            <w:r w:rsidDel="00000000" w:rsidR="00000000" w:rsidRPr="00000000">
              <w:rPr>
                <w:i w:val="1"/>
                <w:iCs w:val="1"/>
                <w:sz w:val="18"/>
                <w:szCs w:val="18"/>
                <w:rtl w:val="0"/>
              </w:rPr>
              <w:t xml:space="preserve"> </w:t>
            </w:r>
          </w:p>
        </w:tc>
        <w:tc>
          <w:tcPr/>
          <w:p w:rsidR="00000000" w:rsidDel="00000000" w:rsidP="00000000" w:rsidRDefault="00000000" w:rsidRPr="00000000" w14:paraId="00000064">
            <w:pPr>
              <w:jc w:val="both"/>
              <w:rPr>
                <w:sz w:val="16"/>
                <w:szCs w:val="16"/>
              </w:rPr>
            </w:pPr>
            <w:r w:rsidDel="00000000" w:rsidR="00000000" w:rsidRPr="00000000">
              <w:rPr>
                <w:sz w:val="16"/>
                <w:szCs w:val="16"/>
                <w:rtl w:val="0"/>
              </w:rPr>
              <w:t xml:space="preserve">Docker, Docker Compose, Pytest </w:t>
            </w:r>
          </w:p>
        </w:tc>
        <w:tc>
          <w:tcPr/>
          <w:p w:rsidR="00000000" w:rsidDel="00000000" w:rsidP="00000000" w:rsidRDefault="00000000" w:rsidRPr="00000000" w14:paraId="00000065">
            <w:pPr>
              <w:jc w:val="both"/>
              <w:rPr>
                <w:sz w:val="16"/>
                <w:szCs w:val="16"/>
              </w:rPr>
            </w:pPr>
            <w:r w:rsidDel="00000000" w:rsidR="00000000" w:rsidRPr="00000000">
              <w:rPr>
                <w:sz w:val="16"/>
                <w:szCs w:val="16"/>
                <w:rtl w:val="0"/>
              </w:rPr>
              <w:t xml:space="preserve">Semanas 10 - 15 </w:t>
            </w:r>
          </w:p>
        </w:tc>
        <w:tc>
          <w:tcPr/>
          <w:p w:rsidR="00000000" w:rsidDel="00000000" w:rsidP="00000000" w:rsidRDefault="00000000" w:rsidRPr="00000000" w14:paraId="00000066">
            <w:pPr>
              <w:jc w:val="both"/>
              <w:rPr>
                <w:sz w:val="16"/>
                <w:szCs w:val="16"/>
              </w:rPr>
            </w:pPr>
            <w:r w:rsidDel="00000000" w:rsidR="00000000" w:rsidRPr="00000000">
              <w:rPr>
                <w:sz w:val="16"/>
                <w:szCs w:val="16"/>
                <w:rtl w:val="0"/>
              </w:rPr>
              <w:t xml:space="preserve">Matías Tirado </w:t>
            </w:r>
          </w:p>
        </w:tc>
        <w:tc>
          <w:tcPr/>
          <w:p w:rsidR="00000000" w:rsidDel="00000000" w:rsidP="00000000" w:rsidRDefault="00000000" w:rsidRPr="00000000" w14:paraId="00000067">
            <w:pPr>
              <w:spacing w:after="40"/>
              <w:jc w:val="both"/>
              <w:rPr>
                <w:sz w:val="16"/>
                <w:szCs w:val="16"/>
              </w:rPr>
            </w:pPr>
            <w:r>
              <w:rPr>
                <w:sz w:val="17"/>
              </w:rPr>
            </w:r>
            <w:r>
              <w:rPr>
                <w:sz w:val="17"/>
              </w:rPr>
              <w:t>Fase 2 consignó retraso y reprogramación. Posteriormente, Matías informó que levantó Docker en línea. feature/devops-qa no presenta cambios exclusivos frente a main al corte.</w:t>
            </w:r>
          </w:p>
        </w:tc>
        <w:tc>
          <w:tcPr/>
          <w:p w:rsidR="00000000" w:rsidDel="00000000" w:rsidP="00000000" w:rsidRDefault="00000000" w:rsidRPr="00000000" w14:paraId="00000068">
            <w:pPr>
              <w:spacing w:after="40"/>
              <w:jc w:val="both"/>
              <w:rPr>
                <w:sz w:val="16"/>
                <w:szCs w:val="16"/>
              </w:rPr>
            </w:pPr>
            <w:r>
              <w:rPr>
                <w:sz w:val="17"/>
              </w:rPr>
            </w:r>
            <w:r>
              <w:rPr>
                <w:sz w:val="17"/>
              </w:rPr>
              <w:t>Docker reportado en línea; QA integral pendiente de evidencia</w:t>
            </w:r>
          </w:p>
        </w:tc>
        <w:tc>
          <w:tcPr/>
          <w:p w:rsidR="00000000" w:rsidDel="00000000" w:rsidP="00000000" w:rsidRDefault="00000000" w:rsidRPr="00000000" w14:paraId="00000069">
            <w:pPr>
              <w:spacing w:after="40"/>
              <w:jc w:val="both"/>
              <w:rPr>
                <w:sz w:val="16"/>
                <w:szCs w:val="16"/>
              </w:rPr>
            </w:pPr>
            <w:r>
              <w:rPr>
                <w:sz w:val="17"/>
              </w:rPr>
            </w:r>
            <w:r>
              <w:rPr>
                <w:sz w:val="17"/>
              </w:rPr>
              <w:t>Asociar entorno a commit y registrar servicios/logs; ejecutar y conservar resultados de pruebas.</w:t>
            </w:r>
          </w:p>
        </w:tc>
      </w:tr>
      <w:tr>
        <w:trPr>
          <w:cantSplit w:val="0"/>
          <w:trHeight w:val="495" w:hRule="atLeast"/>
          <w:tblHeader w:val="0"/>
          <w:cantSplit/>
          <w:cantSplit/>
        </w:trPr>
        <w:tc>
          <w:tcPr/>
          <w:p w:rsidR="00000000" w:rsidDel="00000000" w:rsidP="00000000" w:rsidRDefault="00000000" w:rsidRPr="00000000" w14:paraId="0000006A">
            <w:pPr>
              <w:jc w:val="both"/>
              <w:rPr>
                <w:sz w:val="16"/>
                <w:szCs w:val="16"/>
              </w:rPr>
            </w:pPr>
            <w:r w:rsidDel="00000000" w:rsidR="00000000" w:rsidRPr="00000000">
              <w:rPr>
                <w:sz w:val="16"/>
                <w:szCs w:val="16"/>
                <w:rtl w:val="0"/>
              </w:rPr>
              <w:t xml:space="preserve">Gestión / Cierre </w:t>
            </w:r>
          </w:p>
        </w:tc>
        <w:tc>
          <w:tcPr/>
          <w:p w:rsidR="00000000" w:rsidDel="00000000" w:rsidP="00000000" w:rsidRDefault="00000000" w:rsidRPr="00000000" w14:paraId="0000006B">
            <w:pPr>
              <w:jc w:val="both"/>
              <w:rPr>
                <w:sz w:val="16"/>
                <w:szCs w:val="16"/>
              </w:rPr>
            </w:pPr>
            <w:r w:rsidDel="00000000" w:rsidR="00000000" w:rsidRPr="00000000">
              <w:rPr>
                <w:sz w:val="16"/>
                <w:szCs w:val="16"/>
                <w:rtl w:val="0"/>
              </w:rPr>
              <w:t xml:space="preserve">Cierre de Fase 2, Integración y Entregas Institucionales </w:t>
            </w:r>
          </w:p>
        </w:tc>
        <w:tc>
          <w:tcPr/>
          <w:p w:rsidR="00000000" w:rsidDel="00000000" w:rsidP="00000000" w:rsidRDefault="00000000" w:rsidRPr="00000000" w14:paraId="0000006C">
            <w:pPr>
              <w:jc w:val="both"/>
              <w:rPr>
                <w:sz w:val="16"/>
                <w:szCs w:val="16"/>
              </w:rPr>
            </w:pPr>
            <w:r w:rsidDel="00000000" w:rsidR="00000000" w:rsidRPr="00000000">
              <w:rPr>
                <w:sz w:val="16"/>
                <w:szCs w:val="16"/>
                <w:rtl w:val="0"/>
              </w:rPr>
              <w:t xml:space="preserve">Docs, GitHub, PDF </w:t>
            </w:r>
          </w:p>
        </w:tc>
        <w:tc>
          <w:tcPr/>
          <w:p w:rsidR="00000000" w:rsidDel="00000000" w:rsidP="00000000" w:rsidRDefault="00000000" w:rsidRPr="00000000" w14:paraId="0000006D">
            <w:pPr>
              <w:jc w:val="both"/>
              <w:rPr>
                <w:sz w:val="16"/>
                <w:szCs w:val="16"/>
              </w:rPr>
            </w:pPr>
            <w:r w:rsidDel="00000000" w:rsidR="00000000" w:rsidRPr="00000000">
              <w:rPr>
                <w:sz w:val="16"/>
                <w:szCs w:val="16"/>
                <w:rtl w:val="0"/>
              </w:rPr>
              <w:t xml:space="preserve">Semanas 15 - 18 </w:t>
            </w:r>
          </w:p>
        </w:tc>
        <w:tc>
          <w:tcPr/>
          <w:p w:rsidR="00000000" w:rsidDel="00000000" w:rsidP="00000000" w:rsidRDefault="00000000" w:rsidRPr="00000000" w14:paraId="0000006E">
            <w:pPr>
              <w:jc w:val="both"/>
              <w:rPr>
                <w:sz w:val="16"/>
                <w:szCs w:val="16"/>
              </w:rPr>
            </w:pPr>
            <w:r w:rsidDel="00000000" w:rsidR="00000000" w:rsidRPr="00000000">
              <w:rPr>
                <w:sz w:val="16"/>
                <w:szCs w:val="16"/>
                <w:rtl w:val="0"/>
              </w:rPr>
              <w:t xml:space="preserve">Todo el equipo </w:t>
            </w:r>
          </w:p>
        </w:tc>
        <w:tc>
          <w:tcPr/>
          <w:p w:rsidR="00000000" w:rsidDel="00000000" w:rsidP="00000000" w:rsidRDefault="00000000" w:rsidRPr="00000000" w14:paraId="0000006F">
            <w:pPr>
              <w:jc w:val="both"/>
              <w:rPr>
                <w:sz w:val="16"/>
                <w:szCs w:val="16"/>
              </w:rPr>
            </w:pPr>
            <w:r w:rsidDel="00000000" w:rsidR="00000000" w:rsidRPr="00000000">
              <w:rPr>
                <w:sz w:val="16"/>
                <w:szCs w:val="16"/>
                <w:rtl w:val="0"/>
              </w:rPr>
              <w:t xml:space="preserve">Preparación de informe de avance y paquete documental. </w:t>
            </w:r>
          </w:p>
        </w:tc>
        <w:tc>
          <w:tcPr/>
          <w:p w:rsidR="00000000" w:rsidDel="00000000" w:rsidP="00000000" w:rsidRDefault="00000000" w:rsidRPr="00000000" w14:paraId="00000070">
            <w:pPr>
              <w:jc w:val="both"/>
              <w:rPr>
                <w:sz w:val="16"/>
                <w:szCs w:val="16"/>
              </w:rPr>
            </w:pPr>
            <w:r w:rsidDel="00000000" w:rsidR="00000000" w:rsidRPr="00000000">
              <w:rPr>
                <w:sz w:val="16"/>
                <w:szCs w:val="16"/>
                <w:rtl w:val="0"/>
              </w:rPr>
              <w:t xml:space="preserve">No iniciado </w:t>
            </w:r>
          </w:p>
        </w:tc>
        <w:tc>
          <w:tcPr/>
          <w:p w:rsidR="00000000" w:rsidDel="00000000" w:rsidP="00000000" w:rsidRDefault="00000000" w:rsidRPr="00000000" w14:paraId="00000071">
            <w:pPr>
              <w:jc w:val="both"/>
              <w:rPr>
                <w:sz w:val="16"/>
                <w:szCs w:val="16"/>
              </w:rPr>
            </w:pPr>
            <w:r w:rsidDel="00000000" w:rsidR="00000000" w:rsidRPr="00000000">
              <w:rPr>
                <w:sz w:val="16"/>
                <w:szCs w:val="16"/>
                <w:rtl w:val="0"/>
              </w:rPr>
              <w:t xml:space="preserve">Programado para las fechas de Hito 3.</w:t>
            </w:r>
          </w:p>
        </w:tc>
      </w:tr>
    </w:tbl>
    <w:p w:rsidR="00000000" w:rsidDel="00000000" w:rsidP="00000000" w:rsidRDefault="00000000" w:rsidRPr="00000000" w14:paraId="00000072">
      <w:pPr>
        <w:rPr>
          <w:color w:val="595959"/>
          <w:sz w:val="24"/>
          <w:szCs w:val="24"/>
        </w:rPr>
      </w:pPr>
      <w:r w:rsidDel="00000000" w:rsidR="00000000" w:rsidRPr="00000000">
        <w:rPr>
          <w:rtl w:val="0"/>
        </w:rPr>
      </w:r>
    </w:p>
    <w:p w:rsidR="00000000" w:rsidDel="00000000" w:rsidP="00000000" w:rsidRDefault="00000000" w:rsidRPr="00000000" w14:paraId="00000073">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cantSplit/>
          <w:cantSplit/>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cantSplit/>
          <w:cantSplit/>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cantSplit/>
          <w:cantSplit/>
        </w:trPr>
        <w:tc>
          <w:tcPr>
            <w:vAlign w:val="center"/>
          </w:tcPr>
          <w:p w:rsidR="00000000" w:rsidDel="00000000" w:rsidP="00000000" w:rsidRDefault="00000000" w:rsidRPr="00000000" w14:paraId="00000077">
            <w:pPr>
              <w:jc w:val="both"/>
              <w:rPr>
                <w:sz w:val="20"/>
                <w:szCs w:val="20"/>
              </w:rPr>
            </w:pPr>
            <w:r/>
            <w:r>
              <w:t>Factores que facilitaron y dificultaron el trabajo</w:t>
            </w:r>
          </w:p>
          <w:p>
            <w:r>
              <w:t>Dificultades: el inicio efectivo en la semana 3, la baja disponibilidad simultánea del equipo y la escasa información técnica entregada por el representante del cliente limitaron la integración temprana y la carga de datos. También se reportaron restricciones de conectividad/configuración para Supabase.</w:t>
            </w:r>
          </w:p>
          <w:p>
            <w:r>
              <w:t>Acciones: se trabajó de forma asíncrona y modular, con pruebas individuales. El equipo informa que Felipe levantó primero la base de datos local; Matías pobló tablas/datos y levantó Docker en línea; Alfredo preparó una estructura sencilla conectada a Supabase con diez registros iniciales y una app temprana en la nube; Cristopher desarrolló backend y seguridad, logrando enviar códigos a correos de prueba y acceder en Codespaces.</w:t>
            </w:r>
          </w:p>
          <w:p>
            <w:r>
              <w:t>Estado de repositorio al corte: GitHub muestra main y cuatro ramas feature. La evidencia pública permite confirmar un commit diferencial reciente en feature/frontend; las otras tres ramas feature no muestran cambios exclusivos respecto de main. Esto no descarta trabajo local no publicado.</w:t>
            </w:r>
          </w:p>
        </w:tc>
      </w:tr>
    </w:tbl>
    <w:p w:rsidR="00000000" w:rsidDel="00000000" w:rsidP="00000000" w:rsidRDefault="00000000" w:rsidRPr="00000000" w14:paraId="0000007B">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cantSplit/>
          <w:cantSplit/>
        </w:trPr>
        <w:tc>
          <w:tcPr>
            <w:vAlign w:val="center"/>
          </w:tcPr>
          <w:p w:rsidR="00000000" w:rsidDel="00000000" w:rsidP="00000000" w:rsidRDefault="00000000" w:rsidRPr="00000000" w14:paraId="0000007C">
            <w:pPr>
              <w:jc w:val="both"/>
              <w:rPr>
                <w:i w:val="1"/>
                <w:iCs w:val="1"/>
                <w:color w:val="548dd4"/>
                <w:sz w:val="20"/>
                <w:szCs w:val="20"/>
              </w:rPr>
            </w:pPr>
            <w:r/>
            <w:r>
              <w:t>Ajustes de alcance y prioridades</w:t>
            </w:r>
          </w:p>
          <w:p>
            <w:r>
              <w:t>En el informe original se postergaron las integraciones cloud, la verificación 2FA por SMS/Twilio, los mapas geoespaciales avanzados y el panel de ingesta para priorizar el flujo principal. Después se avanzó con una alternativa simple en Supabase y una versión temprana de acceso a datos en la nube; el commit reciente de feature/frontend cambia el flujo de verificación descrito en el código hacia correo electrónico.</w:t>
            </w:r>
          </w:p>
          <w:p>
            <w:r>
              <w:t>La decisión de usar Supabase está adoptada por el equipo y se reporta una base simple con datos iniciales. No se comprobó el esquema en la instancia ni se debe considerar que la solución está lista para producción. La ingesta real, las fuentes confiables y la consolidación de mapas/administración siguen requiriendo validación.</w:t>
            </w:r>
          </w:p>
        </w:tc>
      </w:tr>
    </w:tbl>
    <w:p w:rsidR="00000000" w:rsidDel="00000000" w:rsidP="00000000" w:rsidRDefault="00000000" w:rsidRPr="00000000" w14:paraId="0000008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cantSplit/>
          <w:cantSplit/>
        </w:trPr>
        <w:tc>
          <w:tcPr>
            <w:vAlign w:val="center"/>
          </w:tcPr>
          <w:p w:rsidR="00000000" w:rsidDel="00000000" w:rsidP="00000000" w:rsidRDefault="00000000" w:rsidRPr="00000000" w14:paraId="00000082">
            <w:pPr>
              <w:jc w:val="both"/>
              <w:rPr>
                <w:sz w:val="20"/>
                <w:szCs w:val="20"/>
              </w:rPr>
            </w:pPr>
            <w:r/>
            <w:r>
              <w:t>Actividades no iniciadas, retrasadas o actualizadas</w:t>
            </w:r>
          </w:p>
          <w:p>
            <w:r>
              <w:t>Dockerización integral y automatización QA: el informe de Fase 2 original las clasificó con retraso y las reprogramó para el Hito 2 (26–31 de octubre). En una actualización posterior, Matías reportó haber levantado Docker en línea. El repositorio contiene Dockerfile y docker-compose, pero no se ejecutaron en esta revisión; por tanto, el antecedente posterior no equivale a una configuración reproducida ni a una suite QA aprobada.</w:t>
            </w:r>
          </w:p>
          <w:p>
            <w:r>
              <w:t>Integración y seguridad: el commit b2f8fe5 de feature/frontend muestra cambios de correo OTP y configuración, pero las incidencias documentadas señalan que debe verificarse el tratamiento de códigos y respuestas HTTP. La funcionalidad de acceso reportada por el equipo debe contrastarse con el estado actual del código antes de afirmar su cierre.</w:t>
            </w:r>
          </w:p>
        </w:tc>
      </w:tr>
    </w:tbl>
    <w:p w:rsidR="00000000" w:rsidDel="00000000" w:rsidP="00000000" w:rsidRDefault="00000000" w:rsidRPr="00000000" w14:paraId="00000084">
      <w:pPr>
        <w:rPr/>
      </w:pPr>
      <w:r w:rsidDel="00000000" w:rsidR="00000000" w:rsidRPr="00000000">
        <w:rPr>
          <w:rtl w:val="0"/>
        </w:rPr>
      </w:r>
    </w:p>
    <w:p>
      <w:r>
        <w:br w:type="page"/>
      </w:r>
    </w:p>
    <w:p>
      <w:pPr>
        <w:pStyle w:val="Heading1"/>
        <w:keepNext/>
      </w:pPr>
      <w:r>
        <w:t>4. Formalización de evidencias al 19 de octubre de 2026</w:t>
      </w:r>
    </w:p>
    <w:p>
      <w:r>
        <w:t>Esta actualización complementa el registro original de Fase 2 con los materiales disponibles al corte indicado. Fase 1 se usa como evidencia de definición y planificación; Fase 2 recoge tanto lo consignado en el informe original como los cambios que el equipo y el repositorio muestran posteriormente. No se retrofechan estos avances complementarios.</w:t>
      </w:r>
    </w:p>
    <w:p>
      <w:r>
        <w:t>Criterio de clasificación: “publicada” identifica contenido visible en GitHub; “documentada” identifica antecedentes incluidos en las guías o archivos del proyecto; “reportada” identifica avances declarados por integrantes; “captura” identifica evidencia visual aportada. Estas categorías no son equivalentes a una prueba funcional repetida.</w:t>
      </w:r>
    </w:p>
    <w:tbl>
      <w:tblPr>
        <w:tblStyle w:val="Tablaconcuadrcula"/>
        <w:tblW w:type="auto" w:w="0"/>
        <w:jc w:val="center"/>
        <w:tblLayout w:type="fixed"/>
        <w:tblLook w:firstColumn="1" w:firstRow="1" w:lastColumn="0" w:lastRow="0" w:noHBand="0" w:noVBand="1" w:val="04A0"/>
      </w:tblPr>
      <w:tblGrid>
        <w:gridCol w:w="2232"/>
        <w:gridCol w:w="8496"/>
      </w:tblGrid>
      <w:tr>
        <w:trPr>
          <w:cantSplit/>
          <w:cantSplit/>
        </w:trPr>
        <w:tc>
          <w:tcPr>
            <w:tcW w:type="dxa" w:w="4252"/>
            <w:shd w:fill="243B5A"/>
          </w:tcPr>
          <w:p>
            <w:r>
              <w:rPr>
                <w:b/>
                <w:color w:val="FFFFFF"/>
                <w:sz w:val="18"/>
              </w:rPr>
              <w:t>Rama</w:t>
            </w:r>
          </w:p>
        </w:tc>
        <w:tc>
          <w:tcPr>
            <w:tcW w:type="dxa" w:w="4252"/>
            <w:shd w:fill="243B5A"/>
          </w:tcPr>
          <w:p>
            <w:r>
              <w:rPr>
                <w:b/>
                <w:color w:val="FFFFFF"/>
                <w:sz w:val="18"/>
              </w:rPr>
              <w:t>Evidencia GitHub al corte</w:t>
            </w:r>
          </w:p>
        </w:tc>
      </w:tr>
      <w:tr>
        <w:trPr>
          <w:cantSplit/>
          <w:cantSplit/>
        </w:trPr>
        <w:tc>
          <w:tcPr>
            <w:tcW w:type="dxa" w:w="2232"/>
            <w:vAlign w:val="center"/>
          </w:tcPr>
          <w:p>
            <w:pPr>
              <w:spacing w:after="60"/>
            </w:pPr>
            <w:r>
              <w:rPr>
                <w:b/>
                <w:sz w:val="17"/>
              </w:rPr>
              <w:t>main</w:t>
            </w:r>
          </w:p>
        </w:tc>
        <w:tc>
          <w:tcPr>
            <w:tcW w:type="dxa" w:w="8496"/>
            <w:vAlign w:val="center"/>
          </w:tcPr>
          <w:p>
            <w:pPr>
              <w:spacing w:after="60"/>
            </w:pPr>
            <w:r>
              <w:rPr>
                <w:b w:val="0"/>
                <w:sz w:val="17"/>
              </w:rPr>
              <w:t>Commit e9c2889 “Create README.md” (18-10-2026), sobre el commit base “Nuevo Main” (17-10-2026). Incluye backend/, web/ y la guía de implementación.</w:t>
            </w:r>
          </w:p>
        </w:tc>
      </w:tr>
      <w:tr>
        <w:trPr>
          <w:cantSplit/>
          <w:cantSplit/>
        </w:trPr>
        <w:tc>
          <w:tcPr>
            <w:tcW w:type="dxa" w:w="2232"/>
            <w:vAlign w:val="center"/>
            <w:shd w:fill="F3F6FA"/>
          </w:tcPr>
          <w:p>
            <w:pPr>
              <w:spacing w:after="60"/>
            </w:pPr>
            <w:r>
              <w:rPr>
                <w:b/>
                <w:sz w:val="17"/>
              </w:rPr>
              <w:t>feature/backend</w:t>
            </w:r>
          </w:p>
        </w:tc>
        <w:tc>
          <w:tcPr>
            <w:tcW w:type="dxa" w:w="8496"/>
            <w:vAlign w:val="center"/>
            <w:shd w:fill="F3F6FA"/>
          </w:tcPr>
          <w:p>
            <w:pPr>
              <w:spacing w:after="60"/>
            </w:pPr>
            <w:r>
              <w:rPr>
                <w:b w:val="0"/>
                <w:sz w:val="17"/>
              </w:rPr>
              <w:t>Rama creada; la comparación pública con main no muestra cambios exclusivos al corte.</w:t>
            </w:r>
          </w:p>
        </w:tc>
      </w:tr>
      <w:tr>
        <w:trPr>
          <w:cantSplit/>
          <w:cantSplit/>
        </w:trPr>
        <w:tc>
          <w:tcPr>
            <w:tcW w:type="dxa" w:w="2232"/>
            <w:vAlign w:val="center"/>
          </w:tcPr>
          <w:p>
            <w:pPr>
              <w:spacing w:after="60"/>
            </w:pPr>
            <w:r>
              <w:rPr>
                <w:b/>
                <w:sz w:val="17"/>
              </w:rPr>
              <w:t>feature/data-engine</w:t>
            </w:r>
          </w:p>
        </w:tc>
        <w:tc>
          <w:tcPr>
            <w:tcW w:type="dxa" w:w="8496"/>
            <w:vAlign w:val="center"/>
          </w:tcPr>
          <w:p>
            <w:pPr>
              <w:spacing w:after="60"/>
            </w:pPr>
            <w:r>
              <w:rPr>
                <w:b w:val="0"/>
                <w:sz w:val="17"/>
              </w:rPr>
              <w:t>Rama creada; la comparación pública con main no muestra cambios exclusivos al corte.</w:t>
            </w:r>
          </w:p>
        </w:tc>
      </w:tr>
      <w:tr>
        <w:trPr>
          <w:cantSplit/>
          <w:cantSplit/>
        </w:trPr>
        <w:tc>
          <w:tcPr>
            <w:tcW w:type="dxa" w:w="2232"/>
            <w:vAlign w:val="center"/>
            <w:shd w:fill="F3F6FA"/>
          </w:tcPr>
          <w:p>
            <w:pPr>
              <w:spacing w:after="60"/>
            </w:pPr>
            <w:r>
              <w:rPr>
                <w:b/>
                <w:sz w:val="17"/>
              </w:rPr>
              <w:t>feature/devops-qa</w:t>
            </w:r>
          </w:p>
        </w:tc>
        <w:tc>
          <w:tcPr>
            <w:tcW w:type="dxa" w:w="8496"/>
            <w:vAlign w:val="center"/>
            <w:shd w:fill="F3F6FA"/>
          </w:tcPr>
          <w:p>
            <w:pPr>
              <w:spacing w:after="60"/>
            </w:pPr>
            <w:r>
              <w:rPr>
                <w:b w:val="0"/>
                <w:sz w:val="17"/>
              </w:rPr>
              <w:t>Rama creada; la comparación pública con main no muestra cambios exclusivos al corte.</w:t>
            </w:r>
          </w:p>
        </w:tc>
      </w:tr>
      <w:tr>
        <w:trPr>
          <w:cantSplit/>
          <w:cantSplit/>
        </w:trPr>
        <w:tc>
          <w:tcPr>
            <w:tcW w:type="dxa" w:w="2232"/>
            <w:vAlign w:val="center"/>
          </w:tcPr>
          <w:p>
            <w:pPr>
              <w:spacing w:after="60"/>
            </w:pPr>
            <w:r>
              <w:rPr>
                <w:b/>
                <w:sz w:val="17"/>
              </w:rPr>
              <w:t>feature/frontend</w:t>
            </w:r>
          </w:p>
        </w:tc>
        <w:tc>
          <w:tcPr>
            <w:tcW w:type="dxa" w:w="8496"/>
            <w:vAlign w:val="center"/>
          </w:tcPr>
          <w:p>
            <w:pPr>
              <w:spacing w:after="60"/>
            </w:pPr>
            <w:r>
              <w:rPr>
                <w:b w:val="0"/>
                <w:sz w:val="17"/>
              </w:rPr>
              <w:t>Commit b2f8fe5 de Cristopher (19-10-2026 13:13): un commit, siete archivos modificados, 66 adiciones y 84 eliminaciones; incluye cambios en autenticación, correo, sesión/configuración y localización.</w:t>
            </w:r>
          </w:p>
        </w:tc>
      </w:tr>
    </w:tbl>
    <w:p>
      <w:pPr>
        <w:pStyle w:val="Heading2"/>
        <w:keepNext/>
      </w:pPr>
      <w:r>
        <w:t>4.1 Evidencias por rama</w:t>
      </w:r>
    </w:p>
    <w:p>
      <w:pPr>
        <w:pStyle w:val="Heading3"/>
        <w:keepNext/>
      </w:pPr>
      <w:r>
        <w:t>main</w:t>
      </w:r>
    </w:p>
    <w:p>
      <w:pPr>
        <w:spacing w:after="80"/>
      </w:pPr>
      <w:r>
        <w:rPr>
          <w:b/>
        </w:rPr>
        <w:t xml:space="preserve">Fase 1 — foco planificado: </w:t>
      </w:r>
      <w:r>
        <w:t>Fase 1: define la plataforma web/API, la evaluación financiera, legal y física, el semáforo de riesgo y el trabajo por sprints. Es una base común de alcance, no una evidencia de construcción en esta rama.</w:t>
      </w:r>
    </w:p>
    <w:p>
      <w:pPr>
        <w:spacing w:after="80"/>
      </w:pPr>
      <w:r>
        <w:rPr>
          <w:b/>
        </w:rPr>
        <w:t xml:space="preserve">Fase 2 — evidencia disponible: </w:t>
      </w:r>
      <w:r>
        <w:t>Fase 2: el repositorio publica backend/ y web/ y un README que describe React/TypeScript/Vite, FastAPI, PostgreSQL/Supabase, migraciones y límites conocidos. El commit e9c2889 agrega documentación el 18-10-2026; el código base se identifica en “Nuevo Main” del 17-10-2026.</w:t>
      </w:r>
    </w:p>
    <w:p>
      <w:pPr>
        <w:spacing w:after="80"/>
      </w:pPr>
      <w:r>
        <w:rPr>
          <w:b/>
        </w:rPr>
        <w:t xml:space="preserve">Estado y límite: </w:t>
      </w:r>
      <w:r>
        <w:t>Estado: referencia común del proyecto. El README documenta también servicios de demostración y brechas; no se certifica ejecución de la versión completa.</w:t>
      </w:r>
    </w:p>
    <w:p>
      <w:pPr>
        <w:pStyle w:val="Heading3"/>
        <w:keepNext/>
      </w:pPr>
      <w:r>
        <w:t>feature/backend</w:t>
      </w:r>
    </w:p>
    <w:p>
      <w:pPr>
        <w:spacing w:after="80"/>
      </w:pPr>
      <w:r>
        <w:rPr>
          <w:b/>
        </w:rPr>
        <w:t xml:space="preserve">Fase 1 — foco planificado: </w:t>
      </w:r>
      <w:r>
        <w:t>Fase 1: planifica API modular FastAPI, autenticación, JWT/2FA y motor de riesgo. La matriz original asignó backend/seguridad a Alfredo, pero no implica autoría exclusiva.</w:t>
      </w:r>
    </w:p>
    <w:p>
      <w:pPr>
        <w:spacing w:after="80"/>
      </w:pPr>
      <w:r>
        <w:rPr>
          <w:b/>
        </w:rPr>
        <w:t xml:space="preserve">Fase 2 — evidencia disponible: </w:t>
      </w:r>
      <w:r>
        <w:t>Fase 2: la guía anterior reportó endpoints GET/POST probados en Swagger. La rama existe, pero no presenta cambios exclusivos frente a main al corte. El equipo atribuye a Cristopher trabajo real de backend/seguridad y envío de códigos a correos de prueba con acceso exitoso en Codespaces.</w:t>
      </w:r>
    </w:p>
    <w:p>
      <w:pPr>
        <w:spacing w:after="80"/>
      </w:pPr>
      <w:r>
        <w:rPr>
          <w:b/>
        </w:rPr>
        <w:t xml:space="preserve">Estado y límite: </w:t>
      </w:r>
      <w:r>
        <w:t>Estado: lo probado en Swagger consta en el informe y las notas también registran discrepancias de 200/201 y 200/401. No se repitieron pruebas y los cambios recientes de autenticación se observan en feature/frontend.</w:t>
      </w:r>
    </w:p>
    <w:p>
      <w:pPr>
        <w:pStyle w:val="Heading3"/>
        <w:keepNext/>
      </w:pPr>
      <w:r>
        <w:t>feature/data-engine</w:t>
      </w:r>
    </w:p>
    <w:p>
      <w:pPr>
        <w:spacing w:after="80"/>
      </w:pPr>
      <w:r>
        <w:rPr>
          <w:b/>
        </w:rPr>
        <w:t xml:space="preserve">Fase 1 — foco planificado: </w:t>
      </w:r>
      <w:r>
        <w:t>Fase 1: planifica PostgreSQL, modelo de propiedades, ingesta y motor de reglas; el rol previsto fue Felipe.</w:t>
      </w:r>
    </w:p>
    <w:p>
      <w:pPr>
        <w:spacing w:after="80"/>
      </w:pPr>
      <w:r>
        <w:rPr>
          <w:b/>
        </w:rPr>
        <w:t xml:space="preserve">Fase 2 — evidencia disponible: </w:t>
      </w:r>
      <w:r>
        <w:t>Fase 2: no hay cambios exclusivos frente a main en GitHub al corte. El equipo informa que Felipe hizo el primer levantamiento local; Matías pobló tablas/datos; Alfredo preparó la estructura Supabase y cargó diez registros iniciales con la información limitada del representante del cliente.</w:t>
      </w:r>
    </w:p>
    <w:p>
      <w:pPr>
        <w:spacing w:after="80"/>
      </w:pPr>
      <w:r>
        <w:rPr>
          <w:b/>
        </w:rPr>
        <w:t xml:space="preserve">Estado y límite: </w:t>
      </w:r>
      <w:r>
        <w:t>Estado: Supabase fue adoptado como base accesible para el equipo. La instancia y el esquema no se inspeccionaron. La captura del prototipo indica 11 registros; no se concilió ese conteo con los diez iniciales.</w:t>
      </w:r>
    </w:p>
    <w:p>
      <w:pPr>
        <w:pStyle w:val="Heading3"/>
        <w:keepNext/>
      </w:pPr>
      <w:r>
        <w:t>feature/devops-qa</w:t>
      </w:r>
    </w:p>
    <w:p>
      <w:pPr>
        <w:spacing w:after="80"/>
      </w:pPr>
      <w:r>
        <w:rPr>
          <w:b/>
        </w:rPr>
        <w:t xml:space="preserve">Fase 1 — foco planificado: </w:t>
      </w:r>
      <w:r>
        <w:t>Fase 1: planifica Docker/Compose, pruebas y servicios asíncronos; Matías figura como responsable previsto.</w:t>
      </w:r>
    </w:p>
    <w:p>
      <w:pPr>
        <w:spacing w:after="80"/>
      </w:pPr>
      <w:r>
        <w:rPr>
          <w:b/>
        </w:rPr>
        <w:t xml:space="preserve">Fase 2 — evidencia disponible: </w:t>
      </w:r>
      <w:r>
        <w:t>Fase 2 original: Dockerización integral y QA figuran con retraso y reprogramación. Más tarde, el equipo reportó que Matías levantó Docker en línea. La rama no presenta cambios exclusivos frente a main; Dockerfile y compose aparecen en el proyecto común.</w:t>
      </w:r>
    </w:p>
    <w:p>
      <w:pPr>
        <w:spacing w:after="80"/>
      </w:pPr>
      <w:r>
        <w:rPr>
          <w:b/>
        </w:rPr>
        <w:t xml:space="preserve">Estado y límite: </w:t>
      </w:r>
      <w:r>
        <w:t>Estado: el informe histórico y el avance posterior se presentan como momentos distintos. No se inició Docker ni Pytest durante esta revisión; no se declara una línea base QA aprobada.</w:t>
      </w:r>
    </w:p>
    <w:p>
      <w:pPr>
        <w:pStyle w:val="Heading3"/>
        <w:keepNext/>
      </w:pPr>
      <w:r>
        <w:t>feature/frontend</w:t>
      </w:r>
    </w:p>
    <w:p>
      <w:pPr>
        <w:spacing w:after="80"/>
      </w:pPr>
      <w:r>
        <w:rPr>
          <w:b/>
        </w:rPr>
        <w:t xml:space="preserve">Fase 1 — foco planificado: </w:t>
      </w:r>
      <w:r>
        <w:t>Fase 1: planifica una interfaz React/TypeScript con tabla, tarjetas, mapa, filtros y ficha de propiedad.</w:t>
      </w:r>
    </w:p>
    <w:p>
      <w:pPr>
        <w:spacing w:after="80"/>
      </w:pPr>
      <w:r>
        <w:rPr>
          <w:b/>
        </w:rPr>
        <w:t xml:space="preserve">Fase 2 — evidencia disponible: </w:t>
      </w:r>
      <w:r>
        <w:t>Fase 2: es la única rama feature con un commit diferencial reciente. b2f8fe5 de Cristopher modifica siete archivos; el diff muestra cambios en auth.py, configuración SMTP, conexión/sesión y traducciones. El equipo informa que el trabajo de Cristopher cruzó frontend, backend y seguridad.</w:t>
      </w:r>
    </w:p>
    <w:p>
      <w:pPr>
        <w:spacing w:after="80"/>
      </w:pPr>
      <w:r>
        <w:rPr>
          <w:b/>
        </w:rPr>
        <w:t xml:space="preserve">Estado y límite: </w:t>
      </w:r>
      <w:r>
        <w:t>Estado: la captura de Netlify muestra una sesión autenticada y una lista que indica 11 registros, con filtros y opciones de tabla/tarjetas/mapa. El enlace público abrió la pantalla de acceso durante esta revisión; no se probó el login ni cada control. El mensaje del commit alude a Supabase y lista de propiedades, pero el diff revisado no se interpreta como prueba de carga de datos.</w:t>
      </w:r>
    </w:p>
    <w:p>
      <w:pPr>
        <w:pStyle w:val="Heading2"/>
        <w:keepNext/>
      </w:pPr>
      <w:r>
        <w:t>4.2 Evidencias complementarias compartidas</w:t>
      </w:r>
    </w:p>
    <w:p>
      <w:pPr>
        <w:spacing w:after="100"/>
      </w:pPr>
      <w:r>
        <w:rPr>
          <w:b/>
        </w:rPr>
        <w:t xml:space="preserve">Prototipo publicado. </w:t>
      </w:r>
      <w:r>
        <w:t>La URL https://clearbid-nj-sippri.netlify.app/ abrió una pantalla de acceso institucional al revisarse. La captura aportada por Alfredo muestra después del acceso un tablero que indica 11 registros y controles de filtros y vistas. Esto prueba que una interfaz fue publicada y que se mostró en la captura; no verifica acciones, disponibilidad permanente, contenido real o integración completa.</w:t>
      </w:r>
    </w:p>
    <w:p>
      <w:pPr>
        <w:spacing w:after="100"/>
      </w:pPr>
      <w:r>
        <w:rPr>
          <w:b/>
        </w:rPr>
        <w:t xml:space="preserve">Supabase. </w:t>
      </w:r>
      <w:r>
        <w:t>El equipo entregó la URL de proyecto https://uxaeutpgbwunpwpgmvio.supabase.co. Se consigna como identificador del proyecto; no se consultó la instancia ni se exponen claves o contraseñas. La presencia de una URL no prueba conectividad, esquema ni políticas de seguridad.</w:t>
      </w:r>
    </w:p>
    <w:p>
      <w:pPr>
        <w:spacing w:after="100"/>
      </w:pPr>
      <w:r>
        <w:rPr>
          <w:b/>
        </w:rPr>
        <w:t xml:space="preserve">Pruebas y seguridad. </w:t>
      </w:r>
      <w:r>
        <w:t>Errores en pruebas.txt registra fallos por códigos HTTP esperados distintos de los observados. El README actual advierte un problema de verificación OTP. El equipo reporta envío por correo y acceso en Codespaces, pero no se volvió a ejecutar el flujo. Se requiere contrastar el relato, la prueba y el commit exacto antes de cerrar la brecha.</w:t>
      </w:r>
    </w:p>
    <w:p>
      <w:pPr>
        <w:spacing w:after="100"/>
      </w:pPr>
      <w:r>
        <w:rPr>
          <w:b/>
        </w:rPr>
        <w:t xml:space="preserve">Roles y contribuciones. </w:t>
      </w:r>
      <w:r>
        <w:t>Las guías de Fase 1/2 sirven para identificar responsabilidades previstas. La actualización del equipo aclara una práctica transversal: Cristopher trabajó backend/seguridad y frontend; Felipe inició la base local; Matías pobló datos y levantó Docker en línea; Alfredo conectó una estructura sencilla con Supabase, cargó diez registros iniciales y preparó una app temprana en la nube.</w:t>
      </w:r>
    </w:p>
    <w:p>
      <w:pPr>
        <w:pStyle w:val="Heading1"/>
        <w:keepNext/>
      </w:pPr>
      <w:r>
        <w:t>5. Síntesis y acciones de seguimiento</w:t>
      </w:r>
    </w:p>
    <w:p>
      <w:r>
        <w:t>Fase 1 formalizó una arquitectura y un alcance amplio. En Fase 2 se establecieron componentes concretos y existen avances verificables en el repositorio, especialmente el commit reciente de feature/frontend y la documentación de main. También se reportan avances locales y en la nube que deben publicarse con su rama y commit. La evidencia no permite afirmar que las cinco ramas estén integradas o que todas las funciones del MVP estén verificadas.</w:t>
      </w:r>
    </w:p>
    <w:p>
      <w:pPr>
        <w:spacing w:after="60"/>
      </w:pPr>
      <w:r>
        <w:t>Asociar cada evidencia técnica a rama, commit, fecha, integrante y entorno; mantener capturas sin credenciales visibles.</w:t>
      </w:r>
    </w:p>
    <w:p>
      <w:pPr>
        <w:spacing w:after="60"/>
      </w:pPr>
      <w:r>
        <w:t>Integrar y revisar en GitHub los cambios locales de backend, datos y DevOps que no aparecen como diferencias exclusivas en sus ramas.</w:t>
      </w:r>
    </w:p>
    <w:p>
      <w:pPr>
        <w:spacing w:after="60"/>
      </w:pPr>
      <w:r>
        <w:t>Reconciliar las pruebas de registro/OTP (200, 201 y 401) con el código vigente; conservar salida y commit reproducible.</w:t>
      </w:r>
    </w:p>
    <w:p>
      <w:pPr>
        <w:spacing w:after="60"/>
      </w:pPr>
      <w:r>
        <w:t>Validar en Supabase el esquema, el conteo y la procedencia de los registros, comparando con la lista del prototipo.</w:t>
      </w:r>
    </w:p>
    <w:p>
      <w:pPr>
        <w:spacing w:after="60"/>
      </w:pPr>
      <w:r>
        <w:t>Registrar la ejecución de Docker y la suite QA desde un commit compartido; reportar por separado qué servicios arrancan y cuáles fueron probados.</w:t>
      </w:r>
    </w:p>
    <w:p>
      <w:pPr>
        <w:pStyle w:val="Heading1"/>
        <w:keepNext/>
      </w:pPr>
      <w:r>
        <w:t>Fuentes revisadas</w:t>
      </w:r>
    </w:p>
    <w:p>
      <w:pPr>
        <w:spacing w:after="40"/>
      </w:pPr>
      <w:r>
        <w:t>Guía Estudiante Fase 1, Definición Proyecto APT (versión en español), compartida por el equipo.</w:t>
      </w:r>
    </w:p>
    <w:p>
      <w:r>
        <w:t>Documento de apoyo para 2.4.docx, revisado como antecedente de planificación y criterios de evidencia.</w:t>
      </w:r>
    </w:p>
    <w:p>
      <w:pPr>
        <w:spacing w:after="40"/>
      </w:pPr>
      <w:r>
        <w:t>Guía Estudiante Fase 2, Desarrollo Proyecto APT, archivo original revisado y actualizado mediante esta copia.</w:t>
      </w:r>
    </w:p>
    <w:p>
      <w:pPr>
        <w:spacing w:after="40"/>
      </w:pPr>
      <w:r>
        <w:t>Repositorio público: https://github.com/Alphareone/Pruebas_Proyecto_ClearBidNJ</w:t>
      </w:r>
    </w:p>
    <w:p>
      <w:pPr>
        <w:spacing w:after="40"/>
      </w:pPr>
      <w:r>
        <w:t>Listado de ramas: https://github.com/Alphareone/Pruebas_Proyecto_ClearBidNJ/branches</w:t>
      </w:r>
    </w:p>
    <w:p>
      <w:pPr>
        <w:spacing w:after="40"/>
      </w:pPr>
      <w:r>
        <w:t>Comparación feature/frontend: https://github.com/Alphareone/Pruebas_Proyecto_ClearBidNJ/compare/main...feature/frontend</w:t>
      </w:r>
    </w:p>
    <w:p>
      <w:pPr>
        <w:spacing w:after="40"/>
      </w:pPr>
      <w:r>
        <w:t>Comparaciones de las demás ramas: https://github.com/Alphareone/Pruebas_Proyecto_ClearBidNJ/compare/main...feature/backend ; https://github.com/Alphareone/Pruebas_Proyecto_ClearBidNJ/compare/main...feature/data-engine ; https://github.com/Alphareone/Pruebas_Proyecto_ClearBidNJ/compare/main...feature/devops-qa</w:t>
      </w:r>
    </w:p>
    <w:p>
      <w:pPr>
        <w:spacing w:after="40"/>
      </w:pPr>
      <w:r>
        <w:t>Captura del prototipo Netlify, errores de pruebas y notas del proyecto compartidos por el equipo.</w:t>
      </w:r>
    </w:p>
    <w:p>
      <w:r>
        <w:br w:type="page"/>
      </w:r>
    </w:p>
    <w:p>
      <w:pPr>
        <w:pStyle w:val="Heading1"/>
      </w:pPr>
      <w:r>
        <w:t>Anexo. Revisión de evidencias de la carpeta Fase 2</w:t>
      </w:r>
    </w:p>
    <w:p>
      <w:r>
        <w:t>Revisión documental complementaria realizada el 19 de octubre de 2026 sobre el archivo ZIP exportado de la carpeta compartida. El vínculo de Drive no pudo consultarse directamente desde esta sesión; este anexo se basa en la copia ZIP adjunta. Se identificaron 45 archivos y, dentro de ellos, un archivo de proyecto comprimido con código fuente, configuraciones, dependencias y artefactos generados. La inspección fue estática: no se ejecutaron la aplicación, los contenedores ni las pruebas.</w:t>
      </w:r>
    </w:p>
    <w:p>
      <w:r>
        <w:t>El archivo “documento de apoyo para 2.4.docx” se considera un antecedente de planificación: ordena el MVP local, la base de datos, Docker y la entrega, y propone una matriz para asociar resultados con evidencia. El propio texto aclara que los hitos y funcionalidades deben verificarse. También contiene una referencia interna a “hoy es 6 de octubre”; se conserva como contexto histórico, no como fecha de corte de este informe. Sus menciones a Scrum y Product Backlog describen el enfoque previsto, pero no verifican reuniones, sprints cerrados ni actividad en Trello.</w:t>
      </w:r>
    </w:p>
    <w:p>
      <w:r>
        <w:t>La guía grupal 2.4 incluida en el ZIP conserva declaraciones de avance (por ejemplo, endpoints Swagger y respuesta 201), pero no tiene capturas incrustadas. La carpeta externa sí contiene capturas y documentos que permiten formalizar evidencia adicional, siempre distinguiendo capturas, documentos, archivos de código y pruebas reproducibles.</w:t>
      </w:r>
    </w:p>
    <w:tbl>
      <w:tblPr>
        <w:tblStyle w:val="Tablaconcuadrcula"/>
        <w:tblW w:type="auto" w:w="0"/>
        <w:jc w:val="center"/>
        <w:tblLayout w:type="fixed"/>
        <w:tblLook w:firstColumn="1" w:firstRow="1" w:lastColumn="0" w:lastRow="0" w:noHBand="0" w:noVBand="1" w:val="04A0"/>
      </w:tblPr>
      <w:tblGrid>
        <w:gridCol w:w="2835"/>
        <w:gridCol w:w="2835"/>
        <w:gridCol w:w="2835"/>
      </w:tblGrid>
      <w:tr>
        <w:trPr>
          <w:cantSplit/>
        </w:trPr>
        <w:tc>
          <w:tcPr>
            <w:tcW w:type="dxa" w:w="1944"/>
            <w:shd w:fill="243B5A"/>
          </w:tcPr>
          <w:p>
            <w:r>
              <w:rPr>
                <w:b/>
                <w:color w:val="FFFFFF"/>
                <w:sz w:val="17"/>
              </w:rPr>
              <w:t>Área / material</w:t>
            </w:r>
          </w:p>
        </w:tc>
        <w:tc>
          <w:tcPr>
            <w:tcW w:type="dxa" w:w="4320"/>
            <w:shd w:fill="243B5A"/>
          </w:tcPr>
          <w:p>
            <w:r>
              <w:rPr>
                <w:b/>
                <w:color w:val="FFFFFF"/>
                <w:sz w:val="17"/>
              </w:rPr>
              <w:t>Qué aporta la carpeta</w:t>
            </w:r>
          </w:p>
        </w:tc>
        <w:tc>
          <w:tcPr>
            <w:tcW w:type="dxa" w:w="4248"/>
            <w:shd w:fill="243B5A"/>
          </w:tcPr>
          <w:p>
            <w:r>
              <w:rPr>
                <w:b/>
                <w:color w:val="FFFFFF"/>
                <w:sz w:val="17"/>
              </w:rPr>
              <w:t>Alcance y cautela</w:t>
            </w:r>
          </w:p>
        </w:tc>
      </w:tr>
      <w:tr>
        <w:trPr>
          <w:cantSplit/>
        </w:trPr>
        <w:tc>
          <w:tcPr>
            <w:tcW w:type="dxa" w:w="1944"/>
            <w:vAlign w:val="center"/>
          </w:tcPr>
          <w:p>
            <w:pPr>
              <w:spacing w:after="60"/>
            </w:pPr>
            <w:r>
              <w:rPr>
                <w:sz w:val="16"/>
              </w:rPr>
              <w:t>Backend</w:t>
            </w:r>
          </w:p>
        </w:tc>
        <w:tc>
          <w:tcPr>
            <w:tcW w:type="dxa" w:w="4320"/>
            <w:vAlign w:val="center"/>
          </w:tcPr>
          <w:p>
            <w:pPr>
              <w:spacing w:after="60"/>
            </w:pPr>
            <w:r>
              <w:rPr>
                <w:sz w:val="16"/>
              </w:rPr>
              <w:t>Capturas del 20-09-2026 muestran pantallas de API/Swagger y respuestas de solicitudes; el ZIP de proyecto contiene FastAPI, rutas versionadas, modelos, configuración de seguridad y pruebas para autenticación y propiedades.</w:t>
            </w:r>
          </w:p>
        </w:tc>
        <w:tc>
          <w:tcPr>
            <w:tcW w:type="dxa" w:w="4248"/>
            <w:vAlign w:val="center"/>
          </w:tcPr>
          <w:p>
            <w:pPr>
              <w:spacing w:after="60"/>
            </w:pPr>
            <w:r>
              <w:rPr>
                <w:sz w:val="16"/>
              </w:rPr>
              <w:t>Es evidencia de código y de ejecuciones capturadas, no de que todas las rutas estén operativas ahora. “Errores en pruebas.txt” consigna tres discrepancias: dos altas esperaban HTTP 201 y recibieron 200; el código OTP inválido esperaba 401 y recibió 200.</w:t>
            </w:r>
          </w:p>
        </w:tc>
      </w:tr>
      <w:tr>
        <w:trPr>
          <w:cantSplit/>
        </w:trPr>
        <w:tc>
          <w:tcPr>
            <w:tcW w:type="dxa" w:w="1944"/>
            <w:vAlign w:val="center"/>
            <w:shd w:fill="F3F6FA"/>
          </w:tcPr>
          <w:p>
            <w:pPr>
              <w:spacing w:after="60"/>
            </w:pPr>
            <w:r>
              <w:rPr>
                <w:sz w:val="16"/>
              </w:rPr>
              <w:t>Frontend</w:t>
            </w:r>
          </w:p>
        </w:tc>
        <w:tc>
          <w:tcPr>
            <w:tcW w:type="dxa" w:w="4320"/>
            <w:vAlign w:val="center"/>
            <w:shd w:fill="F3F6FA"/>
          </w:tcPr>
          <w:p>
            <w:pPr>
              <w:spacing w:after="60"/>
            </w:pPr>
            <w:r>
              <w:rPr>
                <w:sz w:val="16"/>
              </w:rPr>
              <w:t>Capturas del 18 y 19-10-2026 muestran pantallas de acceso, registro y verificación, además de una vista de propiedades con filtros y selector de tabla/tarjetas/mapa.</w:t>
            </w:r>
          </w:p>
        </w:tc>
        <w:tc>
          <w:tcPr>
            <w:tcW w:type="dxa" w:w="4248"/>
            <w:vAlign w:val="center"/>
            <w:shd w:fill="F3F6FA"/>
          </w:tcPr>
          <w:p>
            <w:pPr>
              <w:spacing w:after="60"/>
            </w:pPr>
            <w:r>
              <w:rPr>
                <w:sz w:val="16"/>
              </w:rPr>
              <w:t>La captura de propiedades indica “10 results” y a la vez “No properties match your filters”. Esto confirma una interfaz capturada, pero también una brecha de datos/filtros visible. No se revalidaron interacciones ni el despliegue.</w:t>
            </w:r>
          </w:p>
        </w:tc>
      </w:tr>
      <w:tr>
        <w:trPr>
          <w:cantSplit/>
        </w:trPr>
        <w:tc>
          <w:tcPr>
            <w:tcW w:type="dxa" w:w="1944"/>
            <w:vAlign w:val="center"/>
          </w:tcPr>
          <w:p>
            <w:pPr>
              <w:spacing w:after="60"/>
            </w:pPr>
            <w:r>
              <w:rPr>
                <w:sz w:val="16"/>
              </w:rPr>
              <w:t>Base de datos local</w:t>
            </w:r>
          </w:p>
        </w:tc>
        <w:tc>
          <w:tcPr>
            <w:tcW w:type="dxa" w:w="4320"/>
            <w:vAlign w:val="center"/>
          </w:tcPr>
          <w:p>
            <w:pPr>
              <w:spacing w:after="60"/>
            </w:pPr>
            <w:r>
              <w:rPr>
                <w:sz w:val="16"/>
              </w:rPr>
              <w:t>Captura de pgAdmin muestra PostgreSQL 16, el esquema clearbid_db con 25 tablas y una consulta a users con un registro.</w:t>
            </w:r>
          </w:p>
        </w:tc>
        <w:tc>
          <w:tcPr>
            <w:tcW w:type="dxa" w:w="4248"/>
            <w:vAlign w:val="center"/>
          </w:tcPr>
          <w:p>
            <w:pPr>
              <w:spacing w:after="60"/>
            </w:pPr>
            <w:r>
              <w:rPr>
                <w:sz w:val="16"/>
              </w:rPr>
              <w:t>La captura documenta PostgreSQL local y persistencia de un registro; no demuestra conexión a Supabase. La imagen expone datos personales y un hash de contraseña: no debe adjuntarse sin difuminar esos campos.</w:t>
            </w:r>
          </w:p>
        </w:tc>
      </w:tr>
      <w:tr>
        <w:trPr>
          <w:cantSplit/>
        </w:trPr>
        <w:tc>
          <w:tcPr>
            <w:tcW w:type="dxa" w:w="1944"/>
            <w:vAlign w:val="center"/>
            <w:shd w:fill="F3F6FA"/>
          </w:tcPr>
          <w:p>
            <w:pPr>
              <w:spacing w:after="60"/>
            </w:pPr>
            <w:r>
              <w:rPr>
                <w:sz w:val="16"/>
              </w:rPr>
              <w:t>Supabase / nube</w:t>
            </w:r>
          </w:p>
        </w:tc>
        <w:tc>
          <w:tcPr>
            <w:tcW w:type="dxa" w:w="4320"/>
            <w:vAlign w:val="center"/>
            <w:shd w:fill="F3F6FA"/>
          </w:tcPr>
          <w:p>
            <w:pPr>
              <w:spacing w:after="60"/>
            </w:pPr>
            <w:r>
              <w:rPr>
                <w:sz w:val="16"/>
              </w:rPr>
              <w:t>“Notas Adicionales.txt” describe el uso de Supabase, restricciones IPv4/IPv6 y diferencias entre nube y ejecución local. El equipo también ha informado una carga inicial de diez registros y una app temprana en la nube.</w:t>
            </w:r>
          </w:p>
        </w:tc>
        <w:tc>
          <w:tcPr>
            <w:tcW w:type="dxa" w:w="4248"/>
            <w:vAlign w:val="center"/>
            <w:shd w:fill="F3F6FA"/>
          </w:tcPr>
          <w:p>
            <w:pPr>
              <w:spacing w:after="60"/>
            </w:pPr>
            <w:r>
              <w:rPr>
                <w:sz w:val="16"/>
              </w:rPr>
              <w:t>Son antecedentes declarados. En el archivo de entorno del ZIP, la URL de base de datos apunta a un host local/privado, no permite corroborar la conexión de esta copia a Supabase. La URL de proyecto entregada por el equipo tampoco basta para probar esquema, políticas o datos.</w:t>
            </w:r>
          </w:p>
        </w:tc>
      </w:tr>
      <w:tr>
        <w:trPr>
          <w:cantSplit/>
        </w:trPr>
        <w:tc>
          <w:tcPr>
            <w:tcW w:type="dxa" w:w="1944"/>
            <w:vAlign w:val="center"/>
          </w:tcPr>
          <w:p>
            <w:pPr>
              <w:spacing w:after="60"/>
            </w:pPr>
            <w:r>
              <w:rPr>
                <w:sz w:val="16"/>
              </w:rPr>
              <w:t>Docker / DevOps</w:t>
            </w:r>
          </w:p>
        </w:tc>
        <w:tc>
          <w:tcPr>
            <w:tcW w:type="dxa" w:w="4320"/>
            <w:vAlign w:val="center"/>
          </w:tcPr>
          <w:p>
            <w:pPr>
              <w:spacing w:after="60"/>
            </w:pPr>
            <w:r>
              <w:rPr>
                <w:sz w:val="16"/>
              </w:rPr>
              <w:t>Cinco capturas fechadas 15–16-10-2026 documentan comandos, configuración y salida de entorno. El proyecto comprimido contiene Dockerfile y docker-compose para el backend.</w:t>
            </w:r>
          </w:p>
        </w:tc>
        <w:tc>
          <w:tcPr>
            <w:tcW w:type="dxa" w:w="4248"/>
            <w:vAlign w:val="center"/>
          </w:tcPr>
          <w:p>
            <w:pPr>
              <w:spacing w:after="60"/>
            </w:pPr>
            <w:r>
              <w:rPr>
                <w:sz w:val="16"/>
              </w:rPr>
              <w:t>El material apoya que hubo trabajo de configuración/levantamiento. No se ejecutó Docker en esta revisión y no se certifica un despliegue actual, persistencia, salud de todos los servicios ni QA aprobado.</w:t>
            </w:r>
          </w:p>
        </w:tc>
      </w:tr>
      <w:tr>
        <w:trPr>
          <w:cantSplit/>
        </w:trPr>
        <w:tc>
          <w:tcPr>
            <w:tcW w:type="dxa" w:w="1944"/>
            <w:vAlign w:val="center"/>
            <w:shd w:fill="F3F6FA"/>
          </w:tcPr>
          <w:p>
            <w:pPr>
              <w:spacing w:after="60"/>
            </w:pPr>
            <w:r>
              <w:rPr>
                <w:sz w:val="16"/>
              </w:rPr>
              <w:t>Modelo de datos</w:t>
            </w:r>
          </w:p>
        </w:tc>
        <w:tc>
          <w:tcPr>
            <w:tcW w:type="dxa" w:w="4320"/>
            <w:vAlign w:val="center"/>
            <w:shd w:fill="F3F6FA"/>
          </w:tcPr>
          <w:p>
            <w:pPr>
              <w:spacing w:after="60"/>
            </w:pPr>
            <w:r>
              <w:rPr>
                <w:sz w:val="16"/>
              </w:rPr>
              <w:t>El PDF “Informe Técnico de Arquitectura de Datos Subastas Mercer NJ” propone entidades PROPERTIES, FORECLOSURE_SALES, TITLE_HISTORY y SALE_LIENS, reglas de normalización, índices y SQL con diez propiedades/subastas de ejemplo.</w:t>
            </w:r>
          </w:p>
        </w:tc>
        <w:tc>
          <w:tcPr>
            <w:tcW w:type="dxa" w:w="4248"/>
            <w:vAlign w:val="center"/>
            <w:shd w:fill="F3F6FA"/>
          </w:tcPr>
          <w:p>
            <w:pPr>
              <w:spacing w:after="60"/>
            </w:pPr>
            <w:r>
              <w:rPr>
                <w:sz w:val="16"/>
              </w:rPr>
              <w:t>Se clasifica como diseño/propuesta documental. El PDF usa las etiquetas “Producción” y “Aprobado”, pero no incluye en el material revisado una firma o acta de aprobación; tampoco se verificó que ese DDL coincida con las migraciones/código vigentes.</w:t>
            </w:r>
          </w:p>
        </w:tc>
      </w:tr>
      <w:tr>
        <w:trPr>
          <w:cantSplit/>
        </w:trPr>
        <w:tc>
          <w:tcPr>
            <w:tcW w:type="dxa" w:w="1944"/>
            <w:vAlign w:val="center"/>
          </w:tcPr>
          <w:p>
            <w:pPr>
              <w:spacing w:after="60"/>
            </w:pPr>
            <w:r>
              <w:rPr>
                <w:sz w:val="16"/>
              </w:rPr>
              <w:t>Gestión y reflexión</w:t>
            </w:r>
          </w:p>
        </w:tc>
        <w:tc>
          <w:tcPr>
            <w:tcW w:type="dxa" w:w="4320"/>
            <w:vAlign w:val="center"/>
          </w:tcPr>
          <w:p>
            <w:r>
              <w:t>Se incluyen guías grupales 2.4/2.6, versiones en inglés/español, autoevaluación, formularios de avance y diarios de reflexión de integrantes. Registran retrasos por horarios, entrega limitada de datos y distintas percepciones sobre coordinación y roles. La guía menciona Trello entre los recursos previstos; Alfredo señala que no lo ha utilizado y no se aportó evidencia del tablero activo.</w:t>
            </w:r>
          </w:p>
        </w:tc>
        <w:tc>
          <w:tcPr>
            <w:tcW w:type="dxa" w:w="4248"/>
            <w:vAlign w:val="center"/>
          </w:tcPr>
          <w:p>
            <w:r>
              <w:t>Las reflexiones son evidencia de proceso, no prueba técnica. No se afirma que ningún integrante use Trello: el uso por el resto del equipo está pendiente de confirmación. Scrum/sprints y Trello se mantienen como declaración de la guía mientras no exista registro verificable.</w:t>
            </w:r>
          </w:p>
        </w:tc>
      </w:tr>
      <w:tr>
        <w:trPr>
          <w:cantSplit/>
        </w:trPr>
        <w:tc>
          <w:tcPr>
            <w:tcW w:type="dxa" w:w="1944"/>
            <w:vAlign w:val="center"/>
            <w:shd w:fill="F3F6FA"/>
          </w:tcPr>
          <w:p>
            <w:pPr>
              <w:spacing w:after="60"/>
            </w:pPr>
            <w:r>
              <w:rPr>
                <w:sz w:val="16"/>
              </w:rPr>
              <w:t>Código entregado</w:t>
            </w:r>
          </w:p>
        </w:tc>
        <w:tc>
          <w:tcPr>
            <w:tcW w:type="dxa" w:w="4320"/>
            <w:vAlign w:val="center"/>
            <w:shd w:fill="F3F6FA"/>
          </w:tcPr>
          <w:p>
            <w:pPr>
              <w:spacing w:after="60"/>
            </w:pPr>
            <w:r>
              <w:rPr>
                <w:sz w:val="16"/>
              </w:rPr>
              <w:t>El ZIP interno contiene backend FastAPI con SQLAlchemy asíncrono/Alembic, frontend React/Vite/TypeScript, pruebas y archivos de configuración. También incluye un entorno virtual completo, caches y archivos compilados.</w:t>
            </w:r>
          </w:p>
        </w:tc>
        <w:tc>
          <w:tcPr>
            <w:tcW w:type="dxa" w:w="4248"/>
            <w:vAlign w:val="center"/>
            <w:shd w:fill="F3F6FA"/>
          </w:tcPr>
          <w:p>
            <w:pPr>
              <w:spacing w:after="60"/>
            </w:pPr>
            <w:r>
              <w:rPr>
                <w:sz w:val="16"/>
              </w:rPr>
              <w:t>La presencia de módulos o dependencias no prueba que cada funcionalidad esté terminada. El entorno virtual y caches dificultan la revisión y aumentan el tamaño; para futuras entregas conviene excluirlos y compartir un lockfile/requirements reproducible.</w:t>
            </w:r>
          </w:p>
        </w:tc>
      </w:tr>
    </w:tbl>
    <w:p>
      <w:pPr>
        <w:pStyle w:val="Heading2"/>
      </w:pPr>
      <w:r>
        <w:t>Lectura consolidada de las evidencias</w:t>
      </w:r>
    </w:p>
    <w:p>
      <w:pPr>
        <w:spacing w:after="100"/>
      </w:pPr>
      <w:r>
        <w:rPr>
          <w:b/>
        </w:rPr>
        <w:t xml:space="preserve">Avances sustentados: </w:t>
      </w:r>
      <w:r>
        <w:t>hay estructura de aplicación en frontend y backend, evidencia visual de interfaz, un esquema PostgreSQL local con múltiples tablas, configuración Docker y una propuesta de modelo de datos. El equipo además reporta una prueba de envío de códigos por correo en Codespaces y una primera conexión a Supabase, que deben vincularse con commits, entornos y capturas sin datos sensibles.</w:t>
      </w:r>
    </w:p>
    <w:p>
      <w:pPr>
        <w:spacing w:after="100"/>
      </w:pPr>
      <w:r>
        <w:rPr>
          <w:b/>
        </w:rPr>
        <w:t xml:space="preserve">Pendientes de corroboración: </w:t>
      </w:r>
      <w:r>
        <w:t>integración entre el frontend capturado, la API y la instancia Supabase; origen y conciliación de los 10 registros iniciales frente a los conteos mostrados por distintas capturas; correspondencia entre el PDF de arquitectura y las migraciones actuales; resultados de la suite de pruebas y funcionamiento actual del despliegue.</w:t>
      </w:r>
    </w:p>
    <w:p>
      <w:pPr>
        <w:spacing w:after="100"/>
      </w:pPr>
      <w:r>
        <w:rPr>
          <w:b/>
        </w:rPr>
        <w:t xml:space="preserve">Seguridad documental: </w:t>
      </w:r>
      <w:r>
        <w:t>el ZIP incluye backend/.env y capturas con datos personales y hash de contraseña. No se reproducen valores en este informe. Antes de distribuir la carpeta, retirar .env y difuminar los datos de personas; si el archivo contenía una clave JWT u otra credencial vigente, rotarla y mantener solo .env.example con valores ficticios.</w:t>
      </w:r>
    </w:p>
    <w:p>
      <w:pPr>
        <w:pStyle w:val="Heading2"/>
      </w:pPr>
      <w:r>
        <w:t>Ajustes recomendados al expediente de evidencias</w:t>
      </w:r>
    </w:p>
    <w:p>
      <w:pPr>
        <w:spacing w:after="60"/>
      </w:pPr>
      <w:r>
        <w:t>Crear un índice de evidencias con código, fecha, rama, commit, entorno, responsable y resultado observado; asociar allí cada captura y registro de prueba.</w:t>
      </w:r>
    </w:p>
    <w:p>
      <w:pPr>
        <w:spacing w:after="60"/>
      </w:pPr>
      <w:r>
        <w:t>Incorporar al informe únicamente capturas legibles y redactedas; diferenciar explícitamente PostgreSQL local de Supabase administrado en la nube.</w:t>
      </w:r>
    </w:p>
    <w:p>
      <w:pPr>
        <w:spacing w:after="60"/>
      </w:pPr>
      <w:r>
        <w:t>Anexar resultados reproducibles de las pruebas de registro, verificación OTP, listado de propiedades, autorización, base de datos y arranque Docker; documentar los fallos actuales y el commit que los corrige.</w:t>
      </w:r>
    </w:p>
    <w:p>
      <w:pPr>
        <w:spacing w:after="60"/>
      </w:pPr>
      <w:r>
        <w:t>Confirmar con el equipo si existe un tablero Trello activo, quién lo administra y qué tareas registra; adjuntar un corte fechado o ajustar el plan para reflejar el mecanismo realmente utilizado.</w:t>
      </w:r>
    </w:p>
    <w:p>
      <w:pPr>
        <w:spacing w:after="60"/>
      </w:pPr>
      <w:r>
        <w:t>Actualizar el documento de arquitectura para marcarlo como propuesta hasta contar con validación del cliente/equipo y cotejar su DDL con los modelos y migraciones del código.</w:t>
      </w:r>
    </w:p>
    <w:p>
      <w:pPr>
        <w:spacing w:after="60"/>
      </w:pPr>
      <w:r>
        <w:t>Preparar un ZIP limpio que excluya venv, caches, binarios y secretos; agregar instrucciones de instalación, variables ficticias de ejemplo y pasos de ejecución.</w:t>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A">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SuBpEweyW7b6v6Qro+5vjnRCA==">CgMxLjAaHgoBMBIZChcICVITChF0YWJsZS44cHdidHY0em1ncDIOaC44MTJ1NDY5a3Bzcjk4AHIhMUpkTUdtT3dack02blRGazZEWTU1Vm8wNVdZNWVhMFZF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Equipo ClearBid NJ</dc:creator>
  <dc:title>Informe de avance Fase 2 ClearBid NJ revisado con evidencias de la carpeta compartida</dc:title>
  <dc:subject>Informe de avance Fase 2 con evidencias técnicas y antecedentes de planificación contextualizados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