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114300</wp:posOffset>
            </wp:positionV>
            <wp:extent cx="2671763" cy="4227731"/>
            <wp:effectExtent b="0" l="0" r="0" t="0"/>
            <wp:wrapSquare wrapText="bothSides" distB="114300" distT="114300" distL="114300" distR="11430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42277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Diseño del Frontend (React/Vite): Se creó la interfaz visual de ClearBid NJ para la pantalla de registro.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Formulario y Lógica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): Se integraron los campos clave (Nombre, Apellido, Teléfono, Correo y Contraseña) vinculados al código para capturar lo que escribe el usuario.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Conexión y Flujo de Acceso: Se programó el botón Registrarse para enviar los datos al backend (FastAPI), permitiendo que el equipo cree sus cuentas y pruebe el ingreso a la plataforma desde el inicio del proyecto.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114300</wp:posOffset>
            </wp:positionV>
            <wp:extent cx="2552700" cy="2734572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7345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Interfaz de Verificación (Frontend): Pantalla en React/Vite diseñada con 6 casillas dinámicas para ingresar un código de autenticación de dos factores (OTP).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Lógica Backend y Código Genérico (Stub): Configuración de un entorno de pruebas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Stub</w:t>
      </w:r>
      <w:r w:rsidDel="00000000" w:rsidR="00000000" w:rsidRPr="00000000">
        <w:rPr>
          <w:color w:val="1f1f1f"/>
          <w:rtl w:val="0"/>
        </w:rPr>
        <w:t xml:space="preserve">) en FastAPI que valida un código estático/genérico de 6 dígitos. Esto permite simular el proceso de validación sin realizar envíos de SMS pagados (como Twilio).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Flujo de Seguridad: Segunda capa del proceso de registro para validar el teléfono del usuario antes de darle acceso completo a la plataforma ClearBid NJ.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086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Consulta e Inspección en Base de Datos (pgAdmin / PostgreSQL): Se realiza una consulta SQL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SELECT * FROM public.users ORDER BY id ASC</w:t>
      </w:r>
      <w:r w:rsidDel="00000000" w:rsidR="00000000" w:rsidRPr="00000000">
        <w:rPr>
          <w:rtl w:val="0"/>
        </w:rPr>
        <w:t xml:space="preserve">) dentro del cliente pgAdmin sobre la base de datos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clearbid_db</w:t>
      </w:r>
      <w:r w:rsidDel="00000000" w:rsidR="00000000" w:rsidRPr="00000000">
        <w:rPr>
          <w:rtl w:val="0"/>
        </w:rPr>
        <w:t xml:space="preserve"> para verificar la persistencia de los registros.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Confirmación del Registro Exitoso: Se visualiza la tabla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public.users</w:t>
      </w:r>
      <w:r w:rsidDel="00000000" w:rsidR="00000000" w:rsidRPr="00000000">
        <w:rPr>
          <w:rtl w:val="0"/>
        </w:rPr>
        <w:t xml:space="preserve"> con el nuevo usuario registrado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Felipe calderon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fel.calderono@duocuc.cl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Estructura y Seguridad: Se comprueban los campos guardados por el backend: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único generado, datos personales, número telefónico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+12345678</w:t>
      </w:r>
      <w:r w:rsidDel="00000000" w:rsidR="00000000" w:rsidRPr="00000000">
        <w:rPr>
          <w:rtl w:val="0"/>
        </w:rPr>
        <w:t xml:space="preserve">), estado de verificación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phone_verified: false</w:t>
      </w:r>
      <w:r w:rsidDel="00000000" w:rsidR="00000000" w:rsidRPr="00000000">
        <w:rPr>
          <w:rtl w:val="0"/>
        </w:rPr>
        <w:t xml:space="preserve">) y la contraseña encriptada de forma segura mediante el algoritmo Argon2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3655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Panel Principal y Visualización (Dashboard): Interfaz en React/Vite que muestra el listado completo de subastas con métricas financieras clave (precio de apertura, valor ARV, ROI estimado y fecha de remate).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Sistema de Clasificación de Riesgo ("Semáforo"): Implementación de indicadores visuales en las filas para clasificar el estado legal/financiero de cada inmueble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Filtros Avanzados y Búsqueda: Panel lateral de filtrado funcional que permite categorizar las propiedades por condado , tipo de remate , tipo de inmueble y rangos de ROI.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Carga e Integración de Datos (Mock/Backend): Los datos se estructuraron en el backend de FastAPI (o mediante un script de </w:t>
      </w:r>
      <w:r w:rsidDel="00000000" w:rsidR="00000000" w:rsidRPr="00000000">
        <w:rPr>
          <w:i w:val="1"/>
          <w:i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 en la base de datos PostgreSQL) y se sirven a través de un endpoint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GET /api/properties</w:t>
      </w:r>
      <w:r w:rsidDel="00000000" w:rsidR="00000000" w:rsidRPr="00000000">
        <w:rPr>
          <w:rtl w:val="0"/>
        </w:rPr>
        <w:t xml:space="preserve">. El frontend consume esta API mediante peticiones HTTP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fetch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axios</w:t>
      </w:r>
      <w:r w:rsidDel="00000000" w:rsidR="00000000" w:rsidRPr="00000000">
        <w:rPr>
          <w:rtl w:val="0"/>
        </w:rPr>
        <w:t xml:space="preserve">), guarda la respuesta en el estado del componente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) y renderiza dinámicamente cada propiedad usando un recorrido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.map()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Consulta de la Tabla de Propiedades (pgAdmin / PostgreSQL): Se ejecuta una consulta SQL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SELECT * FROM public.properties ORDER BY id ASC</w:t>
      </w:r>
      <w:r w:rsidDel="00000000" w:rsidR="00000000" w:rsidRPr="00000000">
        <w:rPr>
          <w:rtl w:val="0"/>
        </w:rPr>
        <w:t xml:space="preserve">) dentro del entorno de pgAdmin sobre la base de datos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clearbid_db</w:t>
      </w:r>
      <w:r w:rsidDel="00000000" w:rsidR="00000000" w:rsidRPr="00000000">
        <w:rPr>
          <w:rtl w:val="0"/>
        </w:rPr>
        <w:t xml:space="preserve"> para verificar la existencia y estructura de las propiedades almacenadas.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Persistencia e Integridad de Datos: Se confirma que los 3 registros mostrados anteriormente en la interfaz gráfica del Dashboard coinciden exactamente en la base de datos (direcciones: </w:t>
      </w:r>
      <w:r w:rsidDel="00000000" w:rsidR="00000000" w:rsidRPr="00000000">
        <w:rPr>
          <w:i w:val="1"/>
          <w:iCs w:val="1"/>
          <w:rtl w:val="0"/>
        </w:rPr>
        <w:t xml:space="preserve">88 Park Lane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142 E Hanover 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35 Beacon 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Verificación de Campos del Esquema: Se valida que cada registro cuenta con sus claves y atributos mapeados correctamente por el modelo del ORM: identificador único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), dirección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), ciudad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city</w:t>
      </w:r>
      <w:r w:rsidDel="00000000" w:rsidR="00000000" w:rsidRPr="00000000">
        <w:rPr>
          <w:rtl w:val="0"/>
        </w:rPr>
        <w:t xml:space="preserve">), código postal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zip</w:t>
      </w:r>
      <w:r w:rsidDel="00000000" w:rsidR="00000000" w:rsidRPr="00000000">
        <w:rPr>
          <w:rtl w:val="0"/>
        </w:rPr>
        <w:t xml:space="preserve">), condado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county_id</w:t>
      </w:r>
      <w:r w:rsidDel="00000000" w:rsidR="00000000" w:rsidRPr="00000000">
        <w:rPr>
          <w:rtl w:val="0"/>
        </w:rPr>
        <w:t xml:space="preserve">), tipo de inmueble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), y la marca del semáforo de riesgo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flag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