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vv3764ngiz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vw21ex9kdtdn" w:id="1"/>
      <w:bookmarkEnd w:id="1"/>
      <w:r w:rsidDel="00000000" w:rsidR="00000000" w:rsidRPr="00000000">
        <w:rPr>
          <w:rtl w:val="0"/>
        </w:rPr>
        <w:t xml:space="preserve">INFORME DE EVIDENCIAS Y MONITOREO DE DESARROLLO (RAMA FRONTEND / INTEGRACIÓN)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ClearBid NJ – Sistema de Inteligencia Pre-Puja para Remates Inmobiliarios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Proyecto APT (Capstone)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Estudiante / Responsable Frontend:</w:t>
      </w:r>
      <w:r w:rsidDel="00000000" w:rsidR="00000000" w:rsidRPr="00000000">
        <w:rPr>
          <w:rtl w:val="0"/>
        </w:rPr>
        <w:t xml:space="preserve"> Cristopher Leonardo Hernández Calderón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20/10/2026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gbwysy7kqve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Subtitle"/>
        <w:rPr>
          <w:b w:val="1"/>
          <w:bCs w:val="1"/>
          <w:color w:val="000000"/>
        </w:rPr>
      </w:pPr>
      <w:bookmarkStart w:colFirst="0" w:colLast="0" w:name="_wblddiiowzw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1. Resumen de Avance y Ajustes en el Frontend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Durante esta etapa, el trabajo del área de Frontend &amp; UX se concentró en conectar la aplicación web construida en React 18, TypeScript, Tailwind CSS y Vite con la API REST de FastAPI y la base de datos PostgreSQL en Supabase.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diferencia de entregas anteriores donde solo existían bocetos estáticos, en este sprint se logró: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Conexión Real con Supabase:</w:t>
      </w:r>
      <w:r w:rsidDel="00000000" w:rsidR="00000000" w:rsidRPr="00000000">
        <w:rPr>
          <w:rtl w:val="0"/>
        </w:rPr>
        <w:t xml:space="preserve"> La aplicación lee directamente el catálogo de propiedades registradas en la nube de Supabase a través del backend REST.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Visualización Dinámica de Fichas:</w:t>
      </w:r>
      <w:r w:rsidDel="00000000" w:rsidR="00000000" w:rsidRPr="00000000">
        <w:rPr>
          <w:rtl w:val="0"/>
        </w:rPr>
        <w:t xml:space="preserve"> Despliegue de la tabla de subastas con precios de apertura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Opening Bid</w:t>
      </w:r>
      <w:r w:rsidDel="00000000" w:rsidR="00000000" w:rsidRPr="00000000">
        <w:rPr>
          <w:rtl w:val="0"/>
        </w:rPr>
        <w:t xml:space="preserve">), ARV (Valor tras reparación), ROI estimado y estado del semáforo de riesgo.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Poblado con Caso de Uso Real:</w:t>
      </w:r>
      <w:r w:rsidDel="00000000" w:rsidR="00000000" w:rsidRPr="00000000">
        <w:rPr>
          <w:rtl w:val="0"/>
        </w:rPr>
        <w:t xml:space="preserve"> Se cargaron en la base de datos los datos extraídos del reporte oficial de título de Mercer County (</w:t>
      </w:r>
      <w:r w:rsidDel="00000000" w:rsidR="00000000" w:rsidRPr="00000000">
        <w:rPr>
          <w:b w:val="1"/>
          <w:bCs w:val="1"/>
          <w:rtl w:val="0"/>
        </w:rPr>
        <w:t xml:space="preserve">4216 Nottingham Way, Hamilton Twp, Block 1853, Lot 19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Subtitle"/>
        <w:rPr>
          <w:b w:val="1"/>
          <w:bCs w:val="1"/>
        </w:rPr>
      </w:pPr>
      <w:bookmarkStart w:colFirst="0" w:colLast="0" w:name="_n8v12kfhj86t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2. Evidencias Visuales del Sistema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n7ui1ge6v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Arquitectura de Base de Datos y Persistencia en Supabase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materializó el esquema relacional en la plataforma de Supabase, incluyendo las tablas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property_financials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property_legal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property_physical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traffic_light_results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881547</wp:posOffset>
            </wp:positionV>
            <wp:extent cx="4119563" cy="1998193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9981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33338</wp:posOffset>
            </wp:positionH>
            <wp:positionV relativeFrom="paragraph">
              <wp:posOffset>2076450</wp:posOffset>
            </wp:positionV>
            <wp:extent cx="4091484" cy="1957388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1484" cy="1957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Subtitle"/>
        <w:rPr>
          <w:b w:val="1"/>
          <w:bCs w:val="1"/>
          <w:color w:val="000000"/>
        </w:rPr>
      </w:pPr>
      <w:bookmarkStart w:colFirst="0" w:colLast="0" w:name="_nqj1a8ol4vyk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2.2. Servidores y Entorno de Desarrollo Local en GitHub Codespaces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Demostración de los servicios levantados localmente en la máquina virtual: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 FastAPI:</w:t>
      </w:r>
      <w:r w:rsidDel="00000000" w:rsidR="00000000" w:rsidRPr="00000000">
        <w:rPr>
          <w:rtl w:val="0"/>
        </w:rPr>
        <w:t xml:space="preserve"> Corriendo en el puerto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8000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uvicorn app.main:app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 React / Vite:</w:t>
      </w:r>
      <w:r w:rsidDel="00000000" w:rsidR="00000000" w:rsidRPr="00000000">
        <w:rPr>
          <w:rtl w:val="0"/>
        </w:rPr>
        <w:t xml:space="preserve"> Corriendo en el puerto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5173</w:t>
      </w:r>
      <w:r w:rsidDel="00000000" w:rsidR="00000000" w:rsidRPr="00000000">
        <w:rPr>
          <w:rtl w:val="0"/>
        </w:rPr>
        <w:t xml:space="preserve"> expuesto en modo público.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10922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11303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Subtitle"/>
        <w:rPr>
          <w:b w:val="1"/>
          <w:bCs w:val="1"/>
          <w:color w:val="000000"/>
        </w:rPr>
      </w:pPr>
      <w:bookmarkStart w:colFirst="0" w:colLast="0" w:name="_gc9yftd0a0ih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2.3. Dashboard e Interfaz Web de Propiedades (Frontend)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Despliegue final de la interfaz del usuario donde el inversor consulta el catálogo de subastas de Mercer County. </w:t>
      </w:r>
    </w:p>
    <w:p w:rsidR="00000000" w:rsidDel="00000000" w:rsidP="00000000" w:rsidRDefault="00000000" w:rsidRPr="00000000" w14:paraId="0000005F">
      <w:pPr>
        <w:pStyle w:val="Subtitle"/>
        <w:rPr>
          <w:b w:val="1"/>
          <w:bCs w:val="1"/>
          <w:color w:val="000000"/>
        </w:rPr>
      </w:pPr>
      <w:bookmarkStart w:colFirst="0" w:colLast="0" w:name="_xwyr8mfhm4pq" w:id="8"/>
      <w:bookmarkEnd w:id="8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228600</wp:posOffset>
            </wp:positionV>
            <wp:extent cx="4345264" cy="2109788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5264" cy="2109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pStyle w:val="Subtitle"/>
        <w:rPr>
          <w:b w:val="1"/>
          <w:bCs w:val="1"/>
          <w:color w:val="000000"/>
        </w:rPr>
      </w:pPr>
      <w:bookmarkStart w:colFirst="0" w:colLast="0" w:name="_82dnzcrt903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Subtitle"/>
        <w:rPr>
          <w:b w:val="1"/>
          <w:bCs w:val="1"/>
          <w:color w:val="000000"/>
        </w:rPr>
      </w:pPr>
      <w:bookmarkStart w:colFirst="0" w:colLast="0" w:name="_l8utf9vrsz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Subtitle"/>
        <w:rPr>
          <w:b w:val="1"/>
          <w:bCs w:val="1"/>
          <w:color w:val="000000"/>
        </w:rPr>
      </w:pPr>
      <w:bookmarkStart w:colFirst="0" w:colLast="0" w:name="_iu19gexmsfz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Subtitle"/>
        <w:rPr>
          <w:b w:val="1"/>
          <w:bCs w:val="1"/>
          <w:color w:val="000000"/>
        </w:rPr>
      </w:pPr>
      <w:bookmarkStart w:colFirst="0" w:colLast="0" w:name="_lue6ld2a369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Subtitle"/>
        <w:rPr>
          <w:b w:val="1"/>
          <w:bCs w:val="1"/>
          <w:color w:val="000000"/>
        </w:rPr>
      </w:pPr>
      <w:bookmarkStart w:colFirst="0" w:colLast="0" w:name="_3yj2cq833y9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Subtitle"/>
        <w:rPr>
          <w:b w:val="1"/>
          <w:bCs w:val="1"/>
          <w:color w:val="000000"/>
        </w:rPr>
      </w:pPr>
      <w:bookmarkStart w:colFirst="0" w:colLast="0" w:name="_qhf7m8y0588v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2.4. Seguridad, Autenticación JWT y Desafío 2FA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El sistema implementa un flujo de seguridad en dos pasos para proteger la plataforma: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Login de Usuario:</w:t>
      </w:r>
      <w:r w:rsidDel="00000000" w:rsidR="00000000" w:rsidRPr="00000000">
        <w:rPr>
          <w:rtl w:val="0"/>
        </w:rPr>
        <w:t xml:space="preserve"> Autenticación mediante credenciales con generación de tokens JWT rotativos y rutas protegidas en el Frontend con React Router y Zustand.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Verificación de Seguridad 2FA (OTP):</w:t>
      </w:r>
      <w:r w:rsidDel="00000000" w:rsidR="00000000" w:rsidRPr="00000000">
        <w:rPr>
          <w:rtl w:val="0"/>
        </w:rPr>
        <w:t xml:space="preserve"> Generación y validación de código de verificación enviado al usuario/correo para autorizar la sesión activa antes de acceder al Dashboard de propiedades.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continuación, quedará demostrado el funcionamiento de el login: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ingresan las credenciales correspondientes.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seleccionar el botón “Sign In” redireccionará al apartado de código, donde se espera que el código llegue al correo.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57788" cy="28289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logra apreciar que el correo llega directamente a la bandeja de entrada, donde se permite ver el código de acceso.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poner el código en la interfaz de código , este redirecciona inmediatamente al dashboard principal donde se ven las propiedades.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70564" cy="2467899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0564" cy="2467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Subtitle"/>
        <w:rPr>
          <w:b w:val="1"/>
          <w:bCs w:val="1"/>
          <w:color w:val="000000"/>
        </w:rPr>
      </w:pPr>
      <w:bookmarkStart w:colFirst="0" w:colLast="0" w:name="_115hbrsjf4h8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3. Bitácora de Errores Detectados, Diagnóstico y Correcciones Realizadas.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Para demostrar rigor técnico y cumplimiento con los estándares de la industria, se documentan los principales desafíos resueltos durante la integración: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/ Incidencia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Causa Técnica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Solución Implementada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Error 404 / Port Collision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 intentó arrancar en el puerto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5174</w:t>
            </w:r>
            <w:r w:rsidDel="00000000" w:rsidR="00000000" w:rsidRPr="00000000">
              <w:rPr>
                <w:rtl w:val="0"/>
              </w:rPr>
              <w:t xml:space="preserve"> porque 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5173</w:t>
            </w:r>
            <w:r w:rsidDel="00000000" w:rsidR="00000000" w:rsidRPr="00000000">
              <w:rPr>
                <w:rtl w:val="0"/>
              </w:rPr>
              <w:t xml:space="preserve"> quedó bloqueado por un proceso anterior.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liberaron los puertos en VS Code, configurando la exposición pública y la bandera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--host</w:t>
            </w:r>
            <w:r w:rsidDel="00000000" w:rsidR="00000000" w:rsidRPr="00000000">
              <w:rPr>
                <w:rtl w:val="0"/>
              </w:rPr>
              <w:t xml:space="preserve"> para Codespaces.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500 Internal Server Error (Pydantic ValidationError)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Discrepancia de tipos de datos en la API: Pydantic esperaba cadenas en minúsculas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single_family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  <w:t xml:space="preserve">) y campos no nulos como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county_id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ejecutaron scripts de migración y normalización SQL en Supabase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UPDATE properties SET city = 'Trenton', flag = 'yellow'</w:t>
            </w:r>
            <w:r w:rsidDel="00000000" w:rsidR="00000000" w:rsidRPr="00000000">
              <w:rPr>
                <w:rtl w:val="0"/>
              </w:rPr>
              <w:t xml:space="preserve">), alineando la BD con la validación de Pydantic.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Lateral en Carga Indefinida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Loading...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Ausencia de registros en las tablas hijas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property_financials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property_physical</w:t>
            </w:r>
            <w:r w:rsidDel="00000000" w:rsidR="00000000" w:rsidRPr="00000000">
              <w:rPr>
                <w:rtl w:val="0"/>
              </w:rPr>
              <w:t xml:space="preserve">) para los IDs del 1 al 10 al hacer JOIN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poblaron las tablas secundarias en Supabase mediante cláusulas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INSERT INTO ... ON CONFLICT DO NOTHING</w:t>
            </w:r>
            <w:r w:rsidDel="00000000" w:rsidR="00000000" w:rsidRPr="00000000">
              <w:rPr>
                <w:rtl w:val="0"/>
              </w:rPr>
              <w:t xml:space="preserve">, permitiendo resolver los detalles de la propiedad.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Subtitle"/>
        <w:rPr/>
      </w:pPr>
      <w:bookmarkStart w:colFirst="0" w:colLast="0" w:name="_gnabaonuwfkf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3.1. Proceso de Depuración y Resolución De Conflictos de Integración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Inicialmente, la integración entre el Frontend y Supabase presentó fallos de renderizado y respuestas de error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 debido a tres factores principales que fueron corregidos: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Anterior (Antes):</w:t>
      </w:r>
      <w:r w:rsidDel="00000000" w:rsidR="00000000" w:rsidRPr="00000000">
        <w:rPr>
          <w:rtl w:val="0"/>
        </w:rPr>
        <w:t xml:space="preserve"> Inconsistencia en los esquemas de Pydantic por campos nulos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county_id</w:t>
      </w:r>
      <w:r w:rsidDel="00000000" w:rsidR="00000000" w:rsidRPr="00000000">
        <w:rPr>
          <w:rtl w:val="0"/>
        </w:rPr>
        <w:t xml:space="preserve">) y valores en mayúsculas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Single Family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YELLOW</w:t>
      </w:r>
      <w:r w:rsidDel="00000000" w:rsidR="00000000" w:rsidRPr="00000000">
        <w:rPr>
          <w:rtl w:val="0"/>
        </w:rPr>
        <w:t xml:space="preserve">). Esto provocaba que React solo mostrara una tarjeta o arrojara pantallas de error bloqueantes.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Acción de Mejora y Refactorización (Después):</w:t>
      </w:r>
      <w:r w:rsidDel="00000000" w:rsidR="00000000" w:rsidRPr="00000000">
        <w:rPr>
          <w:rtl w:val="0"/>
        </w:rPr>
        <w:t xml:space="preserve"> Se aplicaron scripts de normalización en Supabase para alinear la base de datos con los enumerados requeridos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single_family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yellow</w:t>
      </w:r>
      <w:r w:rsidDel="00000000" w:rsidR="00000000" w:rsidRPr="00000000">
        <w:rPr>
          <w:rtl w:val="0"/>
        </w:rPr>
        <w:t xml:space="preserve">), y se poblaron las tablas secundarias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property_financials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property_physical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rule_results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Despliegue fluido de la lista completa de subastas (11 propiedades) con cálculo de ROI (+15.95%), semáforos activos y apertura del panel lateral de detalle sin estados de carga indefinidos.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Subtitle"/>
        <w:rPr>
          <w:color w:val="000000"/>
        </w:rPr>
      </w:pPr>
      <w:bookmarkStart w:colFirst="0" w:colLast="0" w:name="_4apz8rngolcu" w:id="17"/>
      <w:bookmarkEnd w:id="17"/>
      <w:r w:rsidDel="00000000" w:rsidR="00000000" w:rsidRPr="00000000">
        <w:rPr>
          <w:color w:val="000000"/>
          <w:rtl w:val="0"/>
        </w:rPr>
        <w:t xml:space="preserve">4. Referencias y Fuentes Consultadas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Mercer County Sheriff's Office: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Sheriff's Foreclosure Sales List and Guidelines</w:t>
      </w:r>
      <w:r w:rsidDel="00000000" w:rsidR="00000000" w:rsidRPr="00000000">
        <w:rPr>
          <w:rtl w:val="0"/>
        </w:rPr>
        <w:t xml:space="preserve">, New Jersey. Disponible en: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https://www.mercercounty.org/government/sheriff-/informational/sheriff-s-foreclosure-sale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Mercer County Clerk RecordsNG: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Public Records Search for Title and Mortgages</w:t>
      </w:r>
      <w:r w:rsidDel="00000000" w:rsidR="00000000" w:rsidRPr="00000000">
        <w:rPr>
          <w:rtl w:val="0"/>
        </w:rPr>
        <w:t xml:space="preserve">. Disponible en: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https://records.mercercounty.org/RecordsNG_Search/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FastAPI Documentation: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Pydantic Models and Data Validation</w:t>
      </w:r>
      <w:r w:rsidDel="00000000" w:rsidR="00000000" w:rsidRPr="00000000">
        <w:rPr>
          <w:rtl w:val="0"/>
        </w:rPr>
        <w:t xml:space="preserve">. Python Software Foundation.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React &amp; Vite Guide: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State Management with TanStack Query and Zustand in SPA Architecture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mercercounty.org/government/sheriff-/informational/sheriff-s-foreclosure-sale" TargetMode="External"/><Relationship Id="rId14" Type="http://schemas.openxmlformats.org/officeDocument/2006/relationships/hyperlink" Target="https://www.mercercounty.org/government/sheriff-/informational/sheriff-s-foreclosure-sale" TargetMode="External"/><Relationship Id="rId17" Type="http://schemas.openxmlformats.org/officeDocument/2006/relationships/hyperlink" Target="https://records.mercercounty.org/RecordsNG_Search/" TargetMode="External"/><Relationship Id="rId16" Type="http://schemas.openxmlformats.org/officeDocument/2006/relationships/hyperlink" Target="https://records.mercercounty.org/RecordsNG_Search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