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812u469kpsr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9408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9408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0"/>
        <w:gridCol w:w="7125"/>
        <w:tblGridChange w:id="0">
          <w:tblGrid>
            <w:gridCol w:w="2520"/>
            <w:gridCol w:w="71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esta etapa se ha avanzado en la estructuración y preparación técnica del proyecto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ClearBid NJ</w:t>
            </w:r>
            <w:r w:rsidDel="00000000" w:rsidR="00000000" w:rsidRPr="00000000">
              <w:rPr>
                <w:rtl w:val="0"/>
              </w:rPr>
              <w:t xml:space="preserve">, orientado al desarrollo de un sistema de apoyo a la toma de decisiones para propiedades asociadas a procesos de subastas inmobiliarias en New Jersey.</w:t>
            </w:r>
          </w:p>
          <w:p w:rsidR="00000000" w:rsidDel="00000000" w:rsidP="00000000" w:rsidRDefault="00000000" w:rsidRPr="00000000" w14:paraId="0000000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trabajo realizado se ha concentrado inicialmente en establecer una base técnica que permita posteriormente integrar y demostrar las funcionalidades principales del sistema. Se realizó la revisión de la estructura general del proyecto, separando sus componentes de backend, frontend y base de datos, además de revisar las dependencias y configuraciones necesarias para ejecutar el sistema de manera local.</w:t>
            </w:r>
          </w:p>
          <w:p w:rsidR="00000000" w:rsidDel="00000000" w:rsidP="00000000" w:rsidRDefault="00000000" w:rsidRPr="00000000" w14:paraId="0000001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componente backend se estableció una arquitectura basada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  <w:t xml:space="preserve">, incorporando la configuración inicial para trabajar con una base de datos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  <w:t xml:space="preserve"> mediante Docker. También se revisó la configuración de migraciones mediante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Alembic</w:t>
            </w:r>
            <w:r w:rsidDel="00000000" w:rsidR="00000000" w:rsidRPr="00000000">
              <w:rPr>
                <w:rtl w:val="0"/>
              </w:rPr>
              <w:t xml:space="preserve">, la estructura de dependencias y los elementos necesarios para desarrollar y probar los servicios de manera local.</w:t>
            </w:r>
          </w:p>
          <w:p w:rsidR="00000000" w:rsidDel="00000000" w:rsidP="00000000" w:rsidRDefault="00000000" w:rsidRPr="00000000" w14:paraId="0000001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parte de la preparación del entorno, se configuró Docker y se logró levantar el servicio de base de datos PostgreSQL de manera local, verificando su disponibilidad mediante Docker Compose. Esto permite contar con una infraestructura inicial sobre la cual continuar desarrollando y probando el backend.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Paralelamente, se ha trabajado en la definición de la estructura funcional del sistema, considerando como elementos principales la búsqueda y consulta de propiedades, visualización de información relevante, ficha de propiedad y clasificación de riesgo mediante una lógica de evaluación.</w:t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avance actual permite establecer una base funcional para continuar con la integración entre frontend, backend y base de datos. La siguiente prioridad corresponde a completar la configuración del backend, establecer correctamente el modelo de datos y conectar las funcionalidades principales con una interfaz frontend demostrable.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general se mantiene orientado al desarrollo de un prototipo funcional de ClearBid NJ que permita centralizar información relevante de propiedades y apoyar el proceso de evaluación previo a una eventual oferta.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específicos trabajados durante esta etapa son: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Establecer la estructura técnica inicial del sistema.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el entorno de desarrollo local.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la infraestructura necesaria para la base de datos.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Organizar la arquitectura del backend y sus dependencias.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la integración entre backend, base de datos y frontend.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Establecer una base para implementar posteriormente la ficha de propiedades y el sistema de evaluación de riesgos.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una estructura modular que permita desarrollar y probar los distintos componentes de manera independiente.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el framework SCRUM con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sprints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quincenales, pero debido a la reducida disponibilidad de los integrantes (por topes de horario con sus prácticas profesionales), la metodología se adaptó a un modelo de trabajo asíncrono. Las tareas se dividieron en micro-entregables independientes (Backend, Frontend, Data-Engine, DevOps-QA) con sesiones breves de integración al cierre de cada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del Repositorio y Control de Versiones: Historial de commits mostrando la separación de carpetas (frontend / backend) y el mensaje interno instruyendo el uso de ramas exclusivas por rol. Esto evidencia la correcta aplicación de estándares de la industria en la gestión del código.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Inicialización de Frontend: Captura de la terminal demostrando la creación del proyecto React+TypeScript utilizando Vite.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Funcional y Motor de Riesgo: Capturas de Swagger UI (puerto 8000) demostrando el servidor en ejecución, los endpoints generados (GET y POST en /api/v1/properties/) y una respuesta 201 Successful Response donde el motor procesa una propiedad de prueba (123 Main Street, Deuda $65.000) y le asigna el estado "ROJO (Alto Riesgo - Deuda Crítica / IRS)".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Resguardo de calidad: Se utilizó Clean Architecture en el backend y tipado estricto en el frontend (TypeScript) para asegurar escalabilidad.</w:t>
            </w:r>
          </w:p>
        </w:tc>
      </w:tr>
    </w:tbl>
    <w:p w:rsidR="00000000" w:rsidDel="00000000" w:rsidP="00000000" w:rsidRDefault="00000000" w:rsidRPr="00000000" w14:paraId="0000002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29295364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-740.9999999999997" w:tblpY="0"/>
            <w:tblW w:w="85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5"/>
            <w:tblGridChange w:id="0">
              <w:tblGrid>
                <w:gridCol w:w="850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0b539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b5394"/>
                    <w:sz w:val="24"/>
                    <w:szCs w:val="24"/>
                    <w:rtl w:val="0"/>
                  </w:rPr>
                  <w:t xml:space="preserve">2. Monitoreo Del Plan de Trabajo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9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 avance y ajustes.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="-726" w:tblpY="4830"/>
        <w:tblW w:w="100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395"/>
        <w:gridCol w:w="960"/>
        <w:gridCol w:w="1275"/>
        <w:gridCol w:w="1275"/>
        <w:gridCol w:w="1485"/>
        <w:gridCol w:w="1035"/>
        <w:gridCol w:w="1260"/>
        <w:tblGridChange w:id="0">
          <w:tblGrid>
            <w:gridCol w:w="1335"/>
            <w:gridCol w:w="1395"/>
            <w:gridCol w:w="960"/>
            <w:gridCol w:w="1275"/>
            <w:gridCol w:w="1275"/>
            <w:gridCol w:w="1485"/>
            <w:gridCol w:w="1035"/>
            <w:gridCol w:w="126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093.873697916666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Proyectos TI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Planificación, Backlog y Coordinación con Cliente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Trello, Docs, GitHub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Semanas 1 - 3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Alfredo Castro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efectivo en Semana 3 generó un desfase inicial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ajustó el calendario a sprints quincenales asíncronos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y Modelado de BD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Configuración PostgreSQL Local, Alembic y Modelado MVP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PostgreSQL, Alembic, Docker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Semanas 3 - 6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Calderón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Dificultad por información limitada del cliente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Priorización de base de datos local antes de migrar a cloud </w:t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Software / Ciberseguridad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Backend API REST FastAPI y Motor de Riesgo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Python, FastAPI, Swagger, JWT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Semanas 5 - 11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Alfredo Castro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Endpoints GET/POST probados en Swagger UI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Enfoque en endpoints esenciales del MVP local 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Web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Inicialización y Desarrollo Frontend React + TypeScript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React 18, Vite, Tailwind CSS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Semanas 7 - 13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Cristopher Hernández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 proyecto en Vite y desarrollo visual en tiempos libres.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Trabajo en ramas exclusivas </w:t>
            </w:r>
          </w:p>
        </w:tc>
      </w:tr>
      <w:tr>
        <w:trPr>
          <w:cantSplit w:val="0"/>
          <w:trHeight w:val="642.3242187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Calidad, Seguridad y DevOps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Dockerización Integral y Suite de Pruebas QA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Docker, Docker Compose, Pytest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Semanas 10 - 15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Matías Tirado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Retraso colateral por inicio tardío en Semana 3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 retraso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 reprogramada como foco exclusivo del Hito 2 (26-31 oct) 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/ Cierre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Cierre de Fase 2, Integración y Entregas Institucionales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Docs, GitHub, PDF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Semanas 15 - 18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Preparación de informe de avance y paquete documental.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iniciado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Programado para las fechas de Hito 3.</w:t>
            </w:r>
          </w:p>
        </w:tc>
      </w:tr>
    </w:tbl>
    <w:p w:rsidR="00000000" w:rsidDel="00000000" w:rsidP="00000000" w:rsidRDefault="00000000" w:rsidRPr="00000000" w14:paraId="0000007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Dificultades: El principal obstáculo fue el inicio tardío del proyecto (semana 3) y la carga horaria derivada de la práctica profesional de los integrantes, lo que redujo drásticamente los tiempos de reunión conjunta. Adicionalmente, la limitada entrega de datos e información técnica por parte del cliente impidió conectar la aplicación a un entorno cloud definitivo desde el inicio.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tomadas: Para resolverlo, el equipo adoptó un trabajo modular altamente desacoplado. Se dividió el repositorio y se generaron ramas por área técnica (feature/backend, feature/frontend), permitiendo que cada miembro avance de forma asíncrona. Además, se decidió utilizar datos locales para el motor de prueba, evitando bloqueos por parte del cliente.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Facilitadores: El uso de frameworks modernos y ágiles (FastAPI para generación automática de documentación y Vite para despliegue rápido de React) permitió alcanzar un backend funcional comprobable en muy poco tiempo de desarrollo efectivo.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 eliminado ninguna funcionalidad del alcance general del proyecto, pero sí se ajustó su orden de prioridad.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Ajuste: La implementación de bases de datos cloud reales, la seguridad 2FA por SMS (Twilio), los mapas geoespaciales avanzados (PostGIS/Leaflet) y el panel de ingesta administrativa fueron movidos al fondo del Product Backlog.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Justificación: El equipo determinó que era crítico validar primero el flujo principal de negocio (que el algoritmo lea la deuda y calcule el semáforo de riesgo). Sin este core local funcionando, las integraciones cloud o interfaces gráficas complejas representaban un riesgo innecesario para el tiempo restante.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Dockerización integral y automatización QA: Originalmente se esperaba tener los entornos de staging y Docker configurados paralelamente al desarrollo temprano (S4-S6). Actualmente se encuentran con retraso (No iniciadas en su totalidad).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Motivos y Estrategias: Este retraso se asume como daño colateral del inicio tardío en la semana 3. La estrategia adoptada fue aislar esta tarea y asignarla como foco exclusivo del Hito 2 (26 al 31 de octubre). Una vez que el Frontend logre consumir el Backend MVP estable durante esta semana, el encargado de DevOps procederá a escribir los Dockerfiles y docker-compose correspondientes, cumpliendo con el cronograma reajustado a tiempo para la entrega institucional (Hito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A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mSuBpEweyW7b6v6Qro+5vjnRCA==">CgMxLjAaHgoBMBIZChcICVITChF0YWJsZS44cHdidHY0em1ncDIOaC44MTJ1NDY5a3Bzcjk4AHIhMUpkTUdtT3dack02blRGazZEWTU1Vm8wNVdZNWVhMFZF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