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63040" cy="1596264"/>
            <wp:docPr id="1" name="Picture 1"/>
            <wp:cNvGraphicFramePr>
              <a:graphicFrameLocks noChangeAspect="1"/>
            </wp:cNvGraphicFramePr>
            <a:graphic>
              <a:graphicData uri="http://schemas.openxmlformats.org/drawingml/2006/picture">
                <pic:pic>
                  <pic:nvPicPr>
                    <pic:cNvPr id="0" name="logo-sin-texto.png"/>
                    <pic:cNvPicPr/>
                  </pic:nvPicPr>
                  <pic:blipFill>
                    <a:blip r:embed="rId9"/>
                    <a:stretch>
                      <a:fillRect/>
                    </a:stretch>
                  </pic:blipFill>
                  <pic:spPr>
                    <a:xfrm>
                      <a:off x="0" y="0"/>
                      <a:ext cx="1463040" cy="1596264"/>
                    </a:xfrm>
                    <a:prstGeom prst="rect"/>
                  </pic:spPr>
                </pic:pic>
              </a:graphicData>
            </a:graphic>
          </wp:inline>
        </w:drawing>
      </w:r>
    </w:p>
    <w:p>
      <w:pPr>
        <w:jc w:val="center"/>
      </w:pPr>
      <w:r>
        <w:rPr>
          <w:b/>
          <w:i w:val="0"/>
          <w:sz w:val="40"/>
        </w:rPr>
        <w:t>SISTEMA DE GESTIÓN</w:t>
      </w:r>
    </w:p>
    <w:p>
      <w:pPr>
        <w:jc w:val="center"/>
      </w:pPr>
      <w:r>
        <w:rPr>
          <w:b w:val="0"/>
          <w:i w:val="0"/>
          <w:sz w:val="26"/>
        </w:rPr>
        <w:t>Informe de aporte individual</w:t>
      </w:r>
    </w:p>
    <w:p>
      <w:pPr>
        <w:jc w:val="center"/>
      </w:pPr>
      <w:r>
        <w:rPr>
          <w:b/>
          <w:i w:val="0"/>
          <w:sz w:val="34"/>
        </w:rPr>
        <w:t>Amparo Valdivia</w:t>
      </w:r>
    </w:p>
    <w:p>
      <w:pPr>
        <w:jc w:val="center"/>
      </w:pPr>
      <w:r>
        <w:rPr>
          <w:b w:val="0"/>
          <w:i/>
          <w:sz w:val="22"/>
        </w:rPr>
        <w:t>Integración Cencosud: precios y stock, reportes, órdenes, despliegue y documentación</w:t>
      </w:r>
    </w:p>
    <w:p/>
    <w:p>
      <w:pPr>
        <w:jc w:val="center"/>
      </w:pPr>
      <w:r>
        <w:t>Contacto: @amparovaldivia (GitHub)</w:t>
      </w:r>
    </w:p>
    <w:p>
      <w:pPr>
        <w:jc w:val="center"/>
      </w:pPr>
      <w:r>
        <w:t>Rama de trabajo: amparo2</w:t>
      </w:r>
    </w:p>
    <w:p>
      <w:pPr>
        <w:jc w:val="center"/>
      </w:pPr>
      <w:r>
        <w:t>Empresa: e-practicas — Chile, 2026</w:t>
      </w:r>
    </w:p>
    <w:p>
      <w:pPr>
        <w:jc w:val="center"/>
      </w:pPr>
      <w:r>
        <w:t>Producción: software.epracticas.cl</w:t>
      </w:r>
    </w:p>
    <w:p>
      <w:pPr>
        <w:jc w:val="center"/>
      </w:pPr>
      <w:r>
        <w:t>Fecha del documento: 08-09-2026</w:t>
      </w:r>
    </w:p>
    <w:p>
      <w:r>
        <w:br w:type="page"/>
      </w:r>
    </w:p>
    <w:p>
      <w:pPr>
        <w:pStyle w:val="Heading1"/>
      </w:pPr>
      <w:r>
        <w:t>1. Resumen del aporte</w:t>
      </w:r>
    </w:p>
    <w:p>
      <w:r>
        <w:t>Llevó adelante la integración con Cencosud (Paris.cl), tercer marketplace del sistema, partiendo de la base del módulo construida por Abraham González e integrando su rama en la propia. Aportó la actualización masiva de precios y stock, los reportes con exportación, la caché de órdenes, la arquitectura de despliegue en Hostinger y la documentación de certificación y pruebas.</w:t>
      </w:r>
    </w:p>
    <w:p>
      <w:r>
        <w:t>Los datos de este informe provienen del historial de Git del repositorio y de la verificación directa del código y de la base de datos realizada el 8 de septiembre de 2026. Las capturas corresponden al sistema en ejecución sobre la rama integrada.</w:t>
      </w:r>
    </w:p>
    <w:p>
      <w:pPr>
        <w:pStyle w:val="Heading1"/>
      </w:pPr>
      <w:r>
        <w:t>2. Actividad en el repositorio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Commit</w:t>
            </w:r>
          </w:p>
        </w:tc>
        <w:tc>
          <w:tcPr>
            <w:tcW w:type="dxa" w:w="2880"/>
          </w:tcPr>
          <w:p>
            <w:r>
              <w:rPr>
                <w:b/>
              </w:rPr>
              <w:t>Fecha</w:t>
            </w:r>
          </w:p>
        </w:tc>
        <w:tc>
          <w:tcPr>
            <w:tcW w:type="dxa" w:w="2880"/>
          </w:tcPr>
          <w:p>
            <w:r>
              <w:rPr>
                <w:b/>
              </w:rPr>
              <w:t>Descripción</w:t>
            </w:r>
          </w:p>
        </w:tc>
      </w:tr>
      <w:tr>
        <w:tc>
          <w:tcPr>
            <w:tcW w:type="dxa" w:w="2880"/>
          </w:tcPr>
          <w:p>
            <w:r>
              <w:t>e7f7862</w:t>
            </w:r>
          </w:p>
        </w:tc>
        <w:tc>
          <w:tcPr>
            <w:tcW w:type="dxa" w:w="2880"/>
          </w:tcPr>
          <w:p>
            <w:r>
              <w:t>2026-07-08</w:t>
            </w:r>
          </w:p>
        </w:tc>
        <w:tc>
          <w:tcPr>
            <w:tcW w:type="dxa" w:w="2880"/>
          </w:tcPr>
          <w:p>
            <w:r>
              <w:t>Inicio de la rama</w:t>
            </w:r>
          </w:p>
        </w:tc>
      </w:tr>
      <w:tr>
        <w:tc>
          <w:tcPr>
            <w:tcW w:type="dxa" w:w="2880"/>
          </w:tcPr>
          <w:p>
            <w:r>
              <w:t>f280389</w:t>
            </w:r>
          </w:p>
        </w:tc>
        <w:tc>
          <w:tcPr>
            <w:tcW w:type="dxa" w:w="2880"/>
          </w:tcPr>
          <w:p>
            <w:r>
              <w:t>2026-07-23</w:t>
            </w:r>
          </w:p>
        </w:tc>
        <w:tc>
          <w:tcPr>
            <w:tcW w:type="dxa" w:w="2880"/>
          </w:tcPr>
          <w:p>
            <w:r>
              <w:t>Precios y stock</w:t>
            </w:r>
          </w:p>
        </w:tc>
      </w:tr>
      <w:tr>
        <w:tc>
          <w:tcPr>
            <w:tcW w:type="dxa" w:w="2880"/>
          </w:tcPr>
          <w:p>
            <w:r>
              <w:t>1364656</w:t>
            </w:r>
          </w:p>
        </w:tc>
        <w:tc>
          <w:tcPr>
            <w:tcW w:type="dxa" w:w="2880"/>
          </w:tcPr>
          <w:p>
            <w:r>
              <w:t>2026-08-03</w:t>
            </w:r>
          </w:p>
        </w:tc>
        <w:tc>
          <w:tcPr>
            <w:tcW w:type="dxa" w:w="2880"/>
          </w:tcPr>
          <w:p>
            <w:r>
              <w:t>Filtrado de stock alto y consulta de dimensiones del producto</w:t>
            </w:r>
          </w:p>
        </w:tc>
      </w:tr>
      <w:tr>
        <w:tc>
          <w:tcPr>
            <w:tcW w:type="dxa" w:w="2880"/>
          </w:tcPr>
          <w:p>
            <w:r>
              <w:t>47d7cc0</w:t>
            </w:r>
          </w:p>
        </w:tc>
        <w:tc>
          <w:tcPr>
            <w:tcW w:type="dxa" w:w="2880"/>
          </w:tcPr>
          <w:p>
            <w:r>
              <w:t>2026-08-05</w:t>
            </w:r>
          </w:p>
        </w:tc>
        <w:tc>
          <w:tcPr>
            <w:tcW w:type="dxa" w:w="2880"/>
          </w:tcPr>
          <w:p>
            <w:r>
              <w:t>Cambios de pruebas</w:t>
            </w:r>
          </w:p>
        </w:tc>
      </w:tr>
      <w:tr>
        <w:tc>
          <w:tcPr>
            <w:tcW w:type="dxa" w:w="2880"/>
          </w:tcPr>
          <w:p>
            <w:r>
              <w:t>71329bf</w:t>
            </w:r>
          </w:p>
        </w:tc>
        <w:tc>
          <w:tcPr>
            <w:tcW w:type="dxa" w:w="2880"/>
          </w:tcPr>
          <w:p>
            <w:r>
              <w:t>2026-08-10</w:t>
            </w:r>
          </w:p>
        </w:tc>
        <w:tc>
          <w:tcPr>
            <w:tcW w:type="dxa" w:w="2880"/>
          </w:tcPr>
          <w:p>
            <w:r>
              <w:t>Arquitectura de despliegue en Hostinger y diagrama Mermaid</w:t>
            </w:r>
          </w:p>
        </w:tc>
      </w:tr>
      <w:tr>
        <w:tc>
          <w:tcPr>
            <w:tcW w:type="dxa" w:w="2880"/>
          </w:tcPr>
          <w:p>
            <w:r>
              <w:t>429f2fe</w:t>
            </w:r>
          </w:p>
        </w:tc>
        <w:tc>
          <w:tcPr>
            <w:tcW w:type="dxa" w:w="2880"/>
          </w:tcPr>
          <w:p>
            <w:r>
              <w:t>2026-08-10</w:t>
            </w:r>
          </w:p>
        </w:tc>
        <w:tc>
          <w:tcPr>
            <w:tcW w:type="dxa" w:w="2880"/>
          </w:tcPr>
          <w:p>
            <w:r>
              <w:t>Integración de la rama de Abraham González</w:t>
            </w:r>
          </w:p>
        </w:tc>
      </w:tr>
      <w:tr>
        <w:tc>
          <w:tcPr>
            <w:tcW w:type="dxa" w:w="2880"/>
          </w:tcPr>
          <w:p>
            <w:r>
              <w:t>72ef74d</w:t>
            </w:r>
          </w:p>
        </w:tc>
        <w:tc>
          <w:tcPr>
            <w:tcW w:type="dxa" w:w="2880"/>
          </w:tcPr>
          <w:p>
            <w:r>
              <w:t>2026-08-10</w:t>
            </w:r>
          </w:p>
        </w:tc>
        <w:tc>
          <w:tcPr>
            <w:tcW w:type="dxa" w:w="2880"/>
          </w:tcPr>
          <w:p>
            <w:r>
              <w:t>Migración SQL con la tabla de caché de órdenes</w:t>
            </w:r>
          </w:p>
        </w:tc>
      </w:tr>
      <w:tr>
        <w:tc>
          <w:tcPr>
            <w:tcW w:type="dxa" w:w="2880"/>
          </w:tcPr>
          <w:p>
            <w:r>
              <w:t>94c3951</w:t>
            </w:r>
          </w:p>
        </w:tc>
        <w:tc>
          <w:tcPr>
            <w:tcW w:type="dxa" w:w="2880"/>
          </w:tcPr>
          <w:p>
            <w:r>
              <w:t>2026-08-11</w:t>
            </w:r>
          </w:p>
        </w:tc>
        <w:tc>
          <w:tcPr>
            <w:tcW w:type="dxa" w:w="2880"/>
          </w:tcPr>
          <w:p>
            <w:r>
              <w:t>Ajuste de configuración</w:t>
            </w:r>
          </w:p>
        </w:tc>
      </w:tr>
      <w:tr>
        <w:tc>
          <w:tcPr>
            <w:tcW w:type="dxa" w:w="2880"/>
          </w:tcPr>
          <w:p>
            <w:r>
              <w:t>2879484</w:t>
            </w:r>
          </w:p>
        </w:tc>
        <w:tc>
          <w:tcPr>
            <w:tcW w:type="dxa" w:w="2880"/>
          </w:tcPr>
          <w:p>
            <w:r>
              <w:t>2026-08-18</w:t>
            </w:r>
          </w:p>
        </w:tc>
        <w:tc>
          <w:tcPr>
            <w:tcW w:type="dxa" w:w="2880"/>
          </w:tcPr>
          <w:p>
            <w:r>
              <w:t>Arreglo de tablas de base de datos</w:t>
            </w:r>
          </w:p>
        </w:tc>
      </w:tr>
      <w:tr>
        <w:tc>
          <w:tcPr>
            <w:tcW w:type="dxa" w:w="2880"/>
          </w:tcPr>
          <w:p>
            <w:r>
              <w:t>281fd76</w:t>
            </w:r>
          </w:p>
        </w:tc>
        <w:tc>
          <w:tcPr>
            <w:tcW w:type="dxa" w:w="2880"/>
          </w:tcPr>
          <w:p>
            <w:r>
              <w:t>2026-08-19</w:t>
            </w:r>
          </w:p>
        </w:tc>
        <w:tc>
          <w:tcPr>
            <w:tcW w:type="dxa" w:w="2880"/>
          </w:tcPr>
          <w:p>
            <w:r>
              <w:t>Cierre de la integración Cencosud y limpieza de métricas</w:t>
            </w:r>
          </w:p>
        </w:tc>
      </w:tr>
      <w:tr>
        <w:tc>
          <w:tcPr>
            <w:tcW w:type="dxa" w:w="2880"/>
          </w:tcPr>
          <w:p>
            <w:r>
              <w:t>da1672f</w:t>
            </w:r>
          </w:p>
        </w:tc>
        <w:tc>
          <w:tcPr>
            <w:tcW w:type="dxa" w:w="2880"/>
          </w:tcPr>
          <w:p>
            <w:r>
              <w:t>2026-09-01</w:t>
            </w:r>
          </w:p>
        </w:tc>
        <w:tc>
          <w:tcPr>
            <w:tcW w:type="dxa" w:w="2880"/>
          </w:tcPr>
          <w:p>
            <w:r>
              <w:t>Documentación</w:t>
            </w:r>
          </w:p>
        </w:tc>
      </w:tr>
    </w:tbl>
    <w:p/>
    <w:p>
      <w:r>
        <w:t>Catorce commits en total, la mayor cantidad de las ramas integradas, sobre 136 archivos de código y documentación.</w:t>
      </w:r>
    </w:p>
    <w:p>
      <w:pPr>
        <w:pStyle w:val="Heading1"/>
      </w:pPr>
      <w:r>
        <w:t>3. Precios, stock y reportes</w:t>
      </w:r>
    </w:p>
    <w:tbl>
      <w:tblPr>
        <w:tblStyle w:val="TableGrid"/>
        <w:tblW w:type="auto" w:w="0"/>
        <w:tblLook w:firstColumn="1" w:firstRow="1" w:lastColumn="0" w:lastRow="0" w:noHBand="0" w:noVBand="1" w:val="04A0"/>
      </w:tblPr>
      <w:tblGrid>
        <w:gridCol w:w="4320"/>
        <w:gridCol w:w="4320"/>
      </w:tblGrid>
      <w:tr>
        <w:tc>
          <w:tcPr>
            <w:tcW w:type="dxa" w:w="4320"/>
          </w:tcPr>
          <w:p>
            <w:r>
              <w:rPr>
                <w:b/>
              </w:rPr>
              <w:t>Aporte</w:t>
            </w:r>
          </w:p>
        </w:tc>
        <w:tc>
          <w:tcPr>
            <w:tcW w:type="dxa" w:w="4320"/>
          </w:tcPr>
          <w:p>
            <w:r>
              <w:rPr>
                <w:b/>
              </w:rPr>
              <w:t>Detalle</w:t>
            </w:r>
          </w:p>
        </w:tc>
      </w:tr>
      <w:tr>
        <w:tc>
          <w:tcPr>
            <w:tcW w:type="dxa" w:w="4320"/>
          </w:tcPr>
          <w:p>
            <w:r>
              <w:t>Actualización masiva</w:t>
            </w:r>
          </w:p>
        </w:tc>
        <w:tc>
          <w:tcPr>
            <w:tcW w:type="dxa" w:w="4320"/>
          </w:tcPr>
          <w:p>
            <w:r>
              <w:t>Precios y stock por lotes con historial por ítem, siguiendo el mismo patrón reanudable ya probado en MercadoLibre y Walmart.</w:t>
            </w:r>
          </w:p>
        </w:tc>
      </w:tr>
      <w:tr>
        <w:tc>
          <w:tcPr>
            <w:tcW w:type="dxa" w:w="4320"/>
          </w:tcPr>
          <w:p>
            <w:r>
              <w:t>Reportes Cencosud</w:t>
            </w:r>
          </w:p>
        </w:tc>
        <w:tc>
          <w:tcPr>
            <w:tcW w:type="dxa" w:w="4320"/>
          </w:tcPr>
          <w:p>
            <w:r>
              <w:t>Panel de reportes con exportación a XLSX, filtrado de stock alto y consulta de las dimensiones del producto contra el maestro.</w:t>
            </w:r>
          </w:p>
        </w:tc>
      </w:tr>
      <w:tr>
        <w:tc>
          <w:tcPr>
            <w:tcW w:type="dxa" w:w="4320"/>
          </w:tcPr>
          <w:p>
            <w:r>
              <w:t>Aviso de stock alto</w:t>
            </w:r>
          </w:p>
        </w:tc>
        <w:tc>
          <w:tcPr>
            <w:tcW w:type="dxa" w:w="4320"/>
          </w:tcPr>
          <w:p>
            <w:r>
              <w:t>Envío del reporte por correo mediante una plantilla propia.</w:t>
            </w:r>
          </w:p>
        </w:tc>
      </w:tr>
      <w:tr>
        <w:tc>
          <w:tcPr>
            <w:tcW w:type="dxa" w:w="4320"/>
          </w:tcPr>
          <w:p>
            <w:r>
              <w:t>Ficha y sincronización puntual</w:t>
            </w:r>
          </w:p>
        </w:tc>
        <w:tc>
          <w:tcPr>
            <w:tcW w:type="dxa" w:w="4320"/>
          </w:tcPr>
          <w:p>
            <w:r>
              <w:t>Búsqueda contra el maestro de productos y guardado con sincronización inmediata hacia el marketplace.</w:t>
            </w:r>
          </w:p>
        </w:tc>
      </w:tr>
      <w:tr>
        <w:tc>
          <w:tcPr>
            <w:tcW w:type="dxa" w:w="4320"/>
          </w:tcPr>
          <w:p>
            <w:r>
              <w:t>Notificaciones</w:t>
            </w:r>
          </w:p>
        </w:tc>
        <w:tc>
          <w:tcPr>
            <w:tcW w:type="dxa" w:w="4320"/>
          </w:tcPr>
          <w:p>
            <w:r>
              <w:t>Aviso cuando una ficha se procesa con valores de respaldo por faltar atributos en el maestro, para que la sustitución no quede oculta.</w:t>
            </w:r>
          </w:p>
        </w:tc>
      </w:tr>
    </w:tbl>
    <w:p/>
    <w:p>
      <w:pPr>
        <w:jc w:val="center"/>
      </w:pPr>
      <w:r>
        <w:drawing>
          <wp:inline xmlns:a="http://schemas.openxmlformats.org/drawingml/2006/main" xmlns:pic="http://schemas.openxmlformats.org/drawingml/2006/picture">
            <wp:extent cx="5394960" cy="3746500"/>
            <wp:docPr id="2" name="Picture 2"/>
            <wp:cNvGraphicFramePr>
              <a:graphicFrameLocks noChangeAspect="1"/>
            </wp:cNvGraphicFramePr>
            <a:graphic>
              <a:graphicData uri="http://schemas.openxmlformats.org/drawingml/2006/picture">
                <pic:pic>
                  <pic:nvPicPr>
                    <pic:cNvPr id="0" name="21-cencosud-panel.png"/>
                    <pic:cNvPicPr/>
                  </pic:nvPicPr>
                  <pic:blipFill>
                    <a:blip r:embed="rId10"/>
                    <a:stretch>
                      <a:fillRect/>
                    </a:stretch>
                  </pic:blipFill>
                  <pic:spPr>
                    <a:xfrm>
                      <a:off x="0" y="0"/>
                      <a:ext cx="5394960" cy="3746500"/>
                    </a:xfrm>
                    <a:prstGeom prst="rect"/>
                  </pic:spPr>
                </pic:pic>
              </a:graphicData>
            </a:graphic>
          </wp:inline>
        </w:drawing>
      </w:r>
    </w:p>
    <w:p>
      <w:pPr>
        <w:jc w:val="center"/>
      </w:pPr>
      <w:r>
        <w:rPr>
          <w:i/>
          <w:sz w:val="18"/>
        </w:rPr>
        <w:t>Figura 1. Panel de Cencosud. La instalación de referencia no tiene tiendas conectadas y opera en modo DRY-RUN, por lo que no se contacta la API real.</w:t>
      </w:r>
    </w:p>
    <w:p>
      <w:pPr>
        <w:pStyle w:val="Heading1"/>
      </w:pPr>
      <w:r>
        <w:t>4. Órdenes y base de datos</w:t>
      </w:r>
    </w:p>
    <w:p>
      <w:r>
        <w:t>Diseñó la caché de órdenes y subórdenes de despacho, que guarda además el JSON crudo de cada respuesta por si la forma real difiere de la esperada, criterio también aplicado en el módulo de Walmart.</w:t>
      </w:r>
    </w:p>
    <w:tbl>
      <w:tblPr>
        <w:tblStyle w:val="TableGrid"/>
        <w:tblW w:type="auto" w:w="0"/>
        <w:tblLook w:firstColumn="1" w:firstRow="1" w:lastColumn="0" w:lastRow="0" w:noHBand="0" w:noVBand="1" w:val="04A0"/>
      </w:tblPr>
      <w:tblGrid>
        <w:gridCol w:w="4320"/>
        <w:gridCol w:w="4320"/>
      </w:tblGrid>
      <w:tr>
        <w:tc>
          <w:tcPr>
            <w:tcW w:type="dxa" w:w="4320"/>
          </w:tcPr>
          <w:p>
            <w:r>
              <w:rPr>
                <w:b/>
              </w:rPr>
              <w:t>Tabla</w:t>
            </w:r>
          </w:p>
        </w:tc>
        <w:tc>
          <w:tcPr>
            <w:tcW w:type="dxa" w:w="4320"/>
          </w:tcPr>
          <w:p>
            <w:r>
              <w:rPr>
                <w:b/>
              </w:rPr>
              <w:t>Propósito</w:t>
            </w:r>
          </w:p>
        </w:tc>
      </w:tr>
      <w:tr>
        <w:tc>
          <w:tcPr>
            <w:tcW w:type="dxa" w:w="4320"/>
          </w:tcPr>
          <w:p>
            <w:r>
              <w:t>cencosud_update_batches</w:t>
            </w:r>
          </w:p>
        </w:tc>
        <w:tc>
          <w:tcPr>
            <w:tcW w:type="dxa" w:w="4320"/>
          </w:tcPr>
          <w:p>
            <w:r>
              <w:t>Lotes de actualización masiva de precio y stock</w:t>
            </w:r>
          </w:p>
        </w:tc>
      </w:tr>
      <w:tr>
        <w:tc>
          <w:tcPr>
            <w:tcW w:type="dxa" w:w="4320"/>
          </w:tcPr>
          <w:p>
            <w:r>
              <w:t>cencosud_update_logs</w:t>
            </w:r>
          </w:p>
        </w:tc>
        <w:tc>
          <w:tcPr>
            <w:tcW w:type="dxa" w:w="4320"/>
          </w:tcPr>
          <w:p>
            <w:r>
              <w:t>Historial de actualizaciones ejecutadas</w:t>
            </w:r>
          </w:p>
        </w:tc>
      </w:tr>
      <w:tr>
        <w:tc>
          <w:tcPr>
            <w:tcW w:type="dxa" w:w="4320"/>
          </w:tcPr>
          <w:p>
            <w:r>
              <w:t>cencosud_orders_cache</w:t>
            </w:r>
          </w:p>
        </w:tc>
        <w:tc>
          <w:tcPr>
            <w:tcW w:type="dxa" w:w="4320"/>
          </w:tcPr>
          <w:p>
            <w:r>
              <w:t>Órdenes y subórdenes de despacho, con respaldo del JSON crudo</w:t>
            </w:r>
          </w:p>
        </w:tc>
      </w:tr>
    </w:tbl>
    <w:p/>
    <w:p>
      <w:pPr>
        <w:pStyle w:val="Heading1"/>
      </w:pPr>
      <w:r>
        <w:t>5. Arquitectura de despliegue</w:t>
      </w:r>
    </w:p>
    <w:p>
      <w:r>
        <w:t>Consolidó el despliegue en Hostinger y lo documentó con un diagrama Mermaid. Introdujo además la detección de la carpeta base en el punto de entrada, de modo que el mismo código funcione tanto en un entorno local como en producción, donde el backend vive fuera del directorio público.</w:t>
      </w:r>
    </w:p>
    <w:p>
      <w:r>
        <w:t>Observación registrada durante la integración: la función anónima que maneja las excepciones usaba esa variable sin capturarla en su ámbito, por lo que la página de error 500 en producción no habría encontrado su ruta. Se corrigió al integrar la rama.</w:t>
      </w:r>
    </w:p>
    <w:p>
      <w:pPr>
        <w:pStyle w:val="Heading1"/>
      </w:pPr>
      <w:r>
        <w:t>6. Documentación aportada</w:t>
      </w:r>
    </w:p>
    <w:tbl>
      <w:tblPr>
        <w:tblStyle w:val="TableGrid"/>
        <w:tblW w:type="auto" w:w="0"/>
        <w:tblLook w:firstColumn="1" w:firstRow="1" w:lastColumn="0" w:lastRow="0" w:noHBand="0" w:noVBand="1" w:val="04A0"/>
      </w:tblPr>
      <w:tblGrid>
        <w:gridCol w:w="4320"/>
        <w:gridCol w:w="4320"/>
      </w:tblGrid>
      <w:tr>
        <w:tc>
          <w:tcPr>
            <w:tcW w:type="dxa" w:w="4320"/>
          </w:tcPr>
          <w:p>
            <w:r>
              <w:rPr>
                <w:b/>
              </w:rPr>
              <w:t>Documento</w:t>
            </w:r>
          </w:p>
        </w:tc>
        <w:tc>
          <w:tcPr>
            <w:tcW w:type="dxa" w:w="4320"/>
          </w:tcPr>
          <w:p>
            <w:r>
              <w:rPr>
                <w:b/>
              </w:rPr>
              <w:t>Contenido</w:t>
            </w:r>
          </w:p>
        </w:tc>
      </w:tr>
      <w:tr>
        <w:tc>
          <w:tcPr>
            <w:tcW w:type="dxa" w:w="4320"/>
          </w:tcPr>
          <w:p>
            <w:r>
              <w:t>INFORME_TECNICO_INTEGRACION_CENCOSUD.md</w:t>
            </w:r>
          </w:p>
        </w:tc>
        <w:tc>
          <w:tcPr>
            <w:tcW w:type="dxa" w:w="4320"/>
          </w:tcPr>
          <w:p>
            <w:r>
              <w:t>Informe técnico de la integración</w:t>
            </w:r>
          </w:p>
        </w:tc>
      </w:tr>
      <w:tr>
        <w:tc>
          <w:tcPr>
            <w:tcW w:type="dxa" w:w="4320"/>
          </w:tcPr>
          <w:p>
            <w:r>
              <w:t>REPORTE_DESARROLLO_CENCOSUD.md</w:t>
            </w:r>
          </w:p>
        </w:tc>
        <w:tc>
          <w:tcPr>
            <w:tcW w:type="dxa" w:w="4320"/>
          </w:tcPr>
          <w:p>
            <w:r>
              <w:t>Reporte de desarrollo del módulo</w:t>
            </w:r>
          </w:p>
        </w:tc>
      </w:tr>
      <w:tr>
        <w:tc>
          <w:tcPr>
            <w:tcW w:type="dxa" w:w="4320"/>
          </w:tcPr>
          <w:p>
            <w:r>
              <w:t>Docs/CERTIFICACION_CENCOSUD_SANDBOX.md</w:t>
            </w:r>
          </w:p>
        </w:tc>
        <w:tc>
          <w:tcPr>
            <w:tcW w:type="dxa" w:w="4320"/>
          </w:tcPr>
          <w:p>
            <w:r>
              <w:t>Certificación de la integración en el sandbox</w:t>
            </w:r>
          </w:p>
        </w:tc>
      </w:tr>
      <w:tr>
        <w:tc>
          <w:tcPr>
            <w:tcW w:type="dxa" w:w="4320"/>
          </w:tcPr>
          <w:p>
            <w:r>
              <w:t>Docs/PLAN_DE_PRUEBAS_INTEGRACION.md</w:t>
            </w:r>
          </w:p>
        </w:tc>
        <w:tc>
          <w:tcPr>
            <w:tcW w:type="dxa" w:w="4320"/>
          </w:tcPr>
          <w:p>
            <w:r>
              <w:t>Plan de pruebas de la integración</w:t>
            </w:r>
          </w:p>
        </w:tc>
      </w:tr>
      <w:tr>
        <w:tc>
          <w:tcPr>
            <w:tcW w:type="dxa" w:w="4320"/>
          </w:tcPr>
          <w:p>
            <w:r>
              <w:t>Docs/DESPLIEGUE_HOSTINGER.md</w:t>
            </w:r>
          </w:p>
        </w:tc>
        <w:tc>
          <w:tcPr>
            <w:tcW w:type="dxa" w:w="4320"/>
          </w:tcPr>
          <w:p>
            <w:r>
              <w:t>Arquitectura de despliegue, con diagrama Mermaid</w:t>
            </w:r>
          </w:p>
        </w:tc>
      </w:tr>
    </w:tbl>
    <w:p/>
    <w:p>
      <w:r>
        <w:t>Es el conjunto de documentación de certificación y pruebas más completo de los módulos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