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9350"/>
      </w:tblGrid>
      <w:tr>
        <w:tc>
          <w:tcPr>
            <w:tcW w:type="dxa" w:w="9350"/>
            <w:shd w:fill="1C2027" w:val="clear"/>
            <w:tcMar>
              <w:top w:type="dxa" w:w="500"/>
              <w:left w:type="dxa" w:w="500"/>
              <w:bottom w:type="dxa" w:w="500"/>
              <w:right w:type="dxa" w:w="500"/>
            </w:tcMar>
          </w:tcPr>
          <w:p>
            <w:r>
              <w:rPr>
                <w:rFonts w:ascii="Poppins" w:cs="Poppins" w:eastAsia="Poppins" w:hAnsi="Poppins"/>
                <w:b/>
                <w:bCs/>
                <w:color w:val="C9A227"/>
                <w:spacing w:val="30"/>
                <w:sz w:val="18"/>
                <w:szCs w:val="18"/>
              </w:rPr>
              <w:t xml:space="preserve">APPLICATION &amp; PRODUCT DEVELOPMENT PLAN</w:t>
            </w:r>
          </w:p>
          <w:p>
            <w:pPr>
              <w:spacing w:after="200"/>
            </w:pPr>
          </w:p>
          <w:p>
            <w:pPr>
              <w:jc w:val="right"/>
            </w:pPr>
          </w:p>
        </w:tc>
      </w:tr>
    </w:tbl>
    <w:p>
      <w:pPr>
        <w:spacing w:after="200"/>
      </w:pPr>
    </w:p>
    <w:tbl>
      <w:tblPr>
        <w:tblW w:type="dxa" w:w="3200"/>
        <w:tblBorders>
          <w:top w:val="single" w:color="13244A" w:sz="4"/>
          <w:left w:val="single" w:color="13244A" w:sz="4"/>
          <w:bottom w:val="single" w:color="13244A" w:sz="4"/>
          <w:right w:val="single" w:color="13244A" w:sz="4"/>
          <w:insideH w:val="single" w:color="auto" w:sz="4"/>
          <w:insideV w:val="single" w:color="auto" w:sz="4"/>
        </w:tblBorders>
      </w:tblPr>
      <w:tblGrid>
        <w:gridCol w:w="3200"/>
      </w:tblGrid>
      <w:tr>
        <w:tc>
          <w:tcPr>
            <w:tcW w:type="dxa" w:w="3200"/>
            <w:shd w:fill="FFFFFF" w:val="clear"/>
            <w:tcMar>
              <w:top w:type="dxa" w:w="160"/>
              <w:left w:type="dxa" w:w="160"/>
              <w:bottom w:type="dxa" w:w="160"/>
              <w:right w:type="dxa" w:w="160"/>
            </w:tcMar>
          </w:tcPr>
          <w:p>
            <w:pPr>
              <w:jc w:val="center"/>
            </w:pPr>
            <w:r>
              <w:rPr>
                <w:rFonts w:ascii="Poppins" w:cs="Poppins" w:eastAsia="Poppins" w:hAnsi="Poppins"/>
                <w:b/>
                <w:bCs/>
                <w:color w:val="13244A"/>
                <w:sz w:val="22"/>
                <w:szCs w:val="22"/>
              </w:rPr>
              <w:t xml:space="preserve">INNOVATION</w:t>
            </w:r>
          </w:p>
          <w:p>
            <w:pPr>
              <w:jc w:val="center"/>
            </w:pPr>
            <w:r>
              <w:rPr>
                <w:rFonts w:ascii="Poppins" w:cs="Poppins" w:eastAsia="Poppins" w:hAnsi="Poppins"/>
                <w:b/>
                <w:bCs/>
                <w:color w:val="C9A227"/>
                <w:sz w:val="22"/>
                <w:szCs w:val="22"/>
              </w:rPr>
              <w:t xml:space="preserve">CONSULT</w:t>
            </w:r>
          </w:p>
        </w:tc>
      </w:tr>
    </w:tbl>
    <w:p>
      <w:pPr>
        <w:spacing w:after="400"/>
      </w:pPr>
    </w:p>
    <w:p>
      <w:pPr>
        <w:spacing w:after="200"/>
      </w:pPr>
      <w:r>
        <w:rPr>
          <w:rFonts w:ascii="Poppins" w:cs="Poppins" w:eastAsia="Poppins" w:hAnsi="Poppins"/>
          <w:b/>
          <w:bCs/>
          <w:color w:val="13244A"/>
          <w:sz w:val="56"/>
          <w:szCs w:val="56"/>
        </w:rPr>
        <w:t xml:space="preserve">User Guide</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60" w:hRule="exact"/>
        </w:trPr>
        <w:tc>
          <w:tcPr>
            <w:tcW w:type="dxa" w:w="1200"/>
            <w:shd w:fill="C9A227" w:val="clear"/>
          </w:tcPr>
          <w:p/>
        </w:tc>
      </w:tr>
    </w:tbl>
    <w:p>
      <w:pPr>
        <w:spacing w:after="200"/>
      </w:pPr>
    </w:p>
    <w:p>
      <w:pPr>
        <w:spacing w:after="600"/>
      </w:pPr>
      <w:r>
        <w:rPr>
          <w:rFonts w:ascii="Arial" w:cs="Arial" w:eastAsia="Arial" w:hAnsi="Arial"/>
          <w:i/>
          <w:iCs/>
          <w:color w:val="5A5648"/>
          <w:sz w:val="24"/>
          <w:szCs w:val="24"/>
        </w:rPr>
        <w:t xml:space="preserve">Election-COS1.0 — Field &amp; Command Reference</w:t>
      </w:r>
    </w:p>
    <w:p>
      <w:pPr>
        <w:spacing w:after="60"/>
      </w:pPr>
      <w:r>
        <w:rPr>
          <w:rFonts w:ascii="Arial" w:cs="Arial" w:eastAsia="Arial" w:hAnsi="Arial"/>
          <w:b/>
          <w:bCs/>
          <w:color w:val="F4EFE2"/>
          <w:sz w:val="17"/>
          <w:szCs w:val="17"/>
        </w:rPr>
        <w:t xml:space="preserve">DOCUMENT ID: </w:t>
      </w:r>
      <w:r>
        <w:rPr>
          <w:rFonts w:ascii="Arial" w:cs="Arial" w:eastAsia="Arial" w:hAnsi="Arial"/>
          <w:color w:val="F4EFE2"/>
          <w:sz w:val="17"/>
          <w:szCs w:val="17"/>
        </w:rPr>
        <w:t xml:space="preserve">IC-ECOS-USERGUIDE-2026</w:t>
      </w:r>
    </w:p>
    <w:p>
      <w:pPr>
        <w:spacing w:after="60"/>
      </w:pPr>
      <w:r>
        <w:rPr>
          <w:rFonts w:ascii="Arial" w:cs="Arial" w:eastAsia="Arial" w:hAnsi="Arial"/>
          <w:b/>
          <w:bCs/>
          <w:color w:val="F4EFE2"/>
          <w:sz w:val="17"/>
          <w:szCs w:val="17"/>
        </w:rPr>
        <w:t xml:space="preserve">AUTHOR: </w:t>
      </w:r>
      <w:r>
        <w:rPr>
          <w:rFonts w:ascii="Arial" w:cs="Arial" w:eastAsia="Arial" w:hAnsi="Arial"/>
          <w:color w:val="F4EFE2"/>
          <w:sz w:val="17"/>
          <w:szCs w:val="17"/>
        </w:rPr>
        <w:t xml:space="preserve">Innovation Consult (Pty) Ltd</w:t>
      </w:r>
    </w:p>
    <w:p>
      <w:pPr>
        <w:spacing w:after="60"/>
      </w:pPr>
      <w:r>
        <w:rPr>
          <w:rFonts w:ascii="Arial" w:cs="Arial" w:eastAsia="Arial" w:hAnsi="Arial"/>
          <w:b/>
          <w:bCs/>
          <w:color w:val="F4EFE2"/>
          <w:sz w:val="17"/>
          <w:szCs w:val="17"/>
        </w:rPr>
        <w:t xml:space="preserve">DATE OF PUBLICATION: </w:t>
      </w:r>
      <w:r>
        <w:rPr>
          <w:rFonts w:ascii="Arial" w:cs="Arial" w:eastAsia="Arial" w:hAnsi="Arial"/>
          <w:color w:val="F4EFE2"/>
          <w:sz w:val="17"/>
          <w:szCs w:val="17"/>
        </w:rPr>
        <w:t xml:space="preserve">2026-08-09</w:t>
      </w:r>
    </w:p>
    <w:p>
      <w:pPr>
        <w:spacing w:after="60"/>
      </w:pPr>
      <w:r>
        <w:rPr>
          <w:rFonts w:ascii="Arial" w:cs="Arial" w:eastAsia="Arial" w:hAnsi="Arial"/>
          <w:b/>
          <w:bCs/>
          <w:color w:val="F4EFE2"/>
          <w:sz w:val="17"/>
          <w:szCs w:val="17"/>
        </w:rPr>
        <w:t xml:space="preserve">REVISION: </w:t>
      </w:r>
      <w:r>
        <w:rPr>
          <w:rFonts w:ascii="Arial" w:cs="Arial" w:eastAsia="Arial" w:hAnsi="Arial"/>
          <w:color w:val="F4EFE2"/>
          <w:sz w:val="17"/>
          <w:szCs w:val="17"/>
        </w:rPr>
        <w:t xml:space="preserve">00    VERSION: v1.0</w:t>
      </w:r>
    </w:p>
    <w:p>
      <w:r>
        <w:br w:type="page"/>
      </w:r>
    </w:p>
    <w:p>
      <w:pPr>
        <w:pStyle w:val="Heading1"/>
        <w:spacing w:after="160" w:before="320"/>
      </w:pPr>
      <w:r>
        <w:rPr>
          <w:rFonts w:ascii="Poppins" w:cs="Poppins" w:eastAsia="Poppins" w:hAnsi="Poppins"/>
          <w:b/>
          <w:bCs/>
          <w:color w:val="13244A"/>
        </w:rPr>
        <w:t xml:space="preserve">1. What Election-COS1.0 is</w:t>
      </w:r>
    </w:p>
    <w:p>
      <w:pPr>
        <w:spacing w:after="160"/>
      </w:pPr>
      <w:r>
        <w:rPr>
          <w:rFonts w:ascii="Arial" w:cs="Arial" w:eastAsia="Arial" w:hAnsi="Arial"/>
          <w:sz w:val="22"/>
          <w:szCs w:val="22"/>
        </w:rPr>
        <w:t xml:space="preserve">Election-COS1.0 is an offline-first field operations and compliance platform for South African local government election campaigns. It exists because campaigns are won or lost on the efficiency of their data-gathering machinery: every voter conversation, every household visit, every reported service failure, and every donation captured cleanly and consistently is a strategic asset — one captured poorly, or lost to a bad sync, is a strategic cost. Every workflow in this guide exists to make that machinery reliable, even on a phone in a dead zone during loadshedding.</w:t>
      </w:r>
    </w:p>
    <w:p>
      <w:pPr>
        <w:pStyle w:val="Heading1"/>
        <w:spacing w:after="160" w:before="320"/>
      </w:pPr>
      <w:r>
        <w:rPr>
          <w:rFonts w:ascii="Poppins" w:cs="Poppins" w:eastAsia="Poppins" w:hAnsi="Poppins"/>
          <w:b/>
          <w:bCs/>
          <w:color w:val="13244A"/>
        </w:rPr>
        <w:t xml:space="preserve">2. Signing in and understanding your role</w:t>
      </w:r>
    </w:p>
    <w:p>
      <w:pPr>
        <w:spacing w:after="160"/>
      </w:pPr>
      <w:r>
        <w:rPr>
          <w:rFonts w:ascii="Arial" w:cs="Arial" w:eastAsia="Arial" w:hAnsi="Arial"/>
          <w:sz w:val="22"/>
          <w:szCs w:val="22"/>
        </w:rPr>
        <w:t xml:space="preserve">You sign in with the email and password issued by your Party HQ Admin. What you can see and do is determined by your role’s default capabilities plus any individual overrides granted to you — this is a grants model, not a fixed job title. Two staff with the same title can have different access if one has been granted an override. If a screen or action you expect to see is missing, ask your Party HQ Admin or Compliance Officer to check your permissions under Settings → Permissions.</w:t>
      </w:r>
    </w:p>
    <w:p>
      <w:pPr>
        <w:spacing w:after="160"/>
      </w:pPr>
      <w:r>
        <w:rPr>
          <w:rFonts w:ascii="Arial" w:cs="Arial" w:eastAsia="Arial" w:hAnsi="Arial"/>
          <w:sz w:val="22"/>
          <w:szCs w:val="22"/>
        </w:rPr>
        <w:t xml:space="preserve">Seed roles and what they’re for:</w:t>
      </w:r>
    </w:p>
    <w:p>
      <w:pPr>
        <w:pStyle w:val="ListParagraph"/>
        <w:numPr>
          <w:ilvl w:val="0"/>
          <w:numId w:val="1"/>
        </w:numPr>
        <w:spacing w:after="80"/>
      </w:pPr>
      <w:r>
        <w:rPr>
          <w:rFonts w:ascii="Arial" w:cs="Arial" w:eastAsia="Arial" w:hAnsi="Arial"/>
          <w:sz w:val="22"/>
          <w:szCs w:val="22"/>
        </w:rPr>
        <w:t xml:space="preserve">Party HQ Admin — full tenant-wide access, including team management and threshold configuration.</w:t>
      </w:r>
    </w:p>
    <w:p>
      <w:pPr>
        <w:pStyle w:val="ListParagraph"/>
        <w:numPr>
          <w:ilvl w:val="0"/>
          <w:numId w:val="1"/>
        </w:numPr>
        <w:spacing w:after="80"/>
      </w:pPr>
      <w:r>
        <w:rPr>
          <w:rFonts w:ascii="Arial" w:cs="Arial" w:eastAsia="Arial" w:hAnsi="Arial"/>
          <w:sz w:val="22"/>
          <w:szCs w:val="22"/>
        </w:rPr>
        <w:t xml:space="preserve">Municipal Team Lead — municipality-wide operational access.</w:t>
      </w:r>
    </w:p>
    <w:p>
      <w:pPr>
        <w:pStyle w:val="ListParagraph"/>
        <w:numPr>
          <w:ilvl w:val="0"/>
          <w:numId w:val="1"/>
        </w:numPr>
        <w:spacing w:after="80"/>
      </w:pPr>
      <w:r>
        <w:rPr>
          <w:rFonts w:ascii="Arial" w:cs="Arial" w:eastAsia="Arial" w:hAnsi="Arial"/>
          <w:sz w:val="22"/>
          <w:szCs w:val="22"/>
        </w:rPr>
        <w:t xml:space="preserve">Ward Lead — ward-scoped access, including incident triage.</w:t>
      </w:r>
    </w:p>
    <w:p>
      <w:pPr>
        <w:pStyle w:val="ListParagraph"/>
        <w:numPr>
          <w:ilvl w:val="0"/>
          <w:numId w:val="1"/>
        </w:numPr>
        <w:spacing w:after="80"/>
      </w:pPr>
      <w:r>
        <w:rPr>
          <w:rFonts w:ascii="Arial" w:cs="Arial" w:eastAsia="Arial" w:hAnsi="Arial"/>
          <w:sz w:val="22"/>
          <w:szCs w:val="22"/>
        </w:rPr>
        <w:t xml:space="preserve">VD Captain — voting-district-scoped field capture.</w:t>
      </w:r>
    </w:p>
    <w:p>
      <w:pPr>
        <w:pStyle w:val="ListParagraph"/>
        <w:numPr>
          <w:ilvl w:val="0"/>
          <w:numId w:val="1"/>
        </w:numPr>
        <w:spacing w:after="80"/>
      </w:pPr>
      <w:r>
        <w:rPr>
          <w:rFonts w:ascii="Arial" w:cs="Arial" w:eastAsia="Arial" w:hAnsi="Arial"/>
          <w:sz w:val="22"/>
          <w:szCs w:val="22"/>
        </w:rPr>
        <w:t xml:space="preserve">Canvasser — voting-district-scoped voter and household capture, and incident logging.</w:t>
      </w:r>
    </w:p>
    <w:p>
      <w:pPr>
        <w:pStyle w:val="ListParagraph"/>
        <w:numPr>
          <w:ilvl w:val="0"/>
          <w:numId w:val="1"/>
        </w:numPr>
        <w:spacing w:after="80"/>
      </w:pPr>
      <w:r>
        <w:rPr>
          <w:rFonts w:ascii="Arial" w:cs="Arial" w:eastAsia="Arial" w:hAnsi="Arial"/>
          <w:sz w:val="22"/>
          <w:szCs w:val="22"/>
        </w:rPr>
        <w:t xml:space="preserve">Compliance Officer — tenant-wide view and edit access to funding &amp; disclosure records.</w:t>
      </w:r>
    </w:p>
    <w:p>
      <w:pPr>
        <w:pStyle w:val="ListParagraph"/>
        <w:numPr>
          <w:ilvl w:val="0"/>
          <w:numId w:val="1"/>
        </w:numPr>
        <w:spacing w:after="80"/>
      </w:pPr>
      <w:r>
        <w:rPr>
          <w:rFonts w:ascii="Arial" w:cs="Arial" w:eastAsia="Arial" w:hAnsi="Arial"/>
          <w:sz w:val="22"/>
          <w:szCs w:val="22"/>
        </w:rPr>
        <w:t xml:space="preserve">Finance Officer — full funding &amp; disclosure access, including statutory threshold configuration.</w:t>
      </w:r>
    </w:p>
    <w:p>
      <w:pPr>
        <w:pStyle w:val="Heading1"/>
        <w:spacing w:after="160" w:before="320"/>
      </w:pPr>
      <w:r>
        <w:rPr>
          <w:rFonts w:ascii="Poppins" w:cs="Poppins" w:eastAsia="Poppins" w:hAnsi="Poppins"/>
          <w:b/>
          <w:bCs/>
          <w:color w:val="13244A"/>
        </w:rPr>
        <w:t xml:space="preserve">3. Navigation</w:t>
      </w:r>
    </w:p>
    <w:p>
      <w:pPr>
        <w:spacing w:after="160"/>
      </w:pPr>
      <w:r>
        <w:rPr>
          <w:rFonts w:ascii="Arial" w:cs="Arial" w:eastAsia="Arial" w:hAnsi="Arial"/>
          <w:sz w:val="22"/>
          <w:szCs w:val="22"/>
        </w:rPr>
        <w:t xml:space="preserve">The same nine-item menu appears for everyone; what renders inside each section depends on your capabilities.</w:t>
      </w:r>
    </w:p>
    <w:p>
      <w:pPr>
        <w:pStyle w:val="ListParagraph"/>
        <w:numPr>
          <w:ilvl w:val="0"/>
          <w:numId w:val="1"/>
        </w:numPr>
        <w:spacing w:after="80"/>
      </w:pPr>
      <w:r>
        <w:rPr>
          <w:rFonts w:ascii="Arial" w:cs="Arial" w:eastAsia="Arial" w:hAnsi="Arial"/>
          <w:sz w:val="22"/>
          <w:szCs w:val="22"/>
        </w:rPr>
        <w:t xml:space="preserve">War Room — command-centre view of field activity, read from pre-aggregated counters (never a live scan of every record, to keep the app fast and stay within free-tier limits).</w:t>
      </w:r>
    </w:p>
    <w:p>
      <w:pPr>
        <w:pStyle w:val="ListParagraph"/>
        <w:numPr>
          <w:ilvl w:val="0"/>
          <w:numId w:val="1"/>
        </w:numPr>
        <w:spacing w:after="80"/>
      </w:pPr>
      <w:r>
        <w:rPr>
          <w:rFonts w:ascii="Arial" w:cs="Arial" w:eastAsia="Arial" w:hAnsi="Arial"/>
          <w:sz w:val="22"/>
          <w:szCs w:val="22"/>
        </w:rPr>
        <w:t xml:space="preserve">Voters — capture and review individual voter records, sentiment, and consent status.</w:t>
      </w:r>
    </w:p>
    <w:p>
      <w:pPr>
        <w:pStyle w:val="ListParagraph"/>
        <w:numPr>
          <w:ilvl w:val="0"/>
          <w:numId w:val="1"/>
        </w:numPr>
        <w:spacing w:after="80"/>
      </w:pPr>
      <w:r>
        <w:rPr>
          <w:rFonts w:ascii="Arial" w:cs="Arial" w:eastAsia="Arial" w:hAnsi="Arial"/>
          <w:sz w:val="22"/>
          <w:szCs w:val="22"/>
        </w:rPr>
        <w:t xml:space="preserve">Wards — ward and voting-district reference data.</w:t>
      </w:r>
    </w:p>
    <w:p>
      <w:pPr>
        <w:pStyle w:val="ListParagraph"/>
        <w:numPr>
          <w:ilvl w:val="0"/>
          <w:numId w:val="1"/>
        </w:numPr>
        <w:spacing w:after="80"/>
      </w:pPr>
      <w:r>
        <w:rPr>
          <w:rFonts w:ascii="Arial" w:cs="Arial" w:eastAsia="Arial" w:hAnsi="Arial"/>
          <w:sz w:val="22"/>
          <w:szCs w:val="22"/>
        </w:rPr>
        <w:t xml:space="preserve">Field Diary — canvassing session and street-level progress logs.</w:t>
      </w:r>
    </w:p>
    <w:p>
      <w:pPr>
        <w:pStyle w:val="ListParagraph"/>
        <w:numPr>
          <w:ilvl w:val="0"/>
          <w:numId w:val="1"/>
        </w:numPr>
        <w:spacing w:after="80"/>
      </w:pPr>
      <w:r>
        <w:rPr>
          <w:rFonts w:ascii="Arial" w:cs="Arial" w:eastAsia="Arial" w:hAnsi="Arial"/>
          <w:sz w:val="22"/>
          <w:szCs w:val="22"/>
        </w:rPr>
        <w:t xml:space="preserve">Incidents — service-delivery issue reports, from first log through triage, escalation, and a signed referral document.</w:t>
      </w:r>
    </w:p>
    <w:p>
      <w:pPr>
        <w:pStyle w:val="ListParagraph"/>
        <w:numPr>
          <w:ilvl w:val="0"/>
          <w:numId w:val="1"/>
        </w:numPr>
        <w:spacing w:after="80"/>
      </w:pPr>
      <w:r>
        <w:rPr>
          <w:rFonts w:ascii="Arial" w:cs="Arial" w:eastAsia="Arial" w:hAnsi="Arial"/>
          <w:sz w:val="22"/>
          <w:szCs w:val="22"/>
        </w:rPr>
        <w:t xml:space="preserve">Logistics — inventory and resupply requests.</w:t>
      </w:r>
    </w:p>
    <w:p>
      <w:pPr>
        <w:pStyle w:val="ListParagraph"/>
        <w:numPr>
          <w:ilvl w:val="0"/>
          <w:numId w:val="1"/>
        </w:numPr>
        <w:spacing w:after="80"/>
      </w:pPr>
      <w:r>
        <w:rPr>
          <w:rFonts w:ascii="Arial" w:cs="Arial" w:eastAsia="Arial" w:hAnsi="Arial"/>
          <w:sz w:val="22"/>
          <w:szCs w:val="22"/>
        </w:rPr>
        <w:t xml:space="preserve">Funding &amp; Disclosure — donor and donation records, visible only with the relevant capability.</w:t>
      </w:r>
    </w:p>
    <w:p>
      <w:pPr>
        <w:pStyle w:val="ListParagraph"/>
        <w:numPr>
          <w:ilvl w:val="0"/>
          <w:numId w:val="1"/>
        </w:numPr>
        <w:spacing w:after="80"/>
      </w:pPr>
      <w:r>
        <w:rPr>
          <w:rFonts w:ascii="Arial" w:cs="Arial" w:eastAsia="Arial" w:hAnsi="Arial"/>
          <w:sz w:val="22"/>
          <w:szCs w:val="22"/>
        </w:rPr>
        <w:t xml:space="preserve">Analytics — reporting, including the seat-allocation calculator.</w:t>
      </w:r>
    </w:p>
    <w:p>
      <w:pPr>
        <w:pStyle w:val="ListParagraph"/>
        <w:numPr>
          <w:ilvl w:val="0"/>
          <w:numId w:val="1"/>
        </w:numPr>
        <w:spacing w:after="80"/>
      </w:pPr>
      <w:r>
        <w:rPr>
          <w:rFonts w:ascii="Arial" w:cs="Arial" w:eastAsia="Arial" w:hAnsi="Arial"/>
          <w:sz w:val="22"/>
          <w:szCs w:val="22"/>
        </w:rPr>
        <w:t xml:space="preserve">Settings — municipality configuration, permissions, statutory threshold configuration, and data subject requests.</w:t>
      </w:r>
    </w:p>
    <w:p>
      <w:pPr>
        <w:pStyle w:val="Heading1"/>
        <w:spacing w:after="160" w:before="320"/>
      </w:pPr>
      <w:r>
        <w:rPr>
          <w:rFonts w:ascii="Poppins" w:cs="Poppins" w:eastAsia="Poppins" w:hAnsi="Poppins"/>
          <w:b/>
          <w:bCs/>
          <w:color w:val="13244A"/>
        </w:rPr>
        <w:t xml:space="preserve">4. Capturing a voter</w:t>
      </w:r>
    </w:p>
    <w:p>
      <w:pPr>
        <w:spacing w:after="160"/>
      </w:pPr>
      <w:r>
        <w:rPr>
          <w:rFonts w:ascii="Arial" w:cs="Arial" w:eastAsia="Arial" w:hAnsi="Arial"/>
          <w:sz w:val="22"/>
          <w:szCs w:val="22"/>
        </w:rPr>
        <w:t xml:space="preserve">Open Voters, choose the voting district you’re working in (or it’s pre-filled from your assignment), and select "New voter."</w:t>
      </w:r>
    </w:p>
    <w:p>
      <w:pPr>
        <w:pStyle w:val="ListParagraph"/>
        <w:numPr>
          <w:ilvl w:val="0"/>
          <w:numId w:val="1"/>
        </w:numPr>
        <w:spacing w:after="80"/>
      </w:pPr>
      <w:r>
        <w:rPr>
          <w:rFonts w:ascii="Arial" w:cs="Arial" w:eastAsia="Arial" w:hAnsi="Arial"/>
          <w:sz w:val="22"/>
          <w:szCs w:val="22"/>
        </w:rPr>
        <w:t xml:space="preserve">Select the household the voter belongs to. If the household isn’t listed yet, it needs to be captured first — households, not raw street addresses, are the working unit, because a large share of the population lives in informal settlements without formal addressing.</w:t>
      </w:r>
    </w:p>
    <w:p>
      <w:pPr>
        <w:pStyle w:val="ListParagraph"/>
        <w:numPr>
          <w:ilvl w:val="0"/>
          <w:numId w:val="1"/>
        </w:numPr>
        <w:spacing w:after="80"/>
      </w:pPr>
      <w:r>
        <w:rPr>
          <w:rFonts w:ascii="Arial" w:cs="Arial" w:eastAsia="Arial" w:hAnsi="Arial"/>
          <w:sz w:val="22"/>
          <w:szCs w:val="22"/>
        </w:rPr>
        <w:t xml:space="preserve">Enter the voter’s name and, if given, a phone number. The number is masked for display immediately (e.g. "082 •••• 567") — nobody browsing the list sees the full number.</w:t>
      </w:r>
    </w:p>
    <w:p>
      <w:pPr>
        <w:pStyle w:val="ListParagraph"/>
        <w:numPr>
          <w:ilvl w:val="0"/>
          <w:numId w:val="1"/>
        </w:numPr>
        <w:spacing w:after="80"/>
      </w:pPr>
      <w:r>
        <w:rPr>
          <w:rFonts w:ascii="Arial" w:cs="Arial" w:eastAsia="Arial" w:hAnsi="Arial"/>
          <w:sz w:val="22"/>
          <w:szCs w:val="22"/>
        </w:rPr>
        <w:t xml:space="preserve">Record sentiment on the five-point scale, from Strong Opposition to Strong Support. Update it any time via "Log response" on that voter’s card.</w:t>
      </w:r>
    </w:p>
    <w:p>
      <w:pPr>
        <w:pStyle w:val="ListParagraph"/>
        <w:numPr>
          <w:ilvl w:val="0"/>
          <w:numId w:val="1"/>
        </w:numPr>
        <w:spacing w:after="80"/>
      </w:pPr>
      <w:r>
        <w:rPr>
          <w:rFonts w:ascii="Arial" w:cs="Arial" w:eastAsia="Arial" w:hAnsi="Arial"/>
          <w:sz w:val="22"/>
          <w:szCs w:val="22"/>
        </w:rPr>
        <w:t xml:space="preserve">Consent is not optional. You must confirm the voter has given consent, and record how (verbal at the doorstep, written, or digital) before the record can be saved. This is enforced at the database level, not just in the form — there is no way to bypass it.</w:t>
      </w:r>
    </w:p>
    <w:p>
      <w:pPr>
        <w:pStyle w:val="Heading1"/>
        <w:spacing w:after="160" w:before="320"/>
      </w:pPr>
      <w:r>
        <w:rPr>
          <w:rFonts w:ascii="Poppins" w:cs="Poppins" w:eastAsia="Poppins" w:hAnsi="Poppins"/>
          <w:b/>
          <w:bCs/>
          <w:color w:val="13244A"/>
        </w:rPr>
        <w:t xml:space="preserve">5. Working offline</w:t>
      </w:r>
    </w:p>
    <w:p>
      <w:pPr>
        <w:spacing w:after="160"/>
      </w:pPr>
      <w:r>
        <w:rPr>
          <w:rFonts w:ascii="Arial" w:cs="Arial" w:eastAsia="Arial" w:hAnsi="Arial"/>
          <w:sz w:val="22"/>
          <w:szCs w:val="22"/>
        </w:rPr>
        <w:t xml:space="preserve">Voter capture, household capture, incident logging with photos, diary entries, and task completion all work with no signal. Your device queues the work locally and syncs automatically once it reconnects. If two people edit the same record while both offline, the app merges non-conflicting field changes automatically and only asks you to resolve a genuine conflict — one where you and someone else changed the same field. Conflicts are never silently discarded; they sit in a review queue until a person looks at both versions and chooses. A record that’s rejected for missing consent is clearly marked and stops retrying, rather than failing silently in the background — you’ll be told exactly what to do about it.</w:t>
      </w:r>
    </w:p>
    <w:p>
      <w:pPr>
        <w:pStyle w:val="Heading1"/>
        <w:spacing w:after="160" w:before="320"/>
      </w:pPr>
      <w:r>
        <w:rPr>
          <w:rFonts w:ascii="Poppins" w:cs="Poppins" w:eastAsia="Poppins" w:hAnsi="Poppins"/>
          <w:b/>
          <w:bCs/>
          <w:color w:val="13244A"/>
        </w:rPr>
        <w:t xml:space="preserve">6. Incidents</w:t>
      </w:r>
    </w:p>
    <w:p>
      <w:pPr>
        <w:spacing w:after="160"/>
      </w:pPr>
      <w:r>
        <w:rPr>
          <w:rFonts w:ascii="Arial" w:cs="Arial" w:eastAsia="Arial" w:hAnsi="Arial"/>
          <w:sz w:val="22"/>
          <w:szCs w:val="22"/>
        </w:rPr>
        <w:t xml:space="preserve">A field-reported service-delivery issue moves through a fixed workflow: a canvasser logs it against one of four categories (Water &amp; Sanitation, Electricity, Roads &amp; Transport, Public Safety); a Ward Lead triages it and sets severity; a Municipal Team Lead can escalate it; and an authorised escalation produces a signed, watermarked referral document with a document integrity hash, ready to hand to the relevant municipal official.</w:t>
      </w:r>
    </w:p>
    <w:p>
      <w:pPr>
        <w:pStyle w:val="Heading1"/>
        <w:spacing w:after="160" w:before="320"/>
      </w:pPr>
      <w:r>
        <w:rPr>
          <w:rFonts w:ascii="Poppins" w:cs="Poppins" w:eastAsia="Poppins" w:hAnsi="Poppins"/>
          <w:b/>
          <w:bCs/>
          <w:color w:val="13244A"/>
        </w:rPr>
        <w:t xml:space="preserve">7. Funding &amp; disclosure</w:t>
      </w:r>
    </w:p>
    <w:p>
      <w:pPr>
        <w:spacing w:after="160"/>
      </w:pPr>
      <w:r>
        <w:rPr>
          <w:rFonts w:ascii="Arial" w:cs="Arial" w:eastAsia="Arial" w:hAnsi="Arial"/>
          <w:sz w:val="22"/>
          <w:szCs w:val="22"/>
        </w:rPr>
        <w:t xml:space="preserve">Where enabled, this module records donors and donations against the statutory Political Party Funding Act thresholds, which are configurable per tenant (not hard-coded) because the law can change. A donation is never blocked from being recorded, even if it appears to breach a threshold — the system flags it and notifies a named Finance Officer or Compliance Officer for human judgement, rather than silently refusing a lawful donation on a misconfigured rule.</w:t>
      </w:r>
    </w:p>
    <w:p>
      <w:pPr>
        <w:pStyle w:val="Heading1"/>
        <w:spacing w:after="160" w:before="320"/>
      </w:pPr>
      <w:r>
        <w:rPr>
          <w:rFonts w:ascii="Poppins" w:cs="Poppins" w:eastAsia="Poppins" w:hAnsi="Poppins"/>
          <w:b/>
          <w:bCs/>
          <w:color w:val="13244A"/>
        </w:rPr>
        <w:t xml:space="preserve">8. Gatherings advisory</w:t>
      </w:r>
    </w:p>
    <w:p>
      <w:pPr>
        <w:spacing w:after="160"/>
      </w:pPr>
      <w:r>
        <w:rPr>
          <w:rFonts w:ascii="Arial" w:cs="Arial" w:eastAsia="Arial" w:hAnsi="Arial"/>
          <w:sz w:val="22"/>
          <w:szCs w:val="22"/>
        </w:rPr>
        <w:t xml:space="preserve">A static reference page under Settings explains the notice requirements of the Regulation of Gatherings Act. It is general information only — the Platform does not file notices or track your compliance for you. Speak to your party’s legal officer before a public gathering.</w:t>
      </w:r>
    </w:p>
    <w:p>
      <w:pPr>
        <w:pStyle w:val="Heading1"/>
        <w:spacing w:after="160" w:before="320"/>
      </w:pPr>
      <w:r>
        <w:rPr>
          <w:rFonts w:ascii="Poppins" w:cs="Poppins" w:eastAsia="Poppins" w:hAnsi="Poppins"/>
          <w:b/>
          <w:bCs/>
          <w:color w:val="13244A"/>
        </w:rPr>
        <w:t xml:space="preserve">9. Getting help</w:t>
      </w:r>
    </w:p>
    <w:p>
      <w:pPr>
        <w:spacing w:after="160"/>
      </w:pPr>
      <w:r>
        <w:rPr>
          <w:rFonts w:ascii="Arial" w:cs="Arial" w:eastAsia="Arial" w:hAnsi="Arial"/>
          <w:sz w:val="22"/>
          <w:szCs w:val="22"/>
        </w:rPr>
        <w:t xml:space="preserve">Contact your Party HQ Admin for account and permissions issues. For platform issues, contact info@innovationconsult.co.za.</w:t>
      </w:r>
    </w:p>
    <w:p>
      <w:pPr>
        <w:pStyle w:val="Heading1"/>
        <w:spacing w:after="160" w:before="320"/>
      </w:pPr>
      <w:r>
        <w:rPr>
          <w:rFonts w:ascii="Poppins" w:cs="Poppins" w:eastAsia="Poppins" w:hAnsi="Poppins"/>
          <w:b/>
          <w:bCs/>
          <w:color w:val="13244A"/>
        </w:rPr>
        <w:t xml:space="preserve">10. Glossary</w:t>
      </w:r>
    </w:p>
    <w:p>
      <w:pPr>
        <w:pStyle w:val="ListParagraph"/>
        <w:numPr>
          <w:ilvl w:val="0"/>
          <w:numId w:val="1"/>
        </w:numPr>
        <w:spacing w:after="80"/>
      </w:pPr>
      <w:r>
        <w:rPr>
          <w:rFonts w:ascii="Arial" w:cs="Arial" w:eastAsia="Arial" w:hAnsi="Arial"/>
          <w:sz w:val="22"/>
          <w:szCs w:val="22"/>
        </w:rPr>
        <w:t xml:space="preserve">VD — Voting District, the smallest IEC-defined geographic unit.</w:t>
      </w:r>
    </w:p>
    <w:p>
      <w:pPr>
        <w:pStyle w:val="ListParagraph"/>
        <w:numPr>
          <w:ilvl w:val="0"/>
          <w:numId w:val="1"/>
        </w:numPr>
        <w:spacing w:after="80"/>
      </w:pPr>
      <w:r>
        <w:rPr>
          <w:rFonts w:ascii="Arial" w:cs="Arial" w:eastAsia="Arial" w:hAnsi="Arial"/>
          <w:sz w:val="22"/>
          <w:szCs w:val="22"/>
        </w:rPr>
        <w:t xml:space="preserve">Ward — a municipal ward, containing one or more VDs.</w:t>
      </w:r>
    </w:p>
    <w:p>
      <w:pPr>
        <w:pStyle w:val="ListParagraph"/>
        <w:numPr>
          <w:ilvl w:val="0"/>
          <w:numId w:val="1"/>
        </w:numPr>
        <w:spacing w:after="80"/>
      </w:pPr>
      <w:r>
        <w:rPr>
          <w:rFonts w:ascii="Arial" w:cs="Arial" w:eastAsia="Arial" w:hAnsi="Arial"/>
          <w:sz w:val="22"/>
          <w:szCs w:val="22"/>
        </w:rPr>
        <w:t xml:space="preserve">POPIA — Protection of Personal Information Act 4 of 2013.</w:t>
      </w:r>
    </w:p>
    <w:p>
      <w:pPr>
        <w:pStyle w:val="ListParagraph"/>
        <w:numPr>
          <w:ilvl w:val="0"/>
          <w:numId w:val="1"/>
        </w:numPr>
        <w:spacing w:after="80"/>
      </w:pPr>
      <w:r>
        <w:rPr>
          <w:rFonts w:ascii="Arial" w:cs="Arial" w:eastAsia="Arial" w:hAnsi="Arial"/>
          <w:sz w:val="22"/>
          <w:szCs w:val="22"/>
        </w:rPr>
        <w:t xml:space="preserve">PPFA — Political Party Funding Act 6 of 2018.</w:t>
      </w:r>
    </w:p>
    <w:p>
      <w:pPr>
        <w:pStyle w:val="ListParagraph"/>
        <w:numPr>
          <w:ilvl w:val="0"/>
          <w:numId w:val="1"/>
        </w:numPr>
        <w:spacing w:after="80"/>
      </w:pPr>
      <w:r>
        <w:rPr>
          <w:rFonts w:ascii="Arial" w:cs="Arial" w:eastAsia="Arial" w:hAnsi="Arial"/>
          <w:sz w:val="22"/>
          <w:szCs w:val="22"/>
        </w:rPr>
        <w:t xml:space="preserve">Capability — a specific permission (e.g. "voters.edit"), granted by role default or individual override.</w:t>
      </w:r>
    </w:p>
    <w:p>
      <w:r>
        <w:br w:type="page"/>
      </w:r>
    </w:p>
    <w:p>
      <w:pPr>
        <w:pStyle w:val="Heading2"/>
        <w:spacing w:after="160" w:before="320"/>
      </w:pPr>
      <w:r>
        <w:rPr>
          <w:rFonts w:ascii="Poppins" w:cs="Poppins" w:eastAsia="Poppins" w:hAnsi="Poppins"/>
          <w:b/>
          <w:bCs/>
          <w:color w:val="13244A"/>
        </w:rPr>
        <w:t xml:space="preserve">Copyright &amp; Disclaimer</w:t>
      </w:r>
    </w:p>
    <w:p>
      <w:pPr>
        <w:spacing w:after="160"/>
      </w:pPr>
      <w:r>
        <w:rPr>
          <w:rFonts w:ascii="Arial" w:cs="Arial" w:eastAsia="Arial" w:hAnsi="Arial"/>
          <w:sz w:val="22"/>
          <w:szCs w:val="22"/>
        </w:rPr>
        <w:t xml:space="preserve">© 2026 Just Be Trading 10 (Pty) Ltd t/a Innovation Consult (Pty) Ltd. All rights reserved. Registration Number: 2007/021390/07. No part of this publication may be reproduced, distributed, or transmitted in any form or by any means, including photocopying, recording, or other electronic or mechanical methods, without the prior written permission of Innovation Consult, except in the case of brief quotations embodied in critical reviews and other noncommercial uses permitted by copyright law.</w:t>
      </w:r>
    </w:p>
    <w:p>
      <w:pPr>
        <w:spacing w:after="160"/>
      </w:pPr>
      <w:r>
        <w:rPr>
          <w:rFonts w:ascii="Arial" w:cs="Arial" w:eastAsia="Arial" w:hAnsi="Arial"/>
          <w:sz w:val="22"/>
          <w:szCs w:val="22"/>
        </w:rPr>
        <w:t xml:space="preserve">Disclaimer: This document is provided for informational purposes only and does not constitute professional, legal, financial, or investment advice. While every effort has been made to ensure the accuracy of the information contained herein, Innovation Consult makes no warranties, express or implied, regarding the completeness, reliability, or suitability of this content. Innovation Consult, its directors, employees, and agents accept no liability for any loss or damage of any kind arising from reliance on this document.</w:t>
      </w:r>
    </w:p>
    <w:p>
      <w:pPr>
        <w:spacing w:before="300"/>
      </w:pPr>
    </w:p>
    <w:p>
      <w:pPr>
        <w:jc w:val="center"/>
      </w:pPr>
      <w:r>
        <w:rPr>
          <w:rFonts w:ascii="Arial" w:cs="Arial" w:eastAsia="Arial" w:hAnsi="Arial"/>
          <w:color w:val="5A5648"/>
          <w:sz w:val="16"/>
          <w:szCs w:val="16"/>
        </w:rPr>
        <w:t xml:space="preserve">P.O. Box 2590, Potchefstroom, 2520, N.W. Province, South Africa  |  +27 (0)67 907 1580  |  info@innovationconsult.co.za  |  www.innovationconsult.co.za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648"/>
        <w:sz w:val="14"/>
        <w:szCs w:val="14"/>
      </w:rPr>
      <w:t xml:space="preserve">Just Be Trading 10 (Pty) Ltd t/a Innovation Consult (Pty) Ltd  |  Reg. 2007/021390/07  |  Page </w:t>
    </w:r>
    <w:r>
      <w:rPr>
        <w:color w:val="5A5648"/>
        <w:sz w:val="14"/>
        <w:szCs w:val="14"/>
      </w:rPr>
      <w:fldChar w:fldCharType="begin"/>
      <w:instrText xml:space="preserve">PAGE</w:instrText>
      <w:fldChar w:fldCharType="separate"/>
      <w:fldChar w:fldCharType="end"/>
    </w:r>
    <w:r>
      <w:rPr>
        <w:color w:val="5A5648"/>
        <w:sz w:val="14"/>
        <w:szCs w:val="14"/>
      </w:rPr>
      <w:t xml:space="preserve"> of </w:t>
    </w:r>
    <w:r>
      <w:rPr>
        <w:color w:val="5A564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2026-08-09T05:42:15.405Z</dcterms:created>
  <dcterms:modified xsi:type="dcterms:W3CDTF">2026-08-09T05:42:15.405Z</dcterms:modified>
</cp:coreProperties>
</file>

<file path=docProps/custom.xml><?xml version="1.0" encoding="utf-8"?>
<Properties xmlns="http://schemas.openxmlformats.org/officeDocument/2006/custom-properties" xmlns:vt="http://schemas.openxmlformats.org/officeDocument/2006/docPropsVTypes"/>
</file>