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shd w:fill="E4E7EA" w:val="clear"/>
            <w:tcMar>
              <w:top w:type="dxa" w:w="500"/>
              <w:left w:type="dxa" w:w="500"/>
              <w:bottom w:type="dxa" w:w="500"/>
              <w:right w:type="dxa" w:w="500"/>
            </w:tcMar>
          </w:tcPr>
          <w:p>
            <w:r>
              <w:rPr>
                <w:rFonts w:ascii="Poppins" w:cs="Poppins" w:eastAsia="Poppins" w:hAnsi="Poppins"/>
                <w:b/>
                <w:bCs/>
                <w:color w:val="7B1E30"/>
                <w:spacing w:val="30"/>
                <w:sz w:val="18"/>
                <w:szCs w:val="18"/>
              </w:rPr>
              <w:t xml:space="preserve">LEGAL, POLICY &amp; REGULATORY COMPLIANCE</w:t>
            </w:r>
          </w:p>
          <w:p>
            <w:pPr>
              <w:spacing w:after="200"/>
            </w:pPr>
          </w:p>
          <w:p>
            <w:pPr>
              <w:jc w:val="right"/>
            </w:pPr>
          </w:p>
        </w:tc>
      </w:tr>
    </w:tbl>
    <w:p>
      <w:pPr>
        <w:spacing w:after="200"/>
      </w:pPr>
    </w:p>
    <w:tbl>
      <w:tblPr>
        <w:tblW w:type="dxa" w:w="3200"/>
        <w:tblBorders>
          <w:top w:val="single" w:color="13244A" w:sz="4"/>
          <w:left w:val="single" w:color="13244A" w:sz="4"/>
          <w:bottom w:val="single" w:color="13244A" w:sz="4"/>
          <w:right w:val="single" w:color="13244A" w:sz="4"/>
          <w:insideH w:val="single" w:color="auto" w:sz="4"/>
          <w:insideV w:val="single" w:color="auto" w:sz="4"/>
        </w:tblBorders>
      </w:tblPr>
      <w:tblGrid>
        <w:gridCol w:w="3200"/>
      </w:tblGrid>
      <w:tr>
        <w:tc>
          <w:tcPr>
            <w:tcW w:type="dxa" w:w="3200"/>
            <w:shd w:fill="FFFFFF" w:val="clear"/>
            <w:tcMar>
              <w:top w:type="dxa" w:w="160"/>
              <w:left w:type="dxa" w:w="160"/>
              <w:bottom w:type="dxa" w:w="160"/>
              <w:right w:type="dxa" w:w="160"/>
            </w:tcMar>
          </w:tcPr>
          <w:p>
            <w:pPr>
              <w:jc w:val="center"/>
            </w:pPr>
            <w:r>
              <w:rPr>
                <w:rFonts w:ascii="Poppins" w:cs="Poppins" w:eastAsia="Poppins" w:hAnsi="Poppins"/>
                <w:b/>
                <w:bCs/>
                <w:color w:val="13244A"/>
                <w:sz w:val="22"/>
                <w:szCs w:val="22"/>
              </w:rPr>
              <w:t xml:space="preserve">INNOVATION</w:t>
            </w:r>
          </w:p>
          <w:p>
            <w:pPr>
              <w:jc w:val="center"/>
            </w:pPr>
            <w:r>
              <w:rPr>
                <w:rFonts w:ascii="Poppins" w:cs="Poppins" w:eastAsia="Poppins" w:hAnsi="Poppins"/>
                <w:b/>
                <w:bCs/>
                <w:color w:val="C9A227"/>
                <w:sz w:val="22"/>
                <w:szCs w:val="22"/>
              </w:rPr>
              <w:t xml:space="preserve">CONSULT</w:t>
            </w:r>
          </w:p>
        </w:tc>
      </w:tr>
    </w:tbl>
    <w:p>
      <w:pPr>
        <w:spacing w:after="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7B1E30" w:val="clear"/>
            <w:tcMar>
              <w:top w:type="dxa" w:w="160"/>
              <w:left w:type="dxa" w:w="200"/>
              <w:bottom w:type="dxa" w:w="160"/>
              <w:right w:type="dxa" w:w="200"/>
            </w:tcMar>
          </w:tcPr>
          <w:p>
            <w:pPr>
              <w:jc w:val="center"/>
            </w:pPr>
            <w:r>
              <w:rPr>
                <w:rFonts w:ascii="Poppins" w:cs="Poppins" w:eastAsia="Poppins" w:hAnsi="Poppins"/>
                <w:b/>
                <w:bCs/>
                <w:color w:val="FFFFFF"/>
                <w:sz w:val="20"/>
                <w:szCs w:val="20"/>
              </w:rPr>
              <w:t xml:space="preserve">DRAFT — NOT FOR PUBLICATION — REQUIRES ATTORNEY REVIEW</w:t>
            </w:r>
          </w:p>
        </w:tc>
      </w:tr>
    </w:tbl>
    <w:p>
      <w:pPr>
        <w:spacing w:after="400"/>
      </w:pPr>
    </w:p>
    <w:p>
      <w:pPr>
        <w:spacing w:after="200"/>
      </w:pPr>
      <w:r>
        <w:rPr>
          <w:rFonts w:ascii="Poppins" w:cs="Poppins" w:eastAsia="Poppins" w:hAnsi="Poppins"/>
          <w:b/>
          <w:bCs/>
          <w:color w:val="13244A"/>
          <w:sz w:val="56"/>
          <w:szCs w:val="56"/>
        </w:rPr>
        <w:t xml:space="preserve">Terms of Use</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60" w:hRule="exact"/>
        </w:trPr>
        <w:tc>
          <w:tcPr>
            <w:tcW w:type="dxa" w:w="1200"/>
            <w:shd w:fill="7B1E30" w:val="clear"/>
          </w:tcPr>
          <w:p/>
        </w:tc>
      </w:tr>
    </w:tbl>
    <w:p>
      <w:pPr>
        <w:spacing w:after="200"/>
      </w:pPr>
    </w:p>
    <w:p>
      <w:pPr>
        <w:spacing w:after="600"/>
      </w:pPr>
      <w:r>
        <w:rPr>
          <w:rFonts w:ascii="Arial" w:cs="Arial" w:eastAsia="Arial" w:hAnsi="Arial"/>
          <w:i/>
          <w:iCs/>
          <w:color w:val="5A5648"/>
          <w:sz w:val="24"/>
          <w:szCs w:val="24"/>
        </w:rPr>
        <w:t xml:space="preserve">Election-COS1.0 — Draft for Attorney Review</w:t>
      </w:r>
    </w:p>
    <w:p>
      <w:pPr>
        <w:spacing w:after="60"/>
      </w:pPr>
      <w:r>
        <w:rPr>
          <w:rFonts w:ascii="Arial" w:cs="Arial" w:eastAsia="Arial" w:hAnsi="Arial"/>
          <w:b/>
          <w:bCs/>
          <w:color w:val="13244A"/>
          <w:sz w:val="17"/>
          <w:szCs w:val="17"/>
        </w:rPr>
        <w:t xml:space="preserve">DOCUMENT ID: </w:t>
      </w:r>
      <w:r>
        <w:rPr>
          <w:rFonts w:ascii="Arial" w:cs="Arial" w:eastAsia="Arial" w:hAnsi="Arial"/>
          <w:color w:val="13244A"/>
          <w:sz w:val="17"/>
          <w:szCs w:val="17"/>
        </w:rPr>
        <w:t xml:space="preserve">IC-ECOS-L2-2026-DRAFT</w:t>
      </w:r>
    </w:p>
    <w:p>
      <w:pPr>
        <w:spacing w:after="60"/>
      </w:pPr>
      <w:r>
        <w:rPr>
          <w:rFonts w:ascii="Arial" w:cs="Arial" w:eastAsia="Arial" w:hAnsi="Arial"/>
          <w:b/>
          <w:bCs/>
          <w:color w:val="13244A"/>
          <w:sz w:val="17"/>
          <w:szCs w:val="17"/>
        </w:rPr>
        <w:t xml:space="preserve">AUTHOR: </w:t>
      </w:r>
      <w:r>
        <w:rPr>
          <w:rFonts w:ascii="Arial" w:cs="Arial" w:eastAsia="Arial" w:hAnsi="Arial"/>
          <w:color w:val="13244A"/>
          <w:sz w:val="17"/>
          <w:szCs w:val="17"/>
        </w:rPr>
        <w:t xml:space="preserve">Innovation Consult (Pty) Ltd</w:t>
      </w:r>
    </w:p>
    <w:p>
      <w:pPr>
        <w:spacing w:after="60"/>
      </w:pPr>
      <w:r>
        <w:rPr>
          <w:rFonts w:ascii="Arial" w:cs="Arial" w:eastAsia="Arial" w:hAnsi="Arial"/>
          <w:b/>
          <w:bCs/>
          <w:color w:val="13244A"/>
          <w:sz w:val="17"/>
          <w:szCs w:val="17"/>
        </w:rPr>
        <w:t xml:space="preserve">DATE OF PUBLICATION: </w:t>
      </w:r>
      <w:r>
        <w:rPr>
          <w:rFonts w:ascii="Arial" w:cs="Arial" w:eastAsia="Arial" w:hAnsi="Arial"/>
          <w:color w:val="13244A"/>
          <w:sz w:val="17"/>
          <w:szCs w:val="17"/>
        </w:rPr>
        <w:t xml:space="preserve">[Pending attorney review]</w:t>
      </w:r>
    </w:p>
    <w:p>
      <w:pPr>
        <w:spacing w:after="60"/>
      </w:pPr>
      <w:r>
        <w:rPr>
          <w:rFonts w:ascii="Arial" w:cs="Arial" w:eastAsia="Arial" w:hAnsi="Arial"/>
          <w:b/>
          <w:bCs/>
          <w:color w:val="13244A"/>
          <w:sz w:val="17"/>
          <w:szCs w:val="17"/>
        </w:rPr>
        <w:t xml:space="preserve">REVISION: </w:t>
      </w:r>
      <w:r>
        <w:rPr>
          <w:rFonts w:ascii="Arial" w:cs="Arial" w:eastAsia="Arial" w:hAnsi="Arial"/>
          <w:color w:val="13244A"/>
          <w:sz w:val="17"/>
          <w:szCs w:val="17"/>
        </w:rPr>
        <w:t xml:space="preserve">00    VERSION: v1.0</w:t>
      </w:r>
    </w:p>
    <w:p>
      <w:r>
        <w:br w:type="page"/>
      </w:r>
    </w:p>
    <w:p>
      <w:pPr>
        <w:spacing w:after="160"/>
      </w:pPr>
      <w:r>
        <w:rPr>
          <w:rFonts w:ascii="Arial" w:cs="Arial" w:eastAsia="Arial" w:hAnsi="Arial"/>
          <w:b/>
          <w:bCs/>
          <w:color w:val="7B1E30"/>
          <w:sz w:val="22"/>
          <w:szCs w:val="22"/>
        </w:rPr>
        <w:t xml:space="preserve">This Terms of Use document is a working draft prepared to support attorney review before publication. It is NOT final and must not be published or relied upon until reviewed and approved by an admitted attorney.</w:t>
      </w:r>
    </w:p>
    <w:p>
      <w:pPr>
        <w:pStyle w:val="Heading1"/>
        <w:spacing w:after="160" w:before="320"/>
      </w:pPr>
      <w:r>
        <w:rPr>
          <w:rFonts w:ascii="Poppins" w:cs="Poppins" w:eastAsia="Poppins" w:hAnsi="Poppins"/>
          <w:b/>
          <w:bCs/>
          <w:color w:val="13244A"/>
        </w:rPr>
        <w:t xml:space="preserve">1. Acceptance of these terms</w:t>
      </w:r>
    </w:p>
    <w:p>
      <w:pPr>
        <w:spacing w:after="160"/>
      </w:pPr>
      <w:r>
        <w:rPr>
          <w:rFonts w:ascii="Arial" w:cs="Arial" w:eastAsia="Arial" w:hAnsi="Arial"/>
          <w:sz w:val="22"/>
          <w:szCs w:val="22"/>
        </w:rPr>
        <w:t xml:space="preserve">By creating an account on or otherwise using Election-COS1.0 ("the Platform"), you agree to these Terms of Use, offered by Just Be Trading 10 (Pty) Ltd t/a Innovation Consult (Pty) Ltd.</w:t>
      </w:r>
    </w:p>
    <w:p>
      <w:pPr>
        <w:pStyle w:val="Heading1"/>
        <w:spacing w:after="160" w:before="320"/>
      </w:pPr>
      <w:r>
        <w:rPr>
          <w:rFonts w:ascii="Poppins" w:cs="Poppins" w:eastAsia="Poppins" w:hAnsi="Poppins"/>
          <w:b/>
          <w:bCs/>
          <w:color w:val="13244A"/>
        </w:rPr>
        <w:t xml:space="preserve">2. Description of service</w:t>
      </w:r>
    </w:p>
    <w:p>
      <w:pPr>
        <w:spacing w:after="160"/>
      </w:pPr>
      <w:r>
        <w:rPr>
          <w:rFonts w:ascii="Arial" w:cs="Arial" w:eastAsia="Arial" w:hAnsi="Arial"/>
          <w:sz w:val="22"/>
          <w:szCs w:val="22"/>
        </w:rPr>
        <w:t xml:space="preserve">The Platform is a campaign management and field-operations tool for South African political parties, independent candidates, and municipal campaign teams, covering voter and household capture, incident management, field diary and logistics coordination, and — where enabled — Political Party Funding Act donation disclosure support.</w:t>
      </w:r>
    </w:p>
    <w:p>
      <w:pPr>
        <w:pStyle w:val="Heading1"/>
        <w:spacing w:after="160" w:before="320"/>
      </w:pPr>
      <w:r>
        <w:rPr>
          <w:rFonts w:ascii="Poppins" w:cs="Poppins" w:eastAsia="Poppins" w:hAnsi="Poppins"/>
          <w:b/>
          <w:bCs/>
          <w:color w:val="13244A"/>
        </w:rPr>
        <w:t xml:space="preserve">3. Operator status</w:t>
      </w:r>
    </w:p>
    <w:p>
      <w:pPr>
        <w:spacing w:after="160"/>
      </w:pPr>
      <w:r>
        <w:rPr>
          <w:rFonts w:ascii="Arial" w:cs="Arial" w:eastAsia="Arial" w:hAnsi="Arial"/>
          <w:sz w:val="22"/>
          <w:szCs w:val="22"/>
        </w:rPr>
        <w:t xml:space="preserve">Just Be Trading 10 (Pty) Ltd t/a Innovation Consult (Pty) Ltd acts as an Operator under the Protection of Personal Information Act, processing personal information on behalf of the political party or candidate using the Platform (the Responsible Party). See the Privacy Policy for the full data-protection framework.</w:t>
      </w:r>
    </w:p>
    <w:p>
      <w:pPr>
        <w:pStyle w:val="Heading1"/>
        <w:spacing w:after="160" w:before="320"/>
      </w:pPr>
      <w:r>
        <w:rPr>
          <w:rFonts w:ascii="Poppins" w:cs="Poppins" w:eastAsia="Poppins" w:hAnsi="Poppins"/>
          <w:b/>
          <w:bCs/>
          <w:color w:val="13244A"/>
        </w:rPr>
        <w:t xml:space="preserve">4. User responsibilities</w:t>
      </w:r>
    </w:p>
    <w:p>
      <w:pPr>
        <w:pStyle w:val="ListParagraph"/>
        <w:numPr>
          <w:ilvl w:val="0"/>
          <w:numId w:val="1"/>
        </w:numPr>
        <w:spacing w:after="80"/>
      </w:pPr>
      <w:r>
        <w:rPr>
          <w:rFonts w:ascii="Arial" w:cs="Arial" w:eastAsia="Arial" w:hAnsi="Arial"/>
          <w:sz w:val="22"/>
          <w:szCs w:val="22"/>
        </w:rPr>
        <w:t xml:space="preserve">Obtain and accurately record consent before capturing a voter’s political opinion or contact information.</w:t>
      </w:r>
    </w:p>
    <w:p>
      <w:pPr>
        <w:pStyle w:val="ListParagraph"/>
        <w:numPr>
          <w:ilvl w:val="0"/>
          <w:numId w:val="1"/>
        </w:numPr>
        <w:spacing w:after="80"/>
      </w:pPr>
      <w:r>
        <w:rPr>
          <w:rFonts w:ascii="Arial" w:cs="Arial" w:eastAsia="Arial" w:hAnsi="Arial"/>
          <w:sz w:val="22"/>
          <w:szCs w:val="22"/>
        </w:rPr>
        <w:t xml:space="preserve">Use the doorstep consent script as provided, without altering its substantive disclosures.</w:t>
      </w:r>
    </w:p>
    <w:p>
      <w:pPr>
        <w:pStyle w:val="ListParagraph"/>
        <w:numPr>
          <w:ilvl w:val="0"/>
          <w:numId w:val="1"/>
        </w:numPr>
        <w:spacing w:after="80"/>
      </w:pPr>
      <w:r>
        <w:rPr>
          <w:rFonts w:ascii="Arial" w:cs="Arial" w:eastAsia="Arial" w:hAnsi="Arial"/>
          <w:sz w:val="22"/>
          <w:szCs w:val="22"/>
        </w:rPr>
        <w:t xml:space="preserve">Keep account credentials confidential and report suspected unauthorised access promptly.</w:t>
      </w:r>
    </w:p>
    <w:p>
      <w:pPr>
        <w:pStyle w:val="ListParagraph"/>
        <w:numPr>
          <w:ilvl w:val="0"/>
          <w:numId w:val="1"/>
        </w:numPr>
        <w:spacing w:after="80"/>
      </w:pPr>
      <w:r>
        <w:rPr>
          <w:rFonts w:ascii="Arial" w:cs="Arial" w:eastAsia="Arial" w:hAnsi="Arial"/>
          <w:sz w:val="22"/>
          <w:szCs w:val="22"/>
        </w:rPr>
        <w:t xml:space="preserve">Use captured data only for lawful campaign purposes consistent with these terms.</w:t>
      </w:r>
    </w:p>
    <w:p>
      <w:pPr>
        <w:pStyle w:val="Heading1"/>
        <w:spacing w:after="160" w:before="320"/>
      </w:pPr>
      <w:r>
        <w:rPr>
          <w:rFonts w:ascii="Poppins" w:cs="Poppins" w:eastAsia="Poppins" w:hAnsi="Poppins"/>
          <w:b/>
          <w:bCs/>
          <w:color w:val="13244A"/>
        </w:rPr>
        <w:t xml:space="preserve">5. Prohibited uses</w:t>
      </w:r>
    </w:p>
    <w:p>
      <w:pPr>
        <w:pStyle w:val="ListParagraph"/>
        <w:numPr>
          <w:ilvl w:val="0"/>
          <w:numId w:val="1"/>
        </w:numPr>
        <w:spacing w:after="80"/>
      </w:pPr>
      <w:r>
        <w:rPr>
          <w:rFonts w:ascii="Arial" w:cs="Arial" w:eastAsia="Arial" w:hAnsi="Arial"/>
          <w:sz w:val="22"/>
          <w:szCs w:val="22"/>
        </w:rPr>
        <w:t xml:space="preserve">Using the Platform to harass, intimidate, or unlawfully discriminate against any person.</w:t>
      </w:r>
    </w:p>
    <w:p>
      <w:pPr>
        <w:pStyle w:val="ListParagraph"/>
        <w:numPr>
          <w:ilvl w:val="0"/>
          <w:numId w:val="1"/>
        </w:numPr>
        <w:spacing w:after="80"/>
      </w:pPr>
      <w:r>
        <w:rPr>
          <w:rFonts w:ascii="Arial" w:cs="Arial" w:eastAsia="Arial" w:hAnsi="Arial"/>
          <w:sz w:val="22"/>
          <w:szCs w:val="22"/>
        </w:rPr>
        <w:t xml:space="preserve">Attempting to access data outside your assigned geographic scope or capability grants.</w:t>
      </w:r>
    </w:p>
    <w:p>
      <w:pPr>
        <w:pStyle w:val="ListParagraph"/>
        <w:numPr>
          <w:ilvl w:val="0"/>
          <w:numId w:val="1"/>
        </w:numPr>
        <w:spacing w:after="80"/>
      </w:pPr>
      <w:r>
        <w:rPr>
          <w:rFonts w:ascii="Arial" w:cs="Arial" w:eastAsia="Arial" w:hAnsi="Arial"/>
          <w:sz w:val="22"/>
          <w:szCs w:val="22"/>
        </w:rPr>
        <w:t xml:space="preserve">Exporting or disclosing voter, donor, or candidate data other than as permitted by your role.</w:t>
      </w:r>
    </w:p>
    <w:p>
      <w:pPr>
        <w:pStyle w:val="ListParagraph"/>
        <w:numPr>
          <w:ilvl w:val="0"/>
          <w:numId w:val="1"/>
        </w:numPr>
        <w:spacing w:after="80"/>
      </w:pPr>
      <w:r>
        <w:rPr>
          <w:rFonts w:ascii="Arial" w:cs="Arial" w:eastAsia="Arial" w:hAnsi="Arial"/>
          <w:sz w:val="22"/>
          <w:szCs w:val="22"/>
        </w:rPr>
        <w:t xml:space="preserve">Using the Platform’s gatherings advisory content as a substitute for filing a required notice with the responsible local authority — the Platform does not file notices or track compliance on your behalf.</w:t>
      </w:r>
    </w:p>
    <w:p>
      <w:pPr>
        <w:pStyle w:val="Heading1"/>
        <w:spacing w:after="160" w:before="320"/>
      </w:pPr>
      <w:r>
        <w:rPr>
          <w:rFonts w:ascii="Poppins" w:cs="Poppins" w:eastAsia="Poppins" w:hAnsi="Poppins"/>
          <w:b/>
          <w:bCs/>
          <w:color w:val="13244A"/>
        </w:rPr>
        <w:t xml:space="preserve">6. Disclaimers</w:t>
      </w:r>
    </w:p>
    <w:p>
      <w:pPr>
        <w:spacing w:after="160"/>
      </w:pPr>
      <w:r>
        <w:rPr>
          <w:rFonts w:ascii="Arial" w:cs="Arial" w:eastAsia="Arial" w:hAnsi="Arial"/>
          <w:sz w:val="22"/>
          <w:szCs w:val="22"/>
        </w:rPr>
        <w:t xml:space="preserve">The Platform, including its gatherings advisory content, seat-allocation calculator, and any analytics or reporting features, provides general information and operational tooling. It is not legal, electoral, or financial advice. Consult your party’s legal officer or an admitted attorney for advice specific to your circumstances.</w:t>
      </w:r>
    </w:p>
    <w:p>
      <w:pPr>
        <w:pStyle w:val="Heading1"/>
        <w:spacing w:after="160" w:before="320"/>
      </w:pPr>
      <w:r>
        <w:rPr>
          <w:rFonts w:ascii="Poppins" w:cs="Poppins" w:eastAsia="Poppins" w:hAnsi="Poppins"/>
          <w:b/>
          <w:bCs/>
          <w:color w:val="13244A"/>
        </w:rPr>
        <w:t xml:space="preserve">7. Limitation of liability</w:t>
      </w:r>
    </w:p>
    <w:p>
      <w:pPr>
        <w:spacing w:after="160"/>
      </w:pPr>
      <w:r>
        <w:rPr>
          <w:rFonts w:ascii="Arial" w:cs="Arial" w:eastAsia="Arial" w:hAnsi="Arial"/>
          <w:sz w:val="22"/>
          <w:szCs w:val="22"/>
        </w:rPr>
        <w:t xml:space="preserve">Just Be Trading 10 (Pty) Ltd t/a Innovation Consult (Pty) Ltd, its directors, employees, and agents accept no liability for any loss or damage arising from reliance on the Platform beyond what is required by law. [ATTORNEY REVIEW NEEDED: standard limitation-of-liability clause appropriate to a SaaS platform handling special personal information.]</w:t>
      </w:r>
    </w:p>
    <w:p>
      <w:pPr>
        <w:pStyle w:val="Heading1"/>
        <w:spacing w:after="160" w:before="320"/>
      </w:pPr>
      <w:r>
        <w:rPr>
          <w:rFonts w:ascii="Poppins" w:cs="Poppins" w:eastAsia="Poppins" w:hAnsi="Poppins"/>
          <w:b/>
          <w:bCs/>
          <w:color w:val="13244A"/>
        </w:rPr>
        <w:t xml:space="preserve">8. Termination</w:t>
      </w:r>
    </w:p>
    <w:p>
      <w:pPr>
        <w:spacing w:after="160"/>
      </w:pPr>
      <w:r>
        <w:rPr>
          <w:rFonts w:ascii="Arial" w:cs="Arial" w:eastAsia="Arial" w:hAnsi="Arial"/>
          <w:sz w:val="22"/>
          <w:szCs w:val="22"/>
        </w:rPr>
        <w:t xml:space="preserve">Access may be suspended or terminated for breach of these terms, non-payment, or at the end of a licensing cycle, as set out in the applicable commercial agreement.</w:t>
      </w:r>
    </w:p>
    <w:p>
      <w:pPr>
        <w:pStyle w:val="Heading1"/>
        <w:spacing w:after="160" w:before="320"/>
      </w:pPr>
      <w:r>
        <w:rPr>
          <w:rFonts w:ascii="Poppins" w:cs="Poppins" w:eastAsia="Poppins" w:hAnsi="Poppins"/>
          <w:b/>
          <w:bCs/>
          <w:color w:val="13244A"/>
        </w:rPr>
        <w:t xml:space="preserve">9. Governing law</w:t>
      </w:r>
    </w:p>
    <w:p>
      <w:pPr>
        <w:spacing w:after="160"/>
      </w:pPr>
      <w:r>
        <w:rPr>
          <w:rFonts w:ascii="Arial" w:cs="Arial" w:eastAsia="Arial" w:hAnsi="Arial"/>
          <w:sz w:val="22"/>
          <w:szCs w:val="22"/>
        </w:rPr>
        <w:t xml:space="preserve">These terms are governed by the law of the Republic of South Africa.</w:t>
      </w:r>
    </w:p>
    <w:p>
      <w:pPr>
        <w:pStyle w:val="Heading1"/>
        <w:spacing w:after="160" w:before="320"/>
      </w:pPr>
      <w:r>
        <w:rPr>
          <w:rFonts w:ascii="Poppins" w:cs="Poppins" w:eastAsia="Poppins" w:hAnsi="Poppins"/>
          <w:b/>
          <w:bCs/>
          <w:color w:val="13244A"/>
        </w:rPr>
        <w:t xml:space="preserve">10. Contact</w:t>
      </w:r>
    </w:p>
    <w:p>
      <w:pPr>
        <w:spacing w:after="160"/>
      </w:pPr>
      <w:r>
        <w:rPr>
          <w:rFonts w:ascii="Arial" w:cs="Arial" w:eastAsia="Arial" w:hAnsi="Arial"/>
          <w:sz w:val="22"/>
          <w:szCs w:val="22"/>
        </w:rPr>
        <w:t xml:space="preserve">info@innovationconsult.com</w:t>
      </w:r>
    </w:p>
    <w:p>
      <w:r>
        <w:br w:type="page"/>
      </w:r>
    </w:p>
    <w:p>
      <w:pPr>
        <w:pStyle w:val="Heading2"/>
        <w:spacing w:after="160" w:before="320"/>
      </w:pPr>
      <w:r>
        <w:rPr>
          <w:rFonts w:ascii="Poppins" w:cs="Poppins" w:eastAsia="Poppins" w:hAnsi="Poppins"/>
          <w:b/>
          <w:bCs/>
          <w:color w:val="13244A"/>
        </w:rPr>
        <w:t xml:space="preserve">Copyright &amp; Disclaimer</w:t>
      </w:r>
    </w:p>
    <w:p>
      <w:pPr>
        <w:spacing w:after="160"/>
      </w:pPr>
      <w:r>
        <w:rPr>
          <w:rFonts w:ascii="Arial" w:cs="Arial" w:eastAsia="Arial" w:hAnsi="Arial"/>
          <w:sz w:val="22"/>
          <w:szCs w:val="22"/>
        </w:rPr>
        <w:t xml:space="preserve">© 2026 Just Be Trading 10 (Pty) Ltd t/a Innovation Consult (Pty) Ltd. All rights reserved. Registration Number: 2007/021390/07. No part of this publication may be reproduced, distributed, or transmitted in any form or by any means, including photocopying, recording, or other electronic or mechanical methods, without the prior written permission of Innovation Consult, except in the case of brief quotations embodied in critical reviews and other noncommercial uses permitted by copyright law.</w:t>
      </w:r>
    </w:p>
    <w:p>
      <w:pPr>
        <w:spacing w:after="160"/>
      </w:pPr>
      <w:r>
        <w:rPr>
          <w:rFonts w:ascii="Arial" w:cs="Arial" w:eastAsia="Arial" w:hAnsi="Arial"/>
          <w:sz w:val="22"/>
          <w:szCs w:val="22"/>
        </w:rPr>
        <w:t xml:space="preserve">Disclaimer: This document is provided for informational purposes only and does not constitute professional, legal, financial, or investment advice. While every effort has been made to ensure the accuracy of the information contained herein, Innovation Consult makes no warranties, express or implied, regarding the completeness, reliability, or suitability of this content. Innovation Consult, its directors, employees, and agents accept no liability for any loss or damage of any kind arising from reliance on this document.</w:t>
      </w:r>
    </w:p>
    <w:p>
      <w:pPr>
        <w:spacing w:after="160"/>
      </w:pPr>
      <w:r>
        <w:rPr>
          <w:rFonts w:ascii="Arial" w:cs="Arial" w:eastAsia="Arial" w:hAnsi="Arial"/>
          <w:b/>
          <w:bCs/>
          <w:color w:val="7B1E30"/>
          <w:sz w:val="22"/>
          <w:szCs w:val="22"/>
        </w:rPr>
        <w:t xml:space="preserve">This is a draft. Do not publish without attorney sign-off.</w:t>
      </w:r>
    </w:p>
    <w:p>
      <w:pPr>
        <w:spacing w:before="300"/>
      </w:pPr>
    </w:p>
    <w:p>
      <w:pPr>
        <w:jc w:val="center"/>
      </w:pPr>
      <w:r>
        <w:rPr>
          <w:rFonts w:ascii="Arial" w:cs="Arial" w:eastAsia="Arial" w:hAnsi="Arial"/>
          <w:color w:val="5A5648"/>
          <w:sz w:val="16"/>
          <w:szCs w:val="16"/>
        </w:rPr>
        <w:t xml:space="preserve">P.O. Box 2590, Potchefstroom, 2520, N.W. Province, South Africa  |  +27 (0)67 907 1580  |  info@innovationconsult.com  |  www.innovationconsult.com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648"/>
        <w:sz w:val="14"/>
        <w:szCs w:val="14"/>
      </w:rPr>
      <w:t xml:space="preserve">Just Be Trading 10 (Pty) Ltd t/a Innovation Consult (Pty) Ltd  |  Reg. 2007/021390/07  |  Page </w:t>
    </w:r>
    <w:r>
      <w:rPr>
        <w:color w:val="5A5648"/>
        <w:sz w:val="14"/>
        <w:szCs w:val="14"/>
      </w:rPr>
      <w:fldChar w:fldCharType="begin"/>
      <w:instrText xml:space="preserve">PAGE</w:instrText>
      <w:fldChar w:fldCharType="separate"/>
      <w:fldChar w:fldCharType="end"/>
    </w:r>
    <w:r>
      <w:rPr>
        <w:color w:val="5A5648"/>
        <w:sz w:val="14"/>
        <w:szCs w:val="14"/>
      </w:rPr>
      <w:t xml:space="preserve"> of </w:t>
    </w:r>
    <w:r>
      <w:rPr>
        <w:color w:val="5A564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2026-08-09T02:38:20.470Z</dcterms:created>
  <dcterms:modified xsi:type="dcterms:W3CDTF">2026-08-09T02:38:20.470Z</dcterms:modified>
</cp:coreProperties>
</file>

<file path=docProps/custom.xml><?xml version="1.0" encoding="utf-8"?>
<Properties xmlns="http://schemas.openxmlformats.org/officeDocument/2006/custom-properties" xmlns:vt="http://schemas.openxmlformats.org/officeDocument/2006/docPropsVTypes"/>
</file>