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9350"/>
      </w:tblGrid>
      <w:tr>
        <w:tc>
          <w:tcPr>
            <w:tcW w:type="dxa" w:w="9350"/>
            <w:shd w:fill="E4E7EA" w:val="clear"/>
            <w:tcMar>
              <w:top w:type="dxa" w:w="500"/>
              <w:left w:type="dxa" w:w="500"/>
              <w:bottom w:type="dxa" w:w="500"/>
              <w:right w:type="dxa" w:w="500"/>
            </w:tcMar>
          </w:tcPr>
          <w:p>
            <w:r>
              <w:rPr>
                <w:rFonts w:ascii="Poppins" w:cs="Poppins" w:eastAsia="Poppins" w:hAnsi="Poppins"/>
                <w:b/>
                <w:bCs/>
                <w:color w:val="7B1E30"/>
                <w:spacing w:val="30"/>
                <w:sz w:val="18"/>
                <w:szCs w:val="18"/>
              </w:rPr>
              <w:t xml:space="preserve">LEGAL, POLICY &amp; REGULATORY COMPLIANCE</w:t>
            </w:r>
          </w:p>
          <w:p>
            <w:pPr>
              <w:spacing w:after="200"/>
            </w:pPr>
          </w:p>
          <w:p>
            <w:pPr>
              <w:jc w:val="right"/>
            </w:pPr>
          </w:p>
        </w:tc>
      </w:tr>
    </w:tbl>
    <w:p>
      <w:pPr>
        <w:spacing w:after="200"/>
      </w:pPr>
    </w:p>
    <w:tbl>
      <w:tblPr>
        <w:tblW w:type="dxa" w:w="3200"/>
        <w:tblBorders>
          <w:top w:val="single" w:color="13244A" w:sz="4"/>
          <w:left w:val="single" w:color="13244A" w:sz="4"/>
          <w:bottom w:val="single" w:color="13244A" w:sz="4"/>
          <w:right w:val="single" w:color="13244A" w:sz="4"/>
          <w:insideH w:val="single" w:color="auto" w:sz="4"/>
          <w:insideV w:val="single" w:color="auto" w:sz="4"/>
        </w:tblBorders>
      </w:tblPr>
      <w:tblGrid>
        <w:gridCol w:w="3200"/>
      </w:tblGrid>
      <w:tr>
        <w:tc>
          <w:tcPr>
            <w:tcW w:type="dxa" w:w="3200"/>
            <w:shd w:fill="FFFFFF" w:val="clear"/>
            <w:tcMar>
              <w:top w:type="dxa" w:w="160"/>
              <w:left w:type="dxa" w:w="160"/>
              <w:bottom w:type="dxa" w:w="160"/>
              <w:right w:type="dxa" w:w="160"/>
            </w:tcMar>
          </w:tcPr>
          <w:p>
            <w:pPr>
              <w:jc w:val="center"/>
            </w:pPr>
            <w:r>
              <w:rPr>
                <w:rFonts w:ascii="Poppins" w:cs="Poppins" w:eastAsia="Poppins" w:hAnsi="Poppins"/>
                <w:b/>
                <w:bCs/>
                <w:color w:val="13244A"/>
                <w:sz w:val="22"/>
                <w:szCs w:val="22"/>
              </w:rPr>
              <w:t xml:space="preserve">INNOVATION</w:t>
            </w:r>
          </w:p>
          <w:p>
            <w:pPr>
              <w:jc w:val="center"/>
            </w:pPr>
            <w:r>
              <w:rPr>
                <w:rFonts w:ascii="Poppins" w:cs="Poppins" w:eastAsia="Poppins" w:hAnsi="Poppins"/>
                <w:b/>
                <w:bCs/>
                <w:color w:val="C9A227"/>
                <w:sz w:val="22"/>
                <w:szCs w:val="22"/>
              </w:rPr>
              <w:t xml:space="preserve">CONSULT</w:t>
            </w:r>
          </w:p>
        </w:tc>
      </w:tr>
    </w:tbl>
    <w:p>
      <w:pPr>
        <w:spacing w:after="4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7B1E30" w:val="clear"/>
            <w:tcMar>
              <w:top w:type="dxa" w:w="160"/>
              <w:left w:type="dxa" w:w="200"/>
              <w:bottom w:type="dxa" w:w="160"/>
              <w:right w:type="dxa" w:w="200"/>
            </w:tcMar>
          </w:tcPr>
          <w:p>
            <w:pPr>
              <w:jc w:val="center"/>
            </w:pPr>
            <w:r>
              <w:rPr>
                <w:rFonts w:ascii="Poppins" w:cs="Poppins" w:eastAsia="Poppins" w:hAnsi="Poppins"/>
                <w:b/>
                <w:bCs/>
                <w:color w:val="FFFFFF"/>
                <w:sz w:val="20"/>
                <w:szCs w:val="20"/>
              </w:rPr>
              <w:t xml:space="preserve">DRAFT — NOT FOR PUBLICATION — REQUIRES ATTORNEY REVIEW</w:t>
            </w:r>
          </w:p>
        </w:tc>
      </w:tr>
    </w:tbl>
    <w:p>
      <w:pPr>
        <w:spacing w:after="400"/>
      </w:pPr>
    </w:p>
    <w:p>
      <w:pPr>
        <w:spacing w:after="200"/>
      </w:pPr>
      <w:r>
        <w:rPr>
          <w:rFonts w:ascii="Poppins" w:cs="Poppins" w:eastAsia="Poppins" w:hAnsi="Poppins"/>
          <w:b/>
          <w:bCs/>
          <w:color w:val="13244A"/>
          <w:sz w:val="56"/>
          <w:szCs w:val="56"/>
        </w:rPr>
        <w:t xml:space="preserve">Privacy Policy</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60" w:hRule="exact"/>
        </w:trPr>
        <w:tc>
          <w:tcPr>
            <w:tcW w:type="dxa" w:w="1200"/>
            <w:shd w:fill="7B1E30" w:val="clear"/>
          </w:tcPr>
          <w:p/>
        </w:tc>
      </w:tr>
    </w:tbl>
    <w:p>
      <w:pPr>
        <w:spacing w:after="200"/>
      </w:pPr>
    </w:p>
    <w:p>
      <w:pPr>
        <w:spacing w:after="600"/>
      </w:pPr>
      <w:r>
        <w:rPr>
          <w:rFonts w:ascii="Arial" w:cs="Arial" w:eastAsia="Arial" w:hAnsi="Arial"/>
          <w:i/>
          <w:iCs/>
          <w:color w:val="5A5648"/>
          <w:sz w:val="24"/>
          <w:szCs w:val="24"/>
        </w:rPr>
        <w:t xml:space="preserve">Election-COS1.0 — Draft for Attorney Review</w:t>
      </w:r>
    </w:p>
    <w:p>
      <w:pPr>
        <w:spacing w:after="60"/>
      </w:pPr>
      <w:r>
        <w:rPr>
          <w:rFonts w:ascii="Arial" w:cs="Arial" w:eastAsia="Arial" w:hAnsi="Arial"/>
          <w:b/>
          <w:bCs/>
          <w:color w:val="13244A"/>
          <w:sz w:val="17"/>
          <w:szCs w:val="17"/>
        </w:rPr>
        <w:t xml:space="preserve">DOCUMENT ID: </w:t>
      </w:r>
      <w:r>
        <w:rPr>
          <w:rFonts w:ascii="Arial" w:cs="Arial" w:eastAsia="Arial" w:hAnsi="Arial"/>
          <w:color w:val="13244A"/>
          <w:sz w:val="17"/>
          <w:szCs w:val="17"/>
        </w:rPr>
        <w:t xml:space="preserve">IC-ECOS-L1-2026-DRAFT</w:t>
      </w:r>
    </w:p>
    <w:p>
      <w:pPr>
        <w:spacing w:after="60"/>
      </w:pPr>
      <w:r>
        <w:rPr>
          <w:rFonts w:ascii="Arial" w:cs="Arial" w:eastAsia="Arial" w:hAnsi="Arial"/>
          <w:b/>
          <w:bCs/>
          <w:color w:val="13244A"/>
          <w:sz w:val="17"/>
          <w:szCs w:val="17"/>
        </w:rPr>
        <w:t xml:space="preserve">AUTHOR: </w:t>
      </w:r>
      <w:r>
        <w:rPr>
          <w:rFonts w:ascii="Arial" w:cs="Arial" w:eastAsia="Arial" w:hAnsi="Arial"/>
          <w:color w:val="13244A"/>
          <w:sz w:val="17"/>
          <w:szCs w:val="17"/>
        </w:rPr>
        <w:t xml:space="preserve">Innovation Consult (Pty) Ltd</w:t>
      </w:r>
    </w:p>
    <w:p>
      <w:pPr>
        <w:spacing w:after="60"/>
      </w:pPr>
      <w:r>
        <w:rPr>
          <w:rFonts w:ascii="Arial" w:cs="Arial" w:eastAsia="Arial" w:hAnsi="Arial"/>
          <w:b/>
          <w:bCs/>
          <w:color w:val="13244A"/>
          <w:sz w:val="17"/>
          <w:szCs w:val="17"/>
        </w:rPr>
        <w:t xml:space="preserve">DATE OF PUBLICATION: </w:t>
      </w:r>
      <w:r>
        <w:rPr>
          <w:rFonts w:ascii="Arial" w:cs="Arial" w:eastAsia="Arial" w:hAnsi="Arial"/>
          <w:color w:val="13244A"/>
          <w:sz w:val="17"/>
          <w:szCs w:val="17"/>
        </w:rPr>
        <w:t xml:space="preserve">[Pending attorney review]</w:t>
      </w:r>
    </w:p>
    <w:p>
      <w:pPr>
        <w:spacing w:after="60"/>
      </w:pPr>
      <w:r>
        <w:rPr>
          <w:rFonts w:ascii="Arial" w:cs="Arial" w:eastAsia="Arial" w:hAnsi="Arial"/>
          <w:b/>
          <w:bCs/>
          <w:color w:val="13244A"/>
          <w:sz w:val="17"/>
          <w:szCs w:val="17"/>
        </w:rPr>
        <w:t xml:space="preserve">REVISION: </w:t>
      </w:r>
      <w:r>
        <w:rPr>
          <w:rFonts w:ascii="Arial" w:cs="Arial" w:eastAsia="Arial" w:hAnsi="Arial"/>
          <w:color w:val="13244A"/>
          <w:sz w:val="17"/>
          <w:szCs w:val="17"/>
        </w:rPr>
        <w:t xml:space="preserve">00    VERSION: v1.0</w:t>
      </w:r>
    </w:p>
    <w:p>
      <w:r>
        <w:br w:type="page"/>
      </w:r>
    </w:p>
    <w:p>
      <w:pPr>
        <w:spacing w:after="160"/>
      </w:pPr>
      <w:r>
        <w:rPr>
          <w:rFonts w:ascii="Arial" w:cs="Arial" w:eastAsia="Arial" w:hAnsi="Arial"/>
          <w:b/>
          <w:bCs/>
          <w:color w:val="7B1E30"/>
          <w:sz w:val="22"/>
          <w:szCs w:val="22"/>
        </w:rPr>
        <w:t xml:space="preserve">This Privacy Policy is a working draft prepared to support attorney review before publication. It is NOT a final, legally-reviewed document, and must not be published, linked from the application, or relied upon until an admitted attorney has reviewed and approved it (see the legal compliance workstream, action LG2). Content below is drawn directly from the governing build specification and legal compliance workstream; nothing here is invented.</w:t>
      </w:r>
    </w:p>
    <w:p>
      <w:pPr>
        <w:pStyle w:val="Heading1"/>
        <w:spacing w:after="160" w:before="320"/>
      </w:pPr>
      <w:r>
        <w:rPr>
          <w:rFonts w:ascii="Poppins" w:cs="Poppins" w:eastAsia="Poppins" w:hAnsi="Poppins"/>
          <w:b/>
          <w:bCs/>
          <w:color w:val="13244A"/>
        </w:rPr>
        <w:t xml:space="preserve">1. Introduction and scope</w:t>
      </w:r>
    </w:p>
    <w:p>
      <w:pPr>
        <w:spacing w:after="160"/>
      </w:pPr>
      <w:r>
        <w:rPr>
          <w:rFonts w:ascii="Arial" w:cs="Arial" w:eastAsia="Arial" w:hAnsi="Arial"/>
          <w:sz w:val="22"/>
          <w:szCs w:val="22"/>
        </w:rPr>
        <w:t xml:space="preserve">This policy explains how Election-COS1.0 ("the Platform"), built and operated by Innovation Consult (Pty) Ltd (Reg. 2007/021390/07), processes personal information in connection with South African local government election campaign field operations.</w:t>
      </w:r>
    </w:p>
    <w:p>
      <w:pPr>
        <w:pStyle w:val="Heading1"/>
        <w:spacing w:after="160" w:before="320"/>
      </w:pPr>
      <w:r>
        <w:rPr>
          <w:rFonts w:ascii="Poppins" w:cs="Poppins" w:eastAsia="Poppins" w:hAnsi="Poppins"/>
          <w:b/>
          <w:bCs/>
          <w:color w:val="13244A"/>
        </w:rPr>
        <w:t xml:space="preserve">2. Roles under POPIA</w:t>
      </w:r>
    </w:p>
    <w:p>
      <w:pPr>
        <w:spacing w:after="160"/>
      </w:pPr>
      <w:r>
        <w:rPr>
          <w:rFonts w:ascii="Arial" w:cs="Arial" w:eastAsia="Arial" w:hAnsi="Arial"/>
          <w:sz w:val="22"/>
          <w:szCs w:val="22"/>
        </w:rPr>
        <w:t xml:space="preserve">The political party or candidate using the Platform is the Responsible Party — they determine the purpose and means of processing.</w:t>
      </w:r>
    </w:p>
    <w:p>
      <w:pPr>
        <w:spacing w:after="160"/>
      </w:pPr>
      <w:r>
        <w:rPr>
          <w:rFonts w:ascii="Arial" w:cs="Arial" w:eastAsia="Arial" w:hAnsi="Arial"/>
          <w:sz w:val="22"/>
          <w:szCs w:val="22"/>
        </w:rPr>
        <w:t xml:space="preserve">Innovation Consult (Pty) Ltd is the Operator — it processes personal information on the Responsible Party’s behalf, under an Operator Agreement.</w:t>
      </w:r>
    </w:p>
    <w:p>
      <w:pPr>
        <w:spacing w:after="160"/>
      </w:pPr>
      <w:r>
        <w:rPr>
          <w:rFonts w:ascii="Arial" w:cs="Arial" w:eastAsia="Arial" w:hAnsi="Arial"/>
          <w:sz w:val="22"/>
          <w:szCs w:val="22"/>
        </w:rPr>
        <w:t xml:space="preserve">Data subjects are voters, constituents, campaign staff, donors, and candidates, as applicable to each data category below.</w:t>
      </w:r>
    </w:p>
    <w:p>
      <w:pPr>
        <w:pStyle w:val="Heading1"/>
        <w:spacing w:after="160" w:before="320"/>
      </w:pPr>
      <w:r>
        <w:rPr>
          <w:rFonts w:ascii="Poppins" w:cs="Poppins" w:eastAsia="Poppins" w:hAnsi="Poppins"/>
          <w:b/>
          <w:bCs/>
          <w:color w:val="13244A"/>
        </w:rPr>
        <w:t xml:space="preserve">3. Categories of personal information processed</w:t>
      </w:r>
    </w:p>
    <w:p>
      <w:pPr>
        <w:pStyle w:val="ListParagraph"/>
        <w:numPr>
          <w:ilvl w:val="0"/>
          <w:numId w:val="1"/>
        </w:numPr>
        <w:spacing w:after="80"/>
      </w:pPr>
      <w:r>
        <w:rPr>
          <w:rFonts w:ascii="Arial" w:cs="Arial" w:eastAsia="Arial" w:hAnsi="Arial"/>
          <w:sz w:val="22"/>
          <w:szCs w:val="22"/>
        </w:rPr>
        <w:t xml:space="preserve">Contact information: name, phone number (masked in the UI, encrypted at rest), household address or an informal-settlement descriptor.</w:t>
      </w:r>
    </w:p>
    <w:p>
      <w:pPr>
        <w:pStyle w:val="ListParagraph"/>
        <w:numPr>
          <w:ilvl w:val="0"/>
          <w:numId w:val="1"/>
        </w:numPr>
        <w:spacing w:after="80"/>
      </w:pPr>
      <w:r>
        <w:rPr>
          <w:rFonts w:ascii="Arial" w:cs="Arial" w:eastAsia="Arial" w:hAnsi="Arial"/>
          <w:sz w:val="22"/>
          <w:szCs w:val="22"/>
        </w:rPr>
        <w:t xml:space="preserve">Political opinion: support sentiment tier. This is special personal information under POPIA section 26 — see §5.</w:t>
      </w:r>
    </w:p>
    <w:p>
      <w:pPr>
        <w:pStyle w:val="ListParagraph"/>
        <w:numPr>
          <w:ilvl w:val="0"/>
          <w:numId w:val="1"/>
        </w:numPr>
        <w:spacing w:after="80"/>
      </w:pPr>
      <w:r>
        <w:rPr>
          <w:rFonts w:ascii="Arial" w:cs="Arial" w:eastAsia="Arial" w:hAnsi="Arial"/>
          <w:sz w:val="22"/>
          <w:szCs w:val="22"/>
        </w:rPr>
        <w:t xml:space="preserve">Consent record: whether consent was given, timestamp, method (verbal doorstep, written, or digital), and the language used.</w:t>
      </w:r>
    </w:p>
    <w:p>
      <w:pPr>
        <w:pStyle w:val="ListParagraph"/>
        <w:numPr>
          <w:ilvl w:val="0"/>
          <w:numId w:val="1"/>
        </w:numPr>
        <w:spacing w:after="80"/>
      </w:pPr>
      <w:r>
        <w:rPr>
          <w:rFonts w:ascii="Arial" w:cs="Arial" w:eastAsia="Arial" w:hAnsi="Arial"/>
          <w:sz w:val="22"/>
          <w:szCs w:val="22"/>
        </w:rPr>
        <w:t xml:space="preserve">Location: GPS coordinates captured at the point of data entry, where applicable.</w:t>
      </w:r>
    </w:p>
    <w:p>
      <w:pPr>
        <w:pStyle w:val="ListParagraph"/>
        <w:numPr>
          <w:ilvl w:val="0"/>
          <w:numId w:val="1"/>
        </w:numPr>
        <w:spacing w:after="80"/>
      </w:pPr>
      <w:r>
        <w:rPr>
          <w:rFonts w:ascii="Arial" w:cs="Arial" w:eastAsia="Arial" w:hAnsi="Arial"/>
          <w:sz w:val="22"/>
          <w:szCs w:val="22"/>
        </w:rPr>
        <w:t xml:space="preserve">Incident data: description, category, photographs, and location, for constituents reporting service-delivery issues.</w:t>
      </w:r>
    </w:p>
    <w:p>
      <w:pPr>
        <w:pStyle w:val="ListParagraph"/>
        <w:numPr>
          <w:ilvl w:val="0"/>
          <w:numId w:val="1"/>
        </w:numPr>
        <w:spacing w:after="80"/>
      </w:pPr>
      <w:r>
        <w:rPr>
          <w:rFonts w:ascii="Arial" w:cs="Arial" w:eastAsia="Arial" w:hAnsi="Arial"/>
          <w:sz w:val="22"/>
          <w:szCs w:val="22"/>
        </w:rPr>
        <w:t xml:space="preserve">Campaign staff identity: email address and an opaque user ID, processed by Firebase Authentication (United States) — see §6.</w:t>
      </w:r>
    </w:p>
    <w:p>
      <w:pPr>
        <w:pStyle w:val="ListParagraph"/>
        <w:numPr>
          <w:ilvl w:val="0"/>
          <w:numId w:val="1"/>
        </w:numPr>
        <w:spacing w:after="80"/>
      </w:pPr>
      <w:r>
        <w:rPr>
          <w:rFonts w:ascii="Arial" w:cs="Arial" w:eastAsia="Arial" w:hAnsi="Arial"/>
          <w:sz w:val="22"/>
          <w:szCs w:val="22"/>
        </w:rPr>
        <w:t xml:space="preserve">Campaign staff profile: name, phone number, role, and geographic assignment, stored in South Africa.</w:t>
      </w:r>
    </w:p>
    <w:p>
      <w:pPr>
        <w:pStyle w:val="ListParagraph"/>
        <w:numPr>
          <w:ilvl w:val="0"/>
          <w:numId w:val="1"/>
        </w:numPr>
        <w:spacing w:after="80"/>
      </w:pPr>
      <w:r>
        <w:rPr>
          <w:rFonts w:ascii="Arial" w:cs="Arial" w:eastAsia="Arial" w:hAnsi="Arial"/>
          <w:sz w:val="22"/>
          <w:szCs w:val="22"/>
        </w:rPr>
        <w:t xml:space="preserve">Candidate information: name and South African ID number (encrypted at rest, masked in every screen), for IEC submission purposes.</w:t>
      </w:r>
    </w:p>
    <w:p>
      <w:pPr>
        <w:pStyle w:val="ListParagraph"/>
        <w:numPr>
          <w:ilvl w:val="0"/>
          <w:numId w:val="1"/>
        </w:numPr>
        <w:spacing w:after="80"/>
      </w:pPr>
      <w:r>
        <w:rPr>
          <w:rFonts w:ascii="Arial" w:cs="Arial" w:eastAsia="Arial" w:hAnsi="Arial"/>
          <w:sz w:val="22"/>
          <w:szCs w:val="22"/>
        </w:rPr>
        <w:t xml:space="preserve">Donor and donation information (where the Funding &amp; Disclosure module is used): donor identity, contact details, and donation records, processed to meet Political Party Funding Act obligations.</w:t>
      </w:r>
    </w:p>
    <w:p>
      <w:pPr>
        <w:pStyle w:val="Heading1"/>
        <w:spacing w:after="160" w:before="320"/>
      </w:pPr>
      <w:r>
        <w:rPr>
          <w:rFonts w:ascii="Poppins" w:cs="Poppins" w:eastAsia="Poppins" w:hAnsi="Poppins"/>
          <w:b/>
          <w:bCs/>
          <w:color w:val="13244A"/>
        </w:rPr>
        <w:t xml:space="preserve">4. Data residency</w:t>
      </w:r>
    </w:p>
    <w:p>
      <w:pPr>
        <w:spacing w:after="160"/>
      </w:pPr>
      <w:r>
        <w:rPr>
          <w:rFonts w:ascii="Arial" w:cs="Arial" w:eastAsia="Arial" w:hAnsi="Arial"/>
          <w:sz w:val="22"/>
          <w:szCs w:val="22"/>
        </w:rPr>
        <w:t xml:space="preserve">All voter and constituent personal information is stored in South Africa (Google Cloud africa-south1, Johannesburg). Staff account identifiers are processed by Google Firebase Authentication, which does not currently offer regional data residency and stores staff identity records (user ID and email address only) in the United States. No further staff information — name, phone number, role, or geographic assignment — is ever written to that record; it lives in the South African-hosted database described above.</w:t>
      </w:r>
    </w:p>
    <w:p>
      <w:pPr>
        <w:pStyle w:val="Heading1"/>
        <w:spacing w:after="160" w:before="320"/>
      </w:pPr>
      <w:r>
        <w:rPr>
          <w:rFonts w:ascii="Poppins" w:cs="Poppins" w:eastAsia="Poppins" w:hAnsi="Poppins"/>
          <w:b/>
          <w:bCs/>
          <w:color w:val="13244A"/>
        </w:rPr>
        <w:t xml:space="preserve">5. Special personal information — political opinion</w:t>
      </w:r>
    </w:p>
    <w:p>
      <w:pPr>
        <w:spacing w:after="160"/>
      </w:pPr>
      <w:r>
        <w:rPr>
          <w:rFonts w:ascii="Arial" w:cs="Arial" w:eastAsia="Arial" w:hAnsi="Arial"/>
          <w:sz w:val="22"/>
          <w:szCs w:val="22"/>
        </w:rPr>
        <w:t xml:space="preserve">A voter’s recorded support sentiment is political opinion, and therefore special personal information under POPIA section 26. It is recorded only after explicit consent captured at the point of contact (typically the doorstep), using a consent script that discloses plainly that political support preference is being recorded. The system rejects any attempt to save voter data without a recorded consent. [ATTORNEY REVIEW NEEDED: confirm the consent basis under section 26 is correctly and sufficiently documented — legal compliance workstream action LG3.]</w:t>
      </w:r>
    </w:p>
    <w:p>
      <w:pPr>
        <w:pStyle w:val="Heading1"/>
        <w:spacing w:after="160" w:before="320"/>
      </w:pPr>
      <w:r>
        <w:rPr>
          <w:rFonts w:ascii="Poppins" w:cs="Poppins" w:eastAsia="Poppins" w:hAnsi="Poppins"/>
          <w:b/>
          <w:bCs/>
          <w:color w:val="13244A"/>
        </w:rPr>
        <w:t xml:space="preserve">6. Lawful basis for processing</w:t>
      </w:r>
    </w:p>
    <w:p>
      <w:pPr>
        <w:pStyle w:val="ListParagraph"/>
        <w:numPr>
          <w:ilvl w:val="0"/>
          <w:numId w:val="1"/>
        </w:numPr>
        <w:spacing w:after="80"/>
      </w:pPr>
      <w:r>
        <w:rPr>
          <w:rFonts w:ascii="Arial" w:cs="Arial" w:eastAsia="Arial" w:hAnsi="Arial"/>
          <w:sz w:val="22"/>
          <w:szCs w:val="22"/>
        </w:rPr>
        <w:t xml:space="preserve">Voter and constituent data: consent, captured at the point of contact.</w:t>
      </w:r>
    </w:p>
    <w:p>
      <w:pPr>
        <w:pStyle w:val="ListParagraph"/>
        <w:numPr>
          <w:ilvl w:val="0"/>
          <w:numId w:val="1"/>
        </w:numPr>
        <w:spacing w:after="80"/>
      </w:pPr>
      <w:r>
        <w:rPr>
          <w:rFonts w:ascii="Arial" w:cs="Arial" w:eastAsia="Arial" w:hAnsi="Arial"/>
          <w:sz w:val="22"/>
          <w:szCs w:val="22"/>
        </w:rPr>
        <w:t xml:space="preserve">Donor and donation data: necessary to comply with an obligation imposed by law (POPIA section 11(1)(c) and Political Party Funding Act section 6).</w:t>
      </w:r>
    </w:p>
    <w:p>
      <w:pPr>
        <w:pStyle w:val="ListParagraph"/>
        <w:numPr>
          <w:ilvl w:val="0"/>
          <w:numId w:val="1"/>
        </w:numPr>
        <w:spacing w:after="80"/>
      </w:pPr>
      <w:r>
        <w:rPr>
          <w:rFonts w:ascii="Arial" w:cs="Arial" w:eastAsia="Arial" w:hAnsi="Arial"/>
          <w:sz w:val="22"/>
          <w:szCs w:val="22"/>
        </w:rPr>
        <w:t xml:space="preserve">Campaign staff data: necessary for the performance of the staff member’s role.</w:t>
      </w:r>
    </w:p>
    <w:p>
      <w:pPr>
        <w:pStyle w:val="Heading1"/>
        <w:spacing w:after="160" w:before="320"/>
      </w:pPr>
      <w:r>
        <w:rPr>
          <w:rFonts w:ascii="Poppins" w:cs="Poppins" w:eastAsia="Poppins" w:hAnsi="Poppins"/>
          <w:b/>
          <w:bCs/>
          <w:color w:val="13244A"/>
        </w:rPr>
        <w:t xml:space="preserve">7. Security safeguards</w:t>
      </w:r>
    </w:p>
    <w:p>
      <w:pPr>
        <w:pStyle w:val="ListParagraph"/>
        <w:numPr>
          <w:ilvl w:val="0"/>
          <w:numId w:val="1"/>
        </w:numPr>
        <w:spacing w:after="80"/>
      </w:pPr>
      <w:r>
        <w:rPr>
          <w:rFonts w:ascii="Arial" w:cs="Arial" w:eastAsia="Arial" w:hAnsi="Arial"/>
          <w:sz w:val="22"/>
          <w:szCs w:val="22"/>
        </w:rPr>
        <w:t xml:space="preserve">Encryption in transit (TLS) and at rest for sensitive fields (phone numbers, SA ID numbers, donor identity numbers).</w:t>
      </w:r>
    </w:p>
    <w:p>
      <w:pPr>
        <w:pStyle w:val="ListParagraph"/>
        <w:numPr>
          <w:ilvl w:val="0"/>
          <w:numId w:val="1"/>
        </w:numPr>
        <w:spacing w:after="80"/>
      </w:pPr>
      <w:r>
        <w:rPr>
          <w:rFonts w:ascii="Arial" w:cs="Arial" w:eastAsia="Arial" w:hAnsi="Arial"/>
          <w:sz w:val="22"/>
          <w:szCs w:val="22"/>
        </w:rPr>
        <w:t xml:space="preserve">Role-based access control and per-user capability overrides — access to voter, donor, and candidate data is restricted to staff granted the relevant capability.</w:t>
      </w:r>
    </w:p>
    <w:p>
      <w:pPr>
        <w:pStyle w:val="ListParagraph"/>
        <w:numPr>
          <w:ilvl w:val="0"/>
          <w:numId w:val="1"/>
        </w:numPr>
        <w:spacing w:after="80"/>
      </w:pPr>
      <w:r>
        <w:rPr>
          <w:rFonts w:ascii="Arial" w:cs="Arial" w:eastAsia="Arial" w:hAnsi="Arial"/>
          <w:sz w:val="22"/>
          <w:szCs w:val="22"/>
        </w:rPr>
        <w:t xml:space="preserve">Tenant isolation — one party’s data is never visible to another party using the same Platform.</w:t>
      </w:r>
    </w:p>
    <w:p>
      <w:pPr>
        <w:pStyle w:val="ListParagraph"/>
        <w:numPr>
          <w:ilvl w:val="0"/>
          <w:numId w:val="1"/>
        </w:numPr>
        <w:spacing w:after="80"/>
      </w:pPr>
      <w:r>
        <w:rPr>
          <w:rFonts w:ascii="Arial" w:cs="Arial" w:eastAsia="Arial" w:hAnsi="Arial"/>
          <w:sz w:val="22"/>
          <w:szCs w:val="22"/>
        </w:rPr>
        <w:t xml:space="preserve">An append-only audit trail of sensitive actions (unmasking a phone number or ID, exporting donor records, changing a statutory threshold).</w:t>
      </w:r>
    </w:p>
    <w:p>
      <w:pPr>
        <w:pStyle w:val="ListParagraph"/>
        <w:numPr>
          <w:ilvl w:val="0"/>
          <w:numId w:val="1"/>
        </w:numPr>
        <w:spacing w:after="80"/>
      </w:pPr>
      <w:r>
        <w:rPr>
          <w:rFonts w:ascii="Arial" w:cs="Arial" w:eastAsia="Arial" w:hAnsi="Arial"/>
          <w:sz w:val="22"/>
          <w:szCs w:val="22"/>
        </w:rPr>
        <w:t xml:space="preserve">A documented breach-response process (legal compliance workstream action LG7).</w:t>
      </w:r>
    </w:p>
    <w:p>
      <w:pPr>
        <w:pStyle w:val="Heading1"/>
        <w:spacing w:after="160" w:before="320"/>
      </w:pPr>
      <w:r>
        <w:rPr>
          <w:rFonts w:ascii="Poppins" w:cs="Poppins" w:eastAsia="Poppins" w:hAnsi="Poppins"/>
          <w:b/>
          <w:bCs/>
          <w:color w:val="13244A"/>
        </w:rPr>
        <w:t xml:space="preserve">8. Your rights as a data subject</w:t>
      </w:r>
    </w:p>
    <w:p>
      <w:pPr>
        <w:spacing w:after="160"/>
      </w:pPr>
      <w:r>
        <w:rPr>
          <w:rFonts w:ascii="Arial" w:cs="Arial" w:eastAsia="Arial" w:hAnsi="Arial"/>
          <w:sz w:val="22"/>
          <w:szCs w:val="22"/>
        </w:rPr>
        <w:t xml:space="preserve">You may request access to, correction of, or deletion of your personal information. Requests are logged and tracked to resolution through the Platform’s data subject request workflow. [ATTORNEY REVIEW NEEDED: confirm the response-time commitment stated to data subjects, if any — POPIA does not set a fixed statutory deadline the way some other privacy laws do; the Platform currently uses a 30-day internal working target, not a legal commitment, pending this review.]</w:t>
      </w:r>
    </w:p>
    <w:p>
      <w:pPr>
        <w:pStyle w:val="Heading1"/>
        <w:spacing w:after="160" w:before="320"/>
      </w:pPr>
      <w:r>
        <w:rPr>
          <w:rFonts w:ascii="Poppins" w:cs="Poppins" w:eastAsia="Poppins" w:hAnsi="Poppins"/>
          <w:b/>
          <w:bCs/>
          <w:color w:val="13244A"/>
        </w:rPr>
        <w:t xml:space="preserve">9. Retention</w:t>
      </w:r>
    </w:p>
    <w:p>
      <w:pPr>
        <w:spacing w:after="160"/>
      </w:pPr>
      <w:r>
        <w:rPr>
          <w:rFonts w:ascii="Arial" w:cs="Arial" w:eastAsia="Arial" w:hAnsi="Arial"/>
          <w:sz w:val="22"/>
          <w:szCs w:val="22"/>
        </w:rPr>
        <w:t xml:space="preserve">Personal information is retained for as long as necessary for the purposes described above, and as required by applicable electoral and tax law. [ATTORNEY REVIEW NEEDED: confirm specific retention periods.]</w:t>
      </w:r>
    </w:p>
    <w:p>
      <w:pPr>
        <w:pStyle w:val="Heading1"/>
        <w:spacing w:after="160" w:before="320"/>
      </w:pPr>
      <w:r>
        <w:rPr>
          <w:rFonts w:ascii="Poppins" w:cs="Poppins" w:eastAsia="Poppins" w:hAnsi="Poppins"/>
          <w:b/>
          <w:bCs/>
          <w:color w:val="13244A"/>
        </w:rPr>
        <w:t xml:space="preserve">10. Changes to this policy</w:t>
      </w:r>
    </w:p>
    <w:p>
      <w:pPr>
        <w:spacing w:after="160"/>
      </w:pPr>
      <w:r>
        <w:rPr>
          <w:rFonts w:ascii="Arial" w:cs="Arial" w:eastAsia="Arial" w:hAnsi="Arial"/>
          <w:sz w:val="22"/>
          <w:szCs w:val="22"/>
        </w:rPr>
        <w:t xml:space="preserve">This policy may be updated from time to time. Material changes will be communicated to Responsible Parties using the Platform.</w:t>
      </w:r>
    </w:p>
    <w:p>
      <w:pPr>
        <w:pStyle w:val="Heading1"/>
        <w:spacing w:after="160" w:before="320"/>
      </w:pPr>
      <w:r>
        <w:rPr>
          <w:rFonts w:ascii="Poppins" w:cs="Poppins" w:eastAsia="Poppins" w:hAnsi="Poppins"/>
          <w:b/>
          <w:bCs/>
          <w:color w:val="13244A"/>
        </w:rPr>
        <w:t xml:space="preserve">11. Contact</w:t>
      </w:r>
    </w:p>
    <w:p>
      <w:pPr>
        <w:spacing w:after="160"/>
      </w:pPr>
      <w:r>
        <w:rPr>
          <w:rFonts w:ascii="Arial" w:cs="Arial" w:eastAsia="Arial" w:hAnsi="Arial"/>
          <w:sz w:val="22"/>
          <w:szCs w:val="22"/>
        </w:rPr>
        <w:t xml:space="preserve">Information Officer: [to be designated and registered with the Information Regulator — legal compliance workstream action LG1]. General enquiries: info@innovationconsult.co.za.</w:t>
      </w:r>
    </w:p>
    <w:p>
      <w:r>
        <w:br w:type="page"/>
      </w:r>
    </w:p>
    <w:p>
      <w:pPr>
        <w:pStyle w:val="Heading2"/>
        <w:spacing w:after="160" w:before="320"/>
      </w:pPr>
      <w:r>
        <w:rPr>
          <w:rFonts w:ascii="Poppins" w:cs="Poppins" w:eastAsia="Poppins" w:hAnsi="Poppins"/>
          <w:b/>
          <w:bCs/>
          <w:color w:val="13244A"/>
        </w:rPr>
        <w:t xml:space="preserve">Copyright &amp; Disclaimer</w:t>
      </w:r>
    </w:p>
    <w:p>
      <w:pPr>
        <w:spacing w:after="160"/>
      </w:pPr>
      <w:r>
        <w:rPr>
          <w:rFonts w:ascii="Arial" w:cs="Arial" w:eastAsia="Arial" w:hAnsi="Arial"/>
          <w:sz w:val="22"/>
          <w:szCs w:val="22"/>
        </w:rPr>
        <w:t xml:space="preserve">© 2026 Just Be Trading 10 (Pty) Ltd t/a Innovation Consult (Pty) Ltd. All rights reserved. Registration Number: 2007/021390/07. No part of this publication may be reproduced, distributed, or transmitted in any form or by any means, including photocopying, recording, or other electronic or mechanical methods, without the prior written permission of Innovation Consult, except in the case of brief quotations embodied in critical reviews and other noncommercial uses permitted by copyright law.</w:t>
      </w:r>
    </w:p>
    <w:p>
      <w:pPr>
        <w:spacing w:after="160"/>
      </w:pPr>
      <w:r>
        <w:rPr>
          <w:rFonts w:ascii="Arial" w:cs="Arial" w:eastAsia="Arial" w:hAnsi="Arial"/>
          <w:sz w:val="22"/>
          <w:szCs w:val="22"/>
        </w:rPr>
        <w:t xml:space="preserve">Disclaimer: This document is provided for informational purposes only and does not constitute professional, legal, financial, or investment advice. While every effort has been made to ensure the accuracy of the information contained herein, Innovation Consult makes no warranties, express or implied, regarding the completeness, reliability, or suitability of this content. Innovation Consult, its directors, employees, and agents accept no liability for any loss or damage of any kind arising from reliance on this document.</w:t>
      </w:r>
    </w:p>
    <w:p>
      <w:pPr>
        <w:spacing w:after="160"/>
      </w:pPr>
      <w:r>
        <w:rPr>
          <w:rFonts w:ascii="Arial" w:cs="Arial" w:eastAsia="Arial" w:hAnsi="Arial"/>
          <w:b/>
          <w:bCs/>
          <w:color w:val="7B1E30"/>
          <w:sz w:val="22"/>
          <w:szCs w:val="22"/>
        </w:rPr>
        <w:t xml:space="preserve">This is a draft. Do not publish without attorney sign-off.</w:t>
      </w:r>
    </w:p>
    <w:p>
      <w:pPr>
        <w:spacing w:before="300"/>
      </w:pPr>
    </w:p>
    <w:p>
      <w:pPr>
        <w:jc w:val="center"/>
      </w:pPr>
      <w:r>
        <w:rPr>
          <w:rFonts w:ascii="Arial" w:cs="Arial" w:eastAsia="Arial" w:hAnsi="Arial"/>
          <w:color w:val="5A5648"/>
          <w:sz w:val="16"/>
          <w:szCs w:val="16"/>
        </w:rPr>
        <w:t xml:space="preserve">P.O. Box 2590, Potchefstroom, 2520, N.W. Province, South Africa  |  +27 (0)67 907 1580  |  info@innovationconsult.co.za  |  www.innovationconsult.co.za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648"/>
        <w:sz w:val="14"/>
        <w:szCs w:val="14"/>
      </w:rPr>
      <w:t xml:space="preserve">Just Be Trading 10 (Pty) Ltd t/a Innovation Consult (Pty) Ltd  |  Reg. 2007/021390/07  |  Page </w:t>
    </w:r>
    <w:r>
      <w:rPr>
        <w:color w:val="5A5648"/>
        <w:sz w:val="14"/>
        <w:szCs w:val="14"/>
      </w:rPr>
      <w:fldChar w:fldCharType="begin"/>
      <w:instrText xml:space="preserve">PAGE</w:instrText>
      <w:fldChar w:fldCharType="separate"/>
      <w:fldChar w:fldCharType="end"/>
    </w:r>
    <w:r>
      <w:rPr>
        <w:color w:val="5A5648"/>
        <w:sz w:val="14"/>
        <w:szCs w:val="14"/>
      </w:rPr>
      <w:t xml:space="preserve"> of </w:t>
    </w:r>
    <w:r>
      <w:rPr>
        <w:color w:val="5A564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2026-08-09T05:42:15.316Z</dcterms:created>
  <dcterms:modified xsi:type="dcterms:W3CDTF">2026-08-09T05:42:15.317Z</dcterms:modified>
</cp:coreProperties>
</file>

<file path=docProps/custom.xml><?xml version="1.0" encoding="utf-8"?>
<Properties xmlns="http://schemas.openxmlformats.org/officeDocument/2006/custom-properties" xmlns:vt="http://schemas.openxmlformats.org/officeDocument/2006/docPropsVTypes"/>
</file>