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pacing w:line="269" w:lineRule="auto" w:after="20"/>
        <w:jc w:val="center"/>
        <w:rPr/>
      </w:pPr>
      <w:r>
        <w:rPr>
          <w:rFonts w:ascii="Georgia" w:hAnsi="Georgia" w:eastAsia="Georgia"/>
          <w:b/>
          <w:color w:val="91221E"/>
          <w:sz w:val="30"/>
        </w:rPr>
        <w:t>ÁRPÁD NÉPE EGYESÜLET</w:t>
      </w:r>
    </w:p>
    <w:p>
      <w:pPr>
        <w:pStyle w:val="Normal"/>
        <w:widowControl/>
        <w:pBdr>
          <w:bottom w:val="single" w:sz="8" w:space="2" w:color="B8860B"/>
        </w:pBdr>
        <w:spacing w:line="269" w:lineRule="auto" w:after="140"/>
        <w:jc w:val="center"/>
        <w:rPr/>
        <w:pBdr>
          <w:bottom w:val="single" w:sz="10" w:space="5" w:color="B87F0F"/>
        </w:pBdr>
      </w:pPr>
      <w:r>
        <w:rPr>
          <w:rFonts w:ascii="Georgia" w:hAnsi="Georgia" w:eastAsia="Georgia"/>
          <w:b/>
          <w:color w:val="143770"/>
          <w:sz w:val="36"/>
        </w:rPr>
        <w:t>EGYESÜLETI ÉRTÉK- ÉS MAGATARTÁSI SZABÁLYZAT</w:t>
      </w:r>
    </w:p>
    <w:p>
      <w:pPr>
        <w:pStyle w:val="Normal"/>
        <w:widowControl/>
        <w:spacing w:line="269" w:lineRule="auto" w:after="100"/>
        <w:jc w:val="both"/>
        <w:rPr/>
      </w:pPr>
      <w:r>
        <w:rPr>
          <w:rFonts w:ascii="Georgia" w:hAnsi="Georgia"/>
          <w:b/>
          <w:color w:val="91221E"/>
          <w:sz w:val="50"/>
        </w:rPr>
        <w:t>K</w:t>
      </w:r>
      <w:r>
        <w:rPr>
          <w:rFonts w:ascii="Georgia" w:hAnsi="Georgia"/>
          <w:sz w:val="21"/>
        </w:rPr>
        <w:t>üldetésünk. Az Árpád Népe Egyesület célja a magyar történelmi, népi és katonai hagyományok (elsősorban a IX–X. század, a honfoglalás korszaka), élményszerű továbbadása. Törekedjünk a korhűségre, de ha nincs rá mód, vagy idő kell hozzá, úgy is meg tudod találni a helyed nálunk. A hazaszeretet, az identitásunk, illetve a család és barátaink felé való elköteleződés erősítése, az ifjúság és az idősebb generáció jellemének fejlesztése viszont nem kérdés számunkra. Közösségünkben illik tudni, mivel foglalkozunk, az elsajátított tudást, gyakorlatot önállóan is tudjuk használni. A fegyelem és az egymás iránti tisztelet, bajtársiasság legyen kísérőnk egy életen át.</w:t>
      </w:r>
    </w:p>
    <w:p>
      <w:pPr>
        <w:pStyle w:val="Heading1"/>
        <w:keepNext/>
        <w:widowControl/>
        <w:spacing w:line="269" w:lineRule="auto" w:after="60" w:before="120"/>
        <w:rPr/>
      </w:pPr>
      <w:r>
        <w:rPr>
          <w:rFonts w:ascii="Georgia" w:hAnsi="Georgia" w:eastAsia="Georgia"/>
          <w:b/>
          <w:color w:val="143770"/>
          <w:sz w:val="26"/>
        </w:rPr>
        <w:t>1. Alapértékeink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 xml:space="preserve">Magyarság és hazaszeretet – tiszteljük Magyarország történelmét, kultúráját, nyelvét, jelképeit és elődeink örökségét; értékeinket nem mások lenézésével, hanem saját hagyományaink megismerésével és méltó képviseletével ápoljuk. </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Ha nem vagyok elég jó, akkor nem másokat akarok a mélybe rántani, akik nálam jobbak, hanem igyekszem fejlődni, hogy úgy érjem el a vágyott eredményt, hogy magamat fejlesztem, és nem másnak ártok.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 xml:space="preserve">Hagyomány és hitelesség – törekszünk a korhűségre, hogy a bemutatott viseletek, tárgyak, fegyverek, kézműves technikák és szokások történeti ismeretekre épüljenek. Ha a korszakunkon kívüli vagy egyszerű hagyományos eszközöket stb. használunk vagy a 21. század népies, hagyományőrző viseletei kerülnek elő, az sem akadály, de tudjuk, hogy az nem korhű, de helye van történelmünkben, identitásunk kifejezésében. Viszont ne katyvaszoljunk össze mindenféle korszakot, mert csak úgy van kedvünk. </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Jellem és becsület – elvárjuk az őszinteséget, a vállalt szó megtartását, a felelősségvállalást, a pontosságot és a tisztességes magatartást.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Közösség és bajtársiasság – segítjük egymást, a kezdőt tanítjuk, a tapasztaltabb pedig példát mutat.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Szolgálat és felelősség – rendezvényeinken nemcsak magunkat, hanem az egyesületet és a magyar hagyományőrzést is képviseljük. Tessék méltóképpen viselkedni!</w:t>
      </w:r>
    </w:p>
    <w:p>
      <w:pPr>
        <w:pStyle w:val="Heading1"/>
        <w:keepNext/>
        <w:widowControl/>
        <w:spacing w:line="269" w:lineRule="auto" w:after="60" w:before="120"/>
        <w:rPr/>
      </w:pPr>
      <w:r>
        <w:rPr>
          <w:rFonts w:ascii="Georgia" w:hAnsi="Georgia" w:eastAsia="Georgia"/>
          <w:b/>
          <w:color w:val="143770"/>
          <w:sz w:val="26"/>
        </w:rPr>
        <w:t>2. Ifjúságnevelés és közösségépítés</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gyermekeket, fiatalokat és felnőtteket a példamutatásunk és a cselekedeteink tanítják: íjászat, vívás, kézművesség, történelmi ismeretek, népi játékok, táborok és közösségi feladatok, valamint sokféle program segítségével.</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cél nem pusztán technikák elsajátítása, hanem önfegyelem, kitartás, figyelem, segítőkészség, együttműködés és felelősségtudat kialakítása. Mindennek van következménye.</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fiatalabb vagy új tagok fokozatosan találkoznak majd feladatokkal és felelősséggel. Aki már tud valamit, természetes késztetésnek érezze, tekintse, hogy türelemmel segítsen annak, aki még tanul.</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közösségi programokon mindenki képességeihez és életkorához mérten vegyen részt a közös munkában, előkészítésben, rendrakásban és az eszközök megóvásában.</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hazaszeretet, az identitás, a barátság és más értékek nem maguktól jönnek, odafigyeléssel, egy életen át való csiszolással, folyamatos fejlesztést igényelnek. Ez nem magányos, hanem csoportos folyamat, amelyben mindannyian részt veszünk és igyekszünk a csoport hasznára válni, mivel az a mi érdekünk is.</w:t>
      </w:r>
    </w:p>
    <w:p>
      <w:pPr>
        <w:pStyle w:val="Heading1"/>
        <w:keepNext/>
        <w:widowControl/>
        <w:spacing w:line="269" w:lineRule="auto" w:after="60" w:before="120"/>
        <w:rPr/>
      </w:pPr>
      <w:r>
        <w:rPr>
          <w:rFonts w:ascii="Georgia" w:hAnsi="Georgia" w:eastAsia="Georgia"/>
          <w:b/>
          <w:color w:val="143770"/>
          <w:sz w:val="26"/>
        </w:rPr>
        <w:t>3. A közösség rendje és felépítése</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Az egyesület munkáját az elnökség és az általa megbízott foglalkozásvezetők, oktatók és csoportvezetők szervezik. Olykor viszont természetes módon más elkötelezett tagok is automatikusan (a rangtól vagy az egyesülettel eltöltött időtől függetlenül), a kellő tisztelettel segítenek az eredményes munkában, valamint a rend és a rendszer fenntartásában.</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foglalkozáson a kijelölt vezető felel a program rendjéért és biztonságáért. Biztonsági kérdésben az oktató utasítása azonnal követendő, és a leírt szabályzat követendő.</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csoportok lehetőség szerint életkor, tudásszint és választott foglalkozás szerint szerveződnek. Nagyobb létszám esetén kisebb, jól irányítható csoportok kialakítására törekszünk.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vezetői tekintély alapja a karizmatikus kisugárzás; ehhez társul a tudás, a felelősség és a példamutatás. A vezető ugyanazokat az alapvető normákat köteles betartani, amelyeket a tagoktól is elvár.</w:t>
      </w:r>
    </w:p>
    <w:p>
      <w:pPr>
        <w:pStyle w:val="Heading1"/>
        <w:keepNext/>
        <w:widowControl/>
        <w:spacing w:line="269" w:lineRule="auto" w:after="60" w:before="120"/>
        <w:rPr/>
      </w:pPr>
      <w:r>
        <w:rPr>
          <w:rFonts w:ascii="Georgia" w:hAnsi="Georgia" w:eastAsia="Georgia"/>
          <w:b/>
          <w:color w:val="143770"/>
          <w:sz w:val="26"/>
        </w:rPr>
        <w:t>4. Magatartási normáink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Egymással, vendégeinkkel, rendezvényszervezőkkel és a közönséggel kulturáltan, tisztelettel beszélünk és viselkedünk.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Csúnya beszéd a gyerekeknél nincs, a felnőtteknél viszont előfordulhat. Ez bizonyos szinten természetes az elmúlt pár ezer évet tekintve. Szóval a minőségi csúnya beszéd használatát ki kell érdemelni, de nem lehet vele visszaélni.</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Nincs helye a másik öncélú csesztetésének. Aki viszont a csapat számára elviselhetetlen, és a rossz vagy a normalitással nem egyeztethető szokásaihoz ragaszkodik attól fájó szívvel búcsúzunk.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Szintén nincs hely a csapatban az áskálódásnak, fúrásnak, a csapat szétzilálásának, megosztásának, az árulásnak. Ezektől szintén búcsúzunk, de nem fájó szívvel.</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nézeteltéréseket nem kiabálással vagy erőfitogtatással, hanem megbeszéléssel rendezzük; szükség esetén a csoportvezető vagy az elnökség döntését kérjük. Csak normálisan!</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foglalkozásokat és bemutatókat alkohol vagy tudatmódosító szer hatása alatt látogatni, illetve ilyen állapotban eszközt vagy gyakorlófegyvert használni tilos. Igyatok máskor és máshol; biztos megvan annak is a helye.</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Az egyesület tulajdonát, felszereléseit és a ránk bízott helyszíneket mindenki köteles rendeltetésszerűen használni és megóvni.</w:t>
      </w:r>
    </w:p>
    <w:p>
      <w:pPr>
        <w:pStyle w:val="Heading1"/>
        <w:keepNext/>
        <w:widowControl/>
        <w:spacing w:line="269" w:lineRule="auto" w:after="60" w:before="120"/>
        <w:rPr/>
      </w:pPr>
      <w:r>
        <w:rPr>
          <w:rFonts w:ascii="Georgia" w:hAnsi="Georgia" w:eastAsia="Georgia"/>
          <w:b/>
          <w:color w:val="143770"/>
          <w:sz w:val="26"/>
        </w:rPr>
        <w:t>5. Hagyományőrző megjelenés és képviselet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Hivatalos fellépésen törekszünk rendezett, az adott korszakhoz és programhoz illő megjelenésre. Az egyesületi pólót, viseletet, jelvényt és más közösségi jelképet méltó módon viseljük.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történelmi fegyverek, másolatok és gyakorlóeszközök nem játékok: bemutatásuk és használatuk kizárólag a külön biztonsági szabályzat szerint történhet.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Nyilvános rendezvényen, sajtóban és közösségi médiában úgy nyilatkozunk és viselkedünk, hogy az ne veszélyeztesse az egyesület jó hírnevét vagy más tagok biztonságát és méltóságát. Ha nem tudunk nyilatkozni, a médiát lehet a vezetők felé is irányítani.</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Az egyesület nevében hivatalos állásfoglalást az arra felhatalmazott személy tehet.</w:t>
      </w:r>
    </w:p>
    <w:p>
      <w:pPr>
        <w:pStyle w:val="Heading1"/>
        <w:keepNext/>
        <w:widowControl/>
        <w:spacing w:line="269" w:lineRule="auto" w:after="60" w:before="120"/>
        <w:rPr/>
      </w:pPr>
      <w:r>
        <w:rPr>
          <w:rFonts w:ascii="Georgia" w:hAnsi="Georgia" w:eastAsia="Georgia"/>
          <w:b/>
          <w:color w:val="143770"/>
          <w:sz w:val="26"/>
        </w:rPr>
        <w:t>6. Részvétel, fegyelem és következmények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Aki vállalt foglalkozásra, bemutatóra vagy rendezvényre jelentkezik, törekedjen a pontos megjelenésre; akadályoztatás esetén időben jelezze távolmaradását.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A biztonsági szabály megszegése esetén az oktató a tevékenységet azonnal megállíthatja, az eszköz használatát megtilthatja, illetve a résztvevőt az adott foglalkozásból kizárhatja.</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Kisebb fegyelmi probléma elsődlegesen figyelmeztetéssel és megbeszéléssel rendezendő. Ismételt vagy súlyos szabályszegés esetén az elnökség korlátozhatja a részvételt, illetve az alapszabály és a vonatkozó egyesületi döntések szerint járhat el.</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Kiskorú résztvevő visszatérő vagy súlyos problémája esetén a szülőt/gondviselőt tájékoztatjuk, és vele együtt keressük a megoldást.</w:t>
      </w:r>
    </w:p>
    <w:p>
      <w:pPr>
        <w:pStyle w:val="Heading1"/>
        <w:keepNext/>
        <w:widowControl/>
        <w:spacing w:line="269" w:lineRule="auto" w:after="60" w:before="120"/>
        <w:rPr/>
      </w:pPr>
      <w:r>
        <w:rPr>
          <w:rFonts w:ascii="Georgia" w:hAnsi="Georgia" w:eastAsia="Georgia"/>
          <w:b/>
          <w:color w:val="143770"/>
          <w:sz w:val="26"/>
        </w:rPr>
        <w:t>7. Amit minden tagunktól kérünk</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Légy becsületes, tanulni kész és megbízható.</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Tiszteld hazádat, közösségedet, társaidat és az előtted járók munkáját.</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Vigyázz a rád bízott emberre, eszközre és tudásra.</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Fegyelmezetten gyakorolj, és biztonsági kérdésben ne vitatkozz a foglalkozás közben.</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Segíts annak, aki kevesebbet tud, és fogadd el a segítséget attól, aki tapasztaltabb.</w:t>
      </w:r>
    </w:p>
    <w:p>
      <w:pPr>
        <w:pStyle w:val="Normal"/>
        <w:widowControl/>
        <w:spacing w:line="269" w:lineRule="auto" w:after="70"/>
        <w:ind w:start="198" w:left="230" w:hanging="173"/>
        <w:jc w:val="both"/>
        <w:rPr/>
      </w:pPr>
      <w:r>
        <w:rPr>
          <w:color w:val="B87F0F"/>
          <w:sz w:val="18"/>
        </w:rPr>
        <w:t xml:space="preserve">◆ </w:t>
      </w:r>
      <w:r>
        <w:rPr>
          <w:rFonts w:ascii="Georgia" w:hAnsi="Georgia"/>
          <w:sz w:val="21"/>
        </w:rPr>
        <w:t>Úgy viselkedj, hogy jelenléted erősítse, ne gyengítse a közösséget.</w:t>
      </w:r>
    </w:p>
    <w:p>
      <w:pPr>
        <w:pStyle w:val="Normal"/>
        <w:widowControl/>
        <w:spacing w:line="269" w:lineRule="auto" w:after="100"/>
        <w:jc w:val="both"/>
        <w:rPr/>
      </w:pPr>
      <w:r>
        <w:rPr>
          <w:rFonts w:ascii="Georgia" w:hAnsi="Georgia"/>
          <w:b/>
          <w:color w:val="91221E"/>
          <w:sz w:val="50"/>
        </w:rPr>
        <w:t>Z</w:t>
      </w:r>
      <w:r>
        <w:rPr>
          <w:rFonts w:ascii="Georgia" w:hAnsi="Georgia"/>
          <w:sz w:val="21"/>
        </w:rPr>
        <w:t>áró rendelkezés. Ez a szabályzat az Árpád Népe Egyesület közösségi és magatartási alapelveit foglalja össze. Nem helyettesíti az egyesület alapszabályát, a külön biztonsági szabályzatokat vagy a jogszabályi előírásokat. A közösséghez csatlakozóktól azt kérjük, hogy ezeket az alapelveket megismerjék, elfogadják és a gyakorlatban is képviseljék.</w:t>
      </w:r>
    </w:p>
    <w:p>
      <w:pPr>
        <w:pStyle w:val="Normal"/>
        <w:widowControl/>
        <w:spacing w:line="269" w:lineRule="auto" w:after="100"/>
        <w:jc w:val="both"/>
        <w:rPr/>
      </w:pPr>
      <w:r>
        <w:rPr>
          <w:rFonts w:ascii="Georgia" w:hAnsi="Georgia" w:eastAsia="Georgia"/>
          <w:sz w:val="21"/>
        </w:rPr>
        <w:t>Elfogadás / hatálybalépés dátuma: __________________________</w:t>
      </w:r>
    </w:p>
    <w:p>
      <w:pPr>
        <w:pStyle w:val="Normal"/>
        <w:widowControl/>
        <w:bidi w:val="0"/>
        <w:spacing w:lineRule="auto" w:line="269" w:before="0" w:after="100"/>
        <w:jc w:val="both"/>
        <w:rPr/>
      </w:pPr>
      <w:r>
        <w:rPr>
          <w:rFonts w:ascii="Georgia" w:hAnsi="Georgia" w:eastAsia="Georgia"/>
          <w:sz w:val="21"/>
        </w:rPr>
        <w:t xml:space="preserve">Árpád Népe </w:t>
      </w:r>
      <w:r>
        <w:rPr>
          <w:rFonts w:ascii="Georgia" w:hAnsi="Georgia" w:eastAsia="Georgia"/>
          <w:sz w:val="21"/>
        </w:rPr>
        <w:t xml:space="preserve">Hagyományőrző, Kulturális és Sport </w:t>
      </w:r>
      <w:r>
        <w:rPr>
          <w:rFonts w:ascii="Georgia" w:hAnsi="Georgia" w:eastAsia="Georgia"/>
          <w:sz w:val="21"/>
        </w:rPr>
        <w:t>Egyesület elnöksége</w:t>
      </w:r>
    </w:p>
    <w:sectPr>
      <w:footerReference w:type="default" r:id="rId7"/>
      <w:type w:val="nextPage"/>
      <w:pgSz w:w="11909" w:h="16834"/>
      <w:pgMar w:left="979" w:right="979" w:gutter="0" w:header="0" w:top="893" w:footer="0" w:bottom="893"/>
      <w:pgNumType w:fmt="decimal"/>
      <w:formProt w:val="false"/>
      <w:textDirection w:val="lrTb"/>
      <w:docGrid w:type="default" w:linePitch="360" w:charSpace="0"/>
      <w:pgBorders w:offsetFrom="page">
        <w:top w:val="double" w:sz="18" w:space="18" w:color="B87F0F"/>
        <w:left w:val="double" w:sz="18" w:space="18" w:color="B87F0F"/>
        <w:bottom w:val="double" w:sz="18" w:space="18" w:color="B87F0F"/>
        <w:right w:val="double" w:sz="18" w:space="18" w:color="B87F0F"/>
      </w:pgBorders>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EB Garamond">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B87F0F"/>
      </w:rPr>
      <w:t xml:space="preserve">❦  </w:t>
    </w:r>
    <w:r>
      <w:rPr>
        <w:rFonts w:ascii="Georgia" w:hAnsi="Georgia"/>
        <w:color w:val="5A4119"/>
        <w:sz w:val="16"/>
      </w:rPr>
      <w:t>Árpád Népe Egyesület</w:t>
    </w:r>
    <w:r>
      <w:rPr>
        <w:color w:val="B87F0F"/>
      </w:rPr>
      <w:t xml:space="preserve">  ❦   </w:t>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4" w:before="0" w:after="84"/>
      <w:jc w:val="start"/>
    </w:pPr>
    <w:rPr>
      <w:rFonts w:ascii="Georgia" w:hAnsi="Georgia" w:eastAsia="ＭＳ 明朝" w:cs="" w:cstheme="minorBidi" w:eastAsiaTheme="minorEastAsia"/>
      <w:color w:val="221F1C"/>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40"/>
      <w:outlineLvl w:val="0"/>
    </w:pPr>
    <w:rPr>
      <w:rFonts w:ascii="Calibri" w:hAnsi="Calibri" w:eastAsia="ＭＳ ゴシック" w:cs="" w:asciiTheme="majorHAnsi" w:cstheme="majorBidi" w:eastAsiaTheme="majorEastAsia" w:hAnsiTheme="majorHAnsi"/>
      <w:b/>
      <w:bCs/>
      <w:color w:val="801414"/>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801414"/>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Trgymutat">
    <w:name w:val="Tárgymutató"/>
    <w:basedOn w:val="Normal"/>
    <w:qFormat/>
    <w:pPr>
      <w:suppressLineNumbers/>
    </w:pPr>
    <w:rPr>
      <w:rFonts w:cs="Lucida Sans"/>
    </w:rPr>
  </w:style>
  <w:style w:type="paragraph" w:styleId="lfejsllb">
    <w:name w:val="Élőfej és élőláb"/>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801414"/>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Cmsor"/>
    <w:pPr/>
    <w:rPr/>
  </w:style>
  <w:style w:type="paragraph" w:styleId="TOCHeading">
    <w:name w:val="TOC Heading"/>
    <w:basedOn w:val="Heading1"/>
    <w:next w:val="Normal"/>
    <w:uiPriority w:val="39"/>
    <w:semiHidden/>
    <w:unhideWhenUsed/>
    <w:qFormat/>
    <w:rsid w:val="00fc693f"/>
    <w:pPr>
      <w:outlineLvl w:val="9"/>
    </w:pPr>
    <w:rPr/>
  </w:style>
  <w:style w:type="numbering" w:styleId="Nincslista" w:default="1">
    <w:name w:val="Nincs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ages>2</Pages>
  <Words>1014</Words>
  <Characters>6726</Characters>
  <CharactersWithSpaces>7700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hu-HU</dc:language>
  <cp:lastModifiedBy/>
  <dcterms:modified xsi:type="dcterms:W3CDTF">2026-08-26T17:08:10Z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