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Flaws Report</w:t>
      </w:r>
    </w:p>
    <w:p>
      <w:pPr>
        <w:jc w:val="center"/>
      </w:pPr>
      <w:r>
        <w:rPr>
          <w:b/>
          <w:color w:val="1F4E79"/>
          <w:sz w:val="28"/>
        </w:rPr>
        <w:t>Secure Digital Document Management System for Law Enforcement &amp; Legal Agencies</w:t>
      </w:r>
    </w:p>
    <w:p>
      <w:pPr>
        <w:jc w:val="center"/>
      </w:pPr>
      <w:r>
        <w:rPr>
          <w:i/>
        </w:rPr>
        <w:t>Structured problem analysis, efficient remedies, implementation roadmap, and stakeholder design</w:t>
      </w:r>
    </w:p>
    <w:p>
      <w:r>
        <w:t>Purpose: This report identifies major operational, security, legal-validity, privacy, interoperability, and usability gaps in document management across policing, investigation, prosecution, forensic, prison, and court workflows. It proposes efficient, implementation-oriented solutions suitable for an India-focused Secure Digital Document Management System (DMS).</w:t>
      </w:r>
    </w:p>
    <w:p>
      <w:pPr>
        <w:pStyle w:val="Heading1"/>
      </w:pPr>
      <w:r>
        <w:t>Executive summary</w:t>
      </w:r>
    </w:p>
    <w:p>
      <w:r>
        <w:t>Existing systems digitize important parts of criminal-justice work, but records and evidence often remain fragmented across police, evidence, malkhana, forensic, prosecution, prison, and court systems. Common failures include poor-quality data, duplicate person records, weak authorization, privacy leakage, incomplete chain of custody, weak end-to-end auditability, offline constraints, and difficulty proving the integrity of electronic records.</w:t>
      </w:r>
    </w:p>
    <w:p>
      <w:r>
        <w:t>The proposed DMS should not try to replace every government platform. It should operate as a secure, case-centric integration and control layer: one case file, one trustworthy audit history, policy-based access, court-ready evidence packages, reliable offline operation, and interoperability with systems such as CCTNS, ICJS, eSakshya, e-Courts, e-Prisons, e-Forensics, NAFIS, and state E-Malkhana implementations.</w:t>
      </w:r>
    </w:p>
    <w:p>
      <w:pPr>
        <w:pStyle w:val="Heading1"/>
      </w:pPr>
      <w:r>
        <w:t>Scope and objectives</w:t>
      </w:r>
    </w:p>
    <w:p>
      <w:pPr>
        <w:pStyle w:val="ListBullet"/>
      </w:pPr>
      <w:r>
        <w:t>Centralize case documents: FIR/GD records, case diaries, witness statements, seizure memos, forensic reports, charge sheets, court filings, orders, judgments, notices, and evidence records.</w:t>
      </w:r>
    </w:p>
    <w:p>
      <w:pPr>
        <w:pStyle w:val="ListBullet"/>
      </w:pPr>
      <w:r>
        <w:t>Protect confidentiality through strong authentication, least-privilege permissions, dynamic redaction, and controlled sharing.</w:t>
      </w:r>
    </w:p>
    <w:p>
      <w:pPr>
        <w:pStyle w:val="ListBullet"/>
      </w:pPr>
      <w:r>
        <w:t>Preserve evidentiary integrity using hashing, digital signatures, version lineage, chain of custody, and verifiable export packages.</w:t>
      </w:r>
    </w:p>
    <w:p>
      <w:pPr>
        <w:pStyle w:val="ListBullet"/>
      </w:pPr>
      <w:r>
        <w:t>Improve operational efficiency through full-text search, structured metadata, entity matching, relationship maps, case-health checks, and offline-first workflows.</w:t>
      </w:r>
    </w:p>
    <w:p>
      <w:pPr>
        <w:pStyle w:val="ListBullet"/>
      </w:pPr>
      <w:r>
        <w:t>Support compliance through immutable audit logs, privacy controls, retention/disposal rules, and court-ready electronic-evidence documentation.</w:t>
      </w:r>
    </w:p>
    <w:p>
      <w:pPr>
        <w:pStyle w:val="Heading1"/>
      </w:pPr>
      <w:r>
        <w:t>Current ecosystem and gap context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System / domain</w:t>
            </w:r>
          </w:p>
        </w:tc>
        <w:tc>
          <w:tcPr>
            <w:tcW w:type="dxa" w:w="3360"/>
            <w:vAlign w:val="top"/>
            <w:shd w:fill="D9EAF7"/>
          </w:tcPr>
          <w:p>
            <w:r/>
            <w:r>
              <w:rPr>
                <w:b/>
                <w:sz w:val="18"/>
              </w:rPr>
              <w:t>Typical function</w:t>
            </w:r>
          </w:p>
        </w:tc>
        <w:tc>
          <w:tcPr>
            <w:tcW w:type="dxa" w:w="3360"/>
            <w:vAlign w:val="top"/>
            <w:shd w:fill="D9EAF7"/>
          </w:tcPr>
          <w:p>
            <w:r/>
            <w:r>
              <w:rPr>
                <w:b/>
                <w:sz w:val="18"/>
              </w:rPr>
              <w:t>Gap the proposed DMS addresses</w:t>
            </w:r>
          </w:p>
        </w:tc>
      </w:tr>
      <w:tr>
        <w:tc>
          <w:tcPr>
            <w:tcW w:type="dxa" w:w="3360"/>
            <w:vAlign w:val="top"/>
          </w:tcPr>
          <w:p>
            <w:r/>
            <w:r>
              <w:rPr>
                <w:b w:val="0"/>
                <w:sz w:val="18"/>
              </w:rPr>
              <w:t>CCTNS / Police records</w:t>
            </w:r>
          </w:p>
        </w:tc>
        <w:tc>
          <w:tcPr>
            <w:tcW w:type="dxa" w:w="3360"/>
            <w:vAlign w:val="top"/>
          </w:tcPr>
          <w:p>
            <w:r/>
            <w:r>
              <w:rPr>
                <w:b w:val="0"/>
                <w:sz w:val="18"/>
              </w:rPr>
              <w:t>FIRs, crime and criminal records, investigation workflows</w:t>
            </w:r>
          </w:p>
        </w:tc>
        <w:tc>
          <w:tcPr>
            <w:tcW w:type="dxa" w:w="3360"/>
            <w:vAlign w:val="top"/>
          </w:tcPr>
          <w:p>
            <w:r/>
            <w:r>
              <w:rPr>
                <w:b w:val="0"/>
                <w:sz w:val="18"/>
              </w:rPr>
              <w:t>Data quality, duplicate identities, uneven module use, access control, unified document lifecycle</w:t>
            </w:r>
          </w:p>
        </w:tc>
      </w:tr>
      <w:tr>
        <w:tc>
          <w:tcPr>
            <w:tcW w:type="dxa" w:w="3360"/>
            <w:vAlign w:val="top"/>
          </w:tcPr>
          <w:p>
            <w:r/>
            <w:r>
              <w:rPr>
                <w:b w:val="0"/>
                <w:sz w:val="18"/>
              </w:rPr>
              <w:t>eSakshya / Digital evidence</w:t>
            </w:r>
          </w:p>
        </w:tc>
        <w:tc>
          <w:tcPr>
            <w:tcW w:type="dxa" w:w="3360"/>
            <w:vAlign w:val="top"/>
          </w:tcPr>
          <w:p>
            <w:r/>
            <w:r>
              <w:rPr>
                <w:b w:val="0"/>
                <w:sz w:val="18"/>
              </w:rPr>
              <w:t>Digital capture and linking of electronic evidence</w:t>
            </w:r>
          </w:p>
        </w:tc>
        <w:tc>
          <w:tcPr>
            <w:tcW w:type="dxa" w:w="3360"/>
            <w:vAlign w:val="top"/>
          </w:tcPr>
          <w:p>
            <w:r/>
            <w:r>
              <w:rPr>
                <w:b w:val="0"/>
                <w:sz w:val="18"/>
              </w:rPr>
              <w:t>Cross-document lineage, legal-ready bundles, physical evidence linkage, controlled collaboration</w:t>
            </w:r>
          </w:p>
        </w:tc>
      </w:tr>
      <w:tr>
        <w:tc>
          <w:tcPr>
            <w:tcW w:type="dxa" w:w="3360"/>
            <w:vAlign w:val="top"/>
          </w:tcPr>
          <w:p>
            <w:r/>
            <w:r>
              <w:rPr>
                <w:b w:val="0"/>
                <w:sz w:val="18"/>
              </w:rPr>
              <w:t>E-Malkhana</w:t>
            </w:r>
          </w:p>
        </w:tc>
        <w:tc>
          <w:tcPr>
            <w:tcW w:type="dxa" w:w="3360"/>
            <w:vAlign w:val="top"/>
          </w:tcPr>
          <w:p>
            <w:r/>
            <w:r>
              <w:rPr>
                <w:b w:val="0"/>
                <w:sz w:val="18"/>
              </w:rPr>
              <w:t>Physical seized-property storage and movement</w:t>
            </w:r>
          </w:p>
        </w:tc>
        <w:tc>
          <w:tcPr>
            <w:tcW w:type="dxa" w:w="3360"/>
            <w:vAlign w:val="top"/>
          </w:tcPr>
          <w:p>
            <w:r/>
            <w:r>
              <w:rPr>
                <w:b w:val="0"/>
                <w:sz w:val="18"/>
              </w:rPr>
              <w:t>Full digital twin, real-time discrepancy alerts, case-document linkage</w:t>
            </w:r>
          </w:p>
        </w:tc>
      </w:tr>
      <w:tr>
        <w:tc>
          <w:tcPr>
            <w:tcW w:type="dxa" w:w="3360"/>
            <w:vAlign w:val="top"/>
          </w:tcPr>
          <w:p>
            <w:r/>
            <w:r>
              <w:rPr>
                <w:b w:val="0"/>
                <w:sz w:val="18"/>
              </w:rPr>
              <w:t>ICJS</w:t>
            </w:r>
          </w:p>
        </w:tc>
        <w:tc>
          <w:tcPr>
            <w:tcW w:type="dxa" w:w="3360"/>
            <w:vAlign w:val="top"/>
          </w:tcPr>
          <w:p>
            <w:r/>
            <w:r>
              <w:rPr>
                <w:b w:val="0"/>
                <w:sz w:val="18"/>
              </w:rPr>
              <w:t>Interoperability among police, courts, prisons, forensics, prosecution</w:t>
            </w:r>
          </w:p>
        </w:tc>
        <w:tc>
          <w:tcPr>
            <w:tcW w:type="dxa" w:w="3360"/>
            <w:vAlign w:val="top"/>
          </w:tcPr>
          <w:p>
            <w:r/>
            <w:r>
              <w:rPr>
                <w:b w:val="0"/>
                <w:sz w:val="18"/>
              </w:rPr>
              <w:t>Common metadata, secure APIs, person/entity linkage, case-centric orchestration</w:t>
            </w:r>
          </w:p>
        </w:tc>
      </w:tr>
      <w:tr>
        <w:tc>
          <w:tcPr>
            <w:tcW w:type="dxa" w:w="3360"/>
            <w:vAlign w:val="top"/>
          </w:tcPr>
          <w:p>
            <w:r/>
            <w:r>
              <w:rPr>
                <w:b w:val="0"/>
                <w:sz w:val="18"/>
              </w:rPr>
              <w:t>e-Courts / prosecution / prisons / forensics</w:t>
            </w:r>
          </w:p>
        </w:tc>
        <w:tc>
          <w:tcPr>
            <w:tcW w:type="dxa" w:w="3360"/>
            <w:vAlign w:val="top"/>
          </w:tcPr>
          <w:p>
            <w:r/>
            <w:r>
              <w:rPr>
                <w:b w:val="0"/>
                <w:sz w:val="18"/>
              </w:rPr>
              <w:t>Stage-specific justice workflows</w:t>
            </w:r>
          </w:p>
        </w:tc>
        <w:tc>
          <w:tcPr>
            <w:tcW w:type="dxa" w:w="3360"/>
            <w:vAlign w:val="top"/>
          </w:tcPr>
          <w:p>
            <w:r/>
            <w:r>
              <w:rPr>
                <w:b w:val="0"/>
                <w:sz w:val="18"/>
              </w:rPr>
              <w:t>One case timeline, controlled cross-agency sharing, durable audit history</w:t>
            </w:r>
          </w:p>
        </w:tc>
      </w:tr>
    </w:tbl>
    <w:p>
      <w:pPr>
        <w:pStyle w:val="Heading2"/>
      </w:pPr>
      <w:r>
        <w:t>Flaw 1: Poor data quality and duplicate identities</w:t>
      </w:r>
    </w:p>
    <w:p>
      <w:r>
        <w:rPr>
          <w:b/>
        </w:rPr>
        <w:t xml:space="preserve">Problem statement. </w:t>
      </w:r>
      <w:r>
        <w:t>Records can be incomplete, inconsistent, or duplicated because names, addresses, ages, parentage, and local identifiers are entered differently across stations, districts, and agencies. Legacy paper and database migration can further create mismatched records.</w:t>
      </w:r>
    </w:p>
    <w:p>
      <w:pPr>
        <w:pStyle w:val="Heading3"/>
      </w:pPr>
      <w:r>
        <w:t>Why it matters</w:t>
      </w:r>
    </w:p>
    <w:p>
      <w:pPr>
        <w:pStyle w:val="ListBullet"/>
      </w:pPr>
      <w:r>
        <w:t>Search returns incomplete or misleading results.</w:t>
      </w:r>
    </w:p>
    <w:p>
      <w:pPr>
        <w:pStyle w:val="ListBullet"/>
      </w:pPr>
      <w:r>
        <w:t>The same individual can appear under multiple identities, hiding links between cases.</w:t>
      </w:r>
    </w:p>
    <w:p>
      <w:pPr>
        <w:pStyle w:val="ListBullet"/>
      </w:pPr>
      <w:r>
        <w:t>Manual correction consumes investigator time and reduces trust in reports and analytics.</w:t>
      </w:r>
    </w:p>
    <w:p>
      <w:pPr>
        <w:pStyle w:val="ListBullet"/>
      </w:pPr>
      <w:r>
        <w:t>Poor data weakens cross-agency collaboration and court preparation.</w:t>
      </w:r>
    </w:p>
    <w:p>
      <w:pPr>
        <w:pStyle w:val="Heading3"/>
      </w:pPr>
      <w:r>
        <w:t>Efficient solution design</w:t>
      </w:r>
    </w:p>
    <w:p>
      <w:r>
        <w:rPr>
          <w:b/>
        </w:rPr>
        <w:t xml:space="preserve">Structured data capture: </w:t>
      </w:r>
      <w:r>
        <w:t>Use mandatory fields, controlled vocabularies, dropdowns, date/phone/address validation, and document-type-specific forms instead of free-text-only entry.</w:t>
      </w:r>
    </w:p>
    <w:p>
      <w:r>
        <w:rPr>
          <w:b/>
        </w:rPr>
        <w:t xml:space="preserve">Entity resolution: </w:t>
      </w:r>
      <w:r>
        <w:t>Run fuzzy matching on name, aliases, parent/spouse name, age/DOB, address, phone, vehicle and document identifiers. Use phonetic matching suitable for Indian names and transliteration variants.</w:t>
      </w:r>
    </w:p>
    <w:p>
      <w:r>
        <w:rPr>
          <w:b/>
        </w:rPr>
        <w:t xml:space="preserve">Human-in-the-loop review: </w:t>
      </w:r>
      <w:r>
        <w:t>Show likely duplicate candidates with confidence scores. The operator must link an existing identity or state why a new record is needed; supervisors review uncertain matches.</w:t>
      </w:r>
    </w:p>
    <w:p>
      <w:r>
        <w:rPr>
          <w:b/>
        </w:rPr>
        <w:t xml:space="preserve">Data quality dashboard: </w:t>
      </w:r>
      <w:r>
        <w:t>Measure missing fields, duplicate candidates, unverified identities, migration errors, and correction turnaround by station/district.</w:t>
      </w:r>
    </w:p>
    <w:p>
      <w:r>
        <w:rPr>
          <w:b/>
        </w:rPr>
        <w:t xml:space="preserve">Unique Person ID layer: </w:t>
      </w:r>
      <w:r>
        <w:t>Assign a system-generated UPI after a record is validated; map all historic/local IDs to it without deleting source records.</w:t>
      </w:r>
    </w:p>
    <w:p>
      <w:pPr>
        <w:pStyle w:val="Heading3"/>
      </w:pPr>
      <w:r>
        <w:t>What makes this different</w:t>
      </w:r>
    </w:p>
    <w:p>
      <w:r>
        <w:t>The differentiator is not merely assigning a random ID. It is a governed identity-resolution process that preserves uncertainty, prevents forced false matches, keeps legacy mappings, and creates a clean person-centric link across case documents.</w:t>
      </w:r>
    </w:p>
    <w:p>
      <w:r>
        <w:rPr>
          <w:b/>
        </w:rPr>
        <w:t xml:space="preserve">Priority: </w:t>
      </w:r>
      <w:r>
        <w:t>Critical</w:t>
      </w:r>
      <w:r>
        <w:rPr>
          <w:b/>
        </w:rPr>
        <w:t xml:space="preserve"> | Proposed modules: </w:t>
      </w:r>
      <w:r>
        <w:t>Data Quality Service, Entity Resolution Engine, Person Registry, Migration Mapper</w:t>
      </w:r>
    </w:p>
    <w:p>
      <w:pPr>
        <w:pStyle w:val="Heading2"/>
      </w:pPr>
      <w:r>
        <w:t>Flaw 2: Illogical timelines and procedural violations</w:t>
      </w:r>
    </w:p>
    <w:p>
      <w:r>
        <w:rPr>
          <w:b/>
        </w:rPr>
        <w:t xml:space="preserve">Problem statement. </w:t>
      </w:r>
      <w:r>
        <w:t>Case events may be entered in a sequence that is procedurally impossible or suspicious, such as seizure/arrest entries preceding the related FIR without documented justification, or a charge sheet being created by a person who is not assigned as Investigating Officer.</w:t>
      </w:r>
    </w:p>
    <w:p>
      <w:pPr>
        <w:pStyle w:val="Heading3"/>
      </w:pPr>
      <w:r>
        <w:t>Why it matters</w:t>
      </w:r>
    </w:p>
    <w:p>
      <w:pPr>
        <w:pStyle w:val="ListBullet"/>
      </w:pPr>
      <w:r>
        <w:t>Can weaken a prosecution or raise questions about record reliability.</w:t>
      </w:r>
    </w:p>
    <w:p>
      <w:pPr>
        <w:pStyle w:val="ListBullet"/>
      </w:pPr>
      <w:r>
        <w:t>Allows accidental or intentional backdating and unauthorized actions.</w:t>
      </w:r>
    </w:p>
    <w:p>
      <w:pPr>
        <w:pStyle w:val="ListBullet"/>
      </w:pPr>
      <w:r>
        <w:t>Supervisors discover gaps late, often near charge-sheet filing or trial.</w:t>
      </w:r>
    </w:p>
    <w:p>
      <w:pPr>
        <w:pStyle w:val="Heading3"/>
      </w:pPr>
      <w:r>
        <w:t>Efficient solution design</w:t>
      </w:r>
    </w:p>
    <w:p>
      <w:r>
        <w:rPr>
          <w:b/>
        </w:rPr>
        <w:t xml:space="preserve">Case timeline engine: </w:t>
      </w:r>
      <w:r>
        <w:t>Store each case event as a structured event with timestamp, creator, source device, legal stage, and supporting document.</w:t>
      </w:r>
    </w:p>
    <w:p>
      <w:r>
        <w:rPr>
          <w:b/>
        </w:rPr>
        <w:t xml:space="preserve">Rule engine: </w:t>
      </w:r>
      <w:r>
        <w:t>Encode hard rules, conditional exceptions, and soft warnings. Example: charge-sheet submission requires an active IO assignment and required approvals; exceptions require reason and supervisor authorization.</w:t>
      </w:r>
    </w:p>
    <w:p>
      <w:r>
        <w:rPr>
          <w:b/>
        </w:rPr>
        <w:t xml:space="preserve">Prevent versus flag policy: </w:t>
      </w:r>
      <w:r>
        <w:t>Block actions that are never permissible; permit exceptional actions only with explicit justification, digitally signed approval, and an audit event.</w:t>
      </w:r>
    </w:p>
    <w:p>
      <w:r>
        <w:rPr>
          <w:b/>
        </w:rPr>
        <w:t xml:space="preserve">Visual anomaly dashboard: </w:t>
      </w:r>
      <w:r>
        <w:t>Display the case timeline and highlight missing, out-of-order, and overdue events. Supervisors receive daily alerts for unresolved anomalies.</w:t>
      </w:r>
    </w:p>
    <w:p>
      <w:r>
        <w:rPr>
          <w:b/>
        </w:rPr>
        <w:t xml:space="preserve">Case Health Score: </w:t>
      </w:r>
      <w:r>
        <w:t>Calculate completeness, sequence validity, authorization status, evidence-custody completeness, and pending actions.</w:t>
      </w:r>
    </w:p>
    <w:p>
      <w:pPr>
        <w:pStyle w:val="Heading3"/>
      </w:pPr>
      <w:r>
        <w:t>What makes this different</w:t>
      </w:r>
    </w:p>
    <w:p>
      <w:r>
        <w:t>Typical systems validate field formats. This feature validates the legal and operational logic across many documents and events in the same case.</w:t>
      </w:r>
    </w:p>
    <w:p>
      <w:r>
        <w:rPr>
          <w:b/>
        </w:rPr>
        <w:t xml:space="preserve">Priority: </w:t>
      </w:r>
      <w:r>
        <w:t>Critical</w:t>
      </w:r>
      <w:r>
        <w:rPr>
          <w:b/>
        </w:rPr>
        <w:t xml:space="preserve"> | Proposed modules: </w:t>
      </w:r>
      <w:r>
        <w:t>Workflow Rules Engine, Timeline Service, Supervisor Dashboard, Case Health Scoring</w:t>
      </w:r>
    </w:p>
    <w:p>
      <w:pPr>
        <w:pStyle w:val="Heading2"/>
      </w:pPr>
      <w:r>
        <w:t>Flaw 3: Weak access control, privacy leakage, and incomplete auditability</w:t>
      </w:r>
    </w:p>
    <w:p>
      <w:r>
        <w:rPr>
          <w:b/>
        </w:rPr>
        <w:t xml:space="preserve">Problem statement. </w:t>
      </w:r>
      <w:r>
        <w:t>Static role-based permissions and shared credentials can expose confidential records. Sensitive information about victims, witnesses, juveniles, or ongoing investigations may be visible to users who do not need it. A basic “user viewed document” log is insufficient for accountability.</w:t>
      </w:r>
    </w:p>
    <w:p>
      <w:pPr>
        <w:pStyle w:val="Heading3"/>
      </w:pPr>
      <w:r>
        <w:t>Why it matters</w:t>
      </w:r>
    </w:p>
    <w:p>
      <w:pPr>
        <w:pStyle w:val="ListBullet"/>
      </w:pPr>
      <w:r>
        <w:t>Threatens victim and witness safety.</w:t>
      </w:r>
    </w:p>
    <w:p>
      <w:pPr>
        <w:pStyle w:val="ListBullet"/>
      </w:pPr>
      <w:r>
        <w:t>Creates legal, privacy, disciplinary, and reputational risk.</w:t>
      </w:r>
    </w:p>
    <w:p>
      <w:pPr>
        <w:pStyle w:val="ListBullet"/>
      </w:pPr>
      <w:r>
        <w:t>Makes it difficult to prove who accessed, printed, exported, edited, or shared a record.</w:t>
      </w:r>
    </w:p>
    <w:p>
      <w:pPr>
        <w:pStyle w:val="Heading3"/>
      </w:pPr>
      <w:r>
        <w:t>Efficient solution design</w:t>
      </w:r>
    </w:p>
    <w:p>
      <w:r>
        <w:rPr>
          <w:b/>
        </w:rPr>
        <w:t xml:space="preserve">Strong authentication: </w:t>
      </w:r>
      <w:r>
        <w:t>Use multi-factor authentication, device registration, session timeouts, suspicious-login detection, and prohibition of concurrent account sharing.</w:t>
      </w:r>
    </w:p>
    <w:p>
      <w:r>
        <w:rPr>
          <w:b/>
        </w:rPr>
        <w:t xml:space="preserve">ABAC plus RBAC: </w:t>
      </w:r>
      <w:r>
        <w:t>Combine roles with attributes: agency, district, station, case assignment, case sensitivity, time, purpose, clearance, and court order status.</w:t>
      </w:r>
    </w:p>
    <w:p>
      <w:r>
        <w:rPr>
          <w:b/>
        </w:rPr>
        <w:t xml:space="preserve">Dynamic redaction: </w:t>
      </w:r>
      <w:r>
        <w:t>Render different views of the same document. For example, automatically hide victim identity/address from unauthorized users while leaving the original evidence record intact.</w:t>
      </w:r>
    </w:p>
    <w:p>
      <w:r>
        <w:rPr>
          <w:b/>
        </w:rPr>
        <w:t xml:space="preserve">Need-to-know access: </w:t>
      </w:r>
      <w:r>
        <w:t>Grant temporary, case-scoped access with expiration rather than broad permanent access.</w:t>
      </w:r>
    </w:p>
    <w:p>
      <w:r>
        <w:rPr>
          <w:b/>
        </w:rPr>
        <w:t xml:space="preserve">Tamper-evident audit logs: </w:t>
      </w:r>
      <w:r>
        <w:t>Record create, view, search, download, export, print, share, edit, approve, redact, and delete attempts. Hash-chain log entries and store them in append-only/WORM storage.</w:t>
      </w:r>
    </w:p>
    <w:p>
      <w:r>
        <w:rPr>
          <w:b/>
        </w:rPr>
        <w:t xml:space="preserve">Access review: </w:t>
      </w:r>
      <w:r>
        <w:t>Generate periodic reviews of high-risk access, dormant accounts, unusual exports, and repeated failed attempts.</w:t>
      </w:r>
    </w:p>
    <w:p>
      <w:pPr>
        <w:pStyle w:val="Heading3"/>
      </w:pPr>
      <w:r>
        <w:t>What makes this different</w:t>
      </w:r>
    </w:p>
    <w:p>
      <w:r>
        <w:t>The differentiator is field-level, context-aware access and redaction—not simply “admin/user” roles. It can show a prosecutor, court clerk, IO, and RTI officer different lawful views of one record.</w:t>
      </w:r>
    </w:p>
    <w:p>
      <w:r>
        <w:rPr>
          <w:b/>
        </w:rPr>
        <w:t xml:space="preserve">Priority: </w:t>
      </w:r>
      <w:r>
        <w:t>Critical</w:t>
      </w:r>
      <w:r>
        <w:rPr>
          <w:b/>
        </w:rPr>
        <w:t xml:space="preserve"> | Proposed modules: </w:t>
      </w:r>
      <w:r>
        <w:t>Identity and Access Management, Policy Engine, Redaction Service, Audit Ledger, Security Analytics</w:t>
      </w:r>
    </w:p>
    <w:p>
      <w:pPr>
        <w:pStyle w:val="Heading2"/>
      </w:pPr>
      <w:r>
        <w:t>Flaw 4: Fragmented case lifecycle and siloed applications</w:t>
      </w:r>
    </w:p>
    <w:p>
      <w:r>
        <w:rPr>
          <w:b/>
        </w:rPr>
        <w:t xml:space="preserve">Problem statement. </w:t>
      </w:r>
      <w:r>
        <w:t>Documents are commonly distributed among police-record, evidence, malkhana, forensic, prosecution, prison, and court systems. Users must search multiple applications, manually re-enter details, or exchange copies over insecure channels.</w:t>
      </w:r>
    </w:p>
    <w:p>
      <w:pPr>
        <w:pStyle w:val="Heading3"/>
      </w:pPr>
      <w:r>
        <w:t>Why it matters</w:t>
      </w:r>
    </w:p>
    <w:p>
      <w:pPr>
        <w:pStyle w:val="ListBullet"/>
      </w:pPr>
      <w:r>
        <w:t>Increases delays and inconsistent information.</w:t>
      </w:r>
    </w:p>
    <w:p>
      <w:pPr>
        <w:pStyle w:val="ListBullet"/>
      </w:pPr>
      <w:r>
        <w:t>Makes it hard to determine whether a case file is complete.</w:t>
      </w:r>
    </w:p>
    <w:p>
      <w:pPr>
        <w:pStyle w:val="ListBullet"/>
      </w:pPr>
      <w:r>
        <w:t>Creates uncontrolled duplication and uncertain “latest version” status.</w:t>
      </w:r>
    </w:p>
    <w:p>
      <w:pPr>
        <w:pStyle w:val="Heading3"/>
      </w:pPr>
      <w:r>
        <w:t>Efficient solution design</w:t>
      </w:r>
    </w:p>
    <w:p>
      <w:r>
        <w:rPr>
          <w:b/>
        </w:rPr>
        <w:t xml:space="preserve">Case-centric model: </w:t>
      </w:r>
      <w:r>
        <w:t>Use a central Case ID and link all artifacts to the case: FIR, statements, evidence, forensic reports, charge sheet, filings, orders, judgment, and disposal.</w:t>
      </w:r>
    </w:p>
    <w:p>
      <w:r>
        <w:rPr>
          <w:b/>
        </w:rPr>
        <w:t xml:space="preserve">Canonical metadata schema: </w:t>
      </w:r>
      <w:r>
        <w:t>Define standard document types and metadata: author, event date, persons, evidence items, legal provisions, confidentiality level, source system, version, and retention status.</w:t>
      </w:r>
    </w:p>
    <w:p>
      <w:r>
        <w:rPr>
          <w:b/>
        </w:rPr>
        <w:t xml:space="preserve">Integration gateway: </w:t>
      </w:r>
      <w:r>
        <w:t>Use secure APIs/adapters to read or exchange metadata and approved documents with CCTNS, eSakshya, E-Malkhana, e-Courts, e-Prisons, e-Forensics, and ICJS services.</w:t>
      </w:r>
    </w:p>
    <w:p>
      <w:r>
        <w:rPr>
          <w:b/>
        </w:rPr>
        <w:t xml:space="preserve">Single case workspace: </w:t>
      </w:r>
      <w:r>
        <w:t>Provide chronological and category views, a pending-actions list, document completeness indicator, and controlled links to source systems.</w:t>
      </w:r>
    </w:p>
    <w:p>
      <w:r>
        <w:rPr>
          <w:b/>
        </w:rPr>
        <w:t xml:space="preserve">No uncontrolled copying: </w:t>
      </w:r>
      <w:r>
        <w:t>Use reference links, secure document views, and version identifiers rather than emailing or duplicating files whenever possible.</w:t>
      </w:r>
    </w:p>
    <w:p>
      <w:pPr>
        <w:pStyle w:val="Heading3"/>
      </w:pPr>
      <w:r>
        <w:t>What makes this different</w:t>
      </w:r>
    </w:p>
    <w:p>
      <w:r>
        <w:t>The system becomes an orchestration layer and trusted case workspace rather than an attempt to replace every existing government application.</w:t>
      </w:r>
    </w:p>
    <w:p>
      <w:r>
        <w:rPr>
          <w:b/>
        </w:rPr>
        <w:t xml:space="preserve">Priority: </w:t>
      </w:r>
      <w:r>
        <w:t>Critical</w:t>
      </w:r>
      <w:r>
        <w:rPr>
          <w:b/>
        </w:rPr>
        <w:t xml:space="preserve"> | Proposed modules: </w:t>
      </w:r>
      <w:r>
        <w:t>Case Registry, Metadata Catalog, API Gateway, Connector Framework, Unified Case Workspace</w:t>
      </w:r>
    </w:p>
    <w:p>
      <w:pPr>
        <w:pStyle w:val="Heading2"/>
      </w:pPr>
      <w:r>
        <w:t>Flaw 5: Insufficient tamper-evident document integrity and version control</w:t>
      </w:r>
    </w:p>
    <w:p>
      <w:r>
        <w:rPr>
          <w:b/>
        </w:rPr>
        <w:t xml:space="preserve">Problem statement. </w:t>
      </w:r>
      <w:r>
        <w:t>Simple file storage does not reliably prove whether a document changed, which version is authoritative, who approved it, or whether a file was altered after export.</w:t>
      </w:r>
    </w:p>
    <w:p>
      <w:pPr>
        <w:pStyle w:val="Heading3"/>
      </w:pPr>
      <w:r>
        <w:t>Why it matters</w:t>
      </w:r>
    </w:p>
    <w:p>
      <w:pPr>
        <w:pStyle w:val="ListBullet"/>
      </w:pPr>
      <w:r>
        <w:t>Can undermine evidentiary trust.</w:t>
      </w:r>
    </w:p>
    <w:p>
      <w:pPr>
        <w:pStyle w:val="ListBullet"/>
      </w:pPr>
      <w:r>
        <w:t>Creates disputes over document versions and approvals.</w:t>
      </w:r>
    </w:p>
    <w:p>
      <w:pPr>
        <w:pStyle w:val="ListBullet"/>
      </w:pPr>
      <w:r>
        <w:t>Makes post-incident investigation difficult.</w:t>
      </w:r>
    </w:p>
    <w:p>
      <w:pPr>
        <w:pStyle w:val="Heading3"/>
      </w:pPr>
      <w:r>
        <w:t>Efficient solution design</w:t>
      </w:r>
    </w:p>
    <w:p>
      <w:r>
        <w:rPr>
          <w:b/>
        </w:rPr>
        <w:t xml:space="preserve">Content hashing: </w:t>
      </w:r>
      <w:r>
        <w:t>On creation or upload, compute SHA-256 or a comparable modern hash over the content and essential metadata.</w:t>
      </w:r>
    </w:p>
    <w:p>
      <w:r>
        <w:rPr>
          <w:b/>
        </w:rPr>
        <w:t xml:space="preserve">Digital signatures: </w:t>
      </w:r>
      <w:r>
        <w:t>Digitally sign the hash at critical stages: capture, upload, approval, filing, export, and transfer.</w:t>
      </w:r>
    </w:p>
    <w:p>
      <w:r>
        <w:rPr>
          <w:b/>
        </w:rPr>
        <w:t xml:space="preserve">Hash-chained versions: </w:t>
      </w:r>
      <w:r>
        <w:t>Each version stores its own hash and the previous version hash, creating an append-only lineage. Never overwrite the prior version.</w:t>
      </w:r>
    </w:p>
    <w:p>
      <w:r>
        <w:rPr>
          <w:b/>
        </w:rPr>
        <w:t xml:space="preserve">Merkle-based audit proofs: </w:t>
      </w:r>
      <w:r>
        <w:t>Periodically anchor batches of event/document hashes in a Merkle tree or permissioned ledger. Store only proofs and hashes, not sensitive files, in the ledger.</w:t>
      </w:r>
    </w:p>
    <w:p>
      <w:r>
        <w:rPr>
          <w:b/>
        </w:rPr>
        <w:t xml:space="preserve">Integrity verification: </w:t>
      </w:r>
      <w:r>
        <w:t>Provide an authorized “verify integrity” function and include verification data in a court export package.</w:t>
      </w:r>
    </w:p>
    <w:p>
      <w:pPr>
        <w:pStyle w:val="Heading3"/>
      </w:pPr>
      <w:r>
        <w:t>What makes this different</w:t>
      </w:r>
    </w:p>
    <w:p>
      <w:r>
        <w:t>It avoids the inefficient “put every document on blockchain” approach. Only integrity proofs and transaction hashes are chained, making the design scalable and easier to operate.</w:t>
      </w:r>
    </w:p>
    <w:p>
      <w:r>
        <w:rPr>
          <w:b/>
        </w:rPr>
        <w:t xml:space="preserve">Priority: </w:t>
      </w:r>
      <w:r>
        <w:t>Critical</w:t>
      </w:r>
      <w:r>
        <w:rPr>
          <w:b/>
        </w:rPr>
        <w:t xml:space="preserve"> | Proposed modules: </w:t>
      </w:r>
      <w:r>
        <w:t>Versioning Service, Digital Signature Service, Integrity Ledger, Verification Portal</w:t>
      </w:r>
    </w:p>
    <w:p>
      <w:pPr>
        <w:pStyle w:val="Heading2"/>
      </w:pPr>
      <w:r>
        <w:t>Flaw 6: Weak court-readiness of electronic evidence</w:t>
      </w:r>
    </w:p>
    <w:p>
      <w:r>
        <w:rPr>
          <w:b/>
        </w:rPr>
        <w:t xml:space="preserve">Problem statement. </w:t>
      </w:r>
      <w:r>
        <w:t>Electronic records need reliable provenance, custody details, device/context information, and certification documentation. Manual preparation of certificates and evidence bundles can be slow, inconsistent, and error-prone.</w:t>
      </w:r>
    </w:p>
    <w:p>
      <w:pPr>
        <w:pStyle w:val="Heading3"/>
      </w:pPr>
      <w:r>
        <w:t>Why it matters</w:t>
      </w:r>
    </w:p>
    <w:p>
      <w:pPr>
        <w:pStyle w:val="ListBullet"/>
      </w:pPr>
      <w:r>
        <w:t>Evidence may be challenged for lack of provenance or authenticity.</w:t>
      </w:r>
    </w:p>
    <w:p>
      <w:pPr>
        <w:pStyle w:val="ListBullet"/>
      </w:pPr>
      <w:r>
        <w:t>Investigators and prosecutors spend time assembling records near court deadlines.</w:t>
      </w:r>
    </w:p>
    <w:p>
      <w:pPr>
        <w:pStyle w:val="ListBullet"/>
      </w:pPr>
      <w:r>
        <w:t>Important metadata can be lost when evidence is copied or moved.</w:t>
      </w:r>
    </w:p>
    <w:p>
      <w:pPr>
        <w:pStyle w:val="Heading3"/>
      </w:pPr>
      <w:r>
        <w:t>Efficient solution design</w:t>
      </w:r>
    </w:p>
    <w:p>
      <w:r>
        <w:rPr>
          <w:b/>
        </w:rPr>
        <w:t xml:space="preserve">Evidence intake manifest: </w:t>
      </w:r>
      <w:r>
        <w:t>Capture file hash, original file name, capture method, device details, capture time, operator, location when lawful/available, and source-system reference at intake.</w:t>
      </w:r>
    </w:p>
    <w:p>
      <w:r>
        <w:rPr>
          <w:b/>
        </w:rPr>
        <w:t xml:space="preserve">Chain-of-custody events: </w:t>
      </w:r>
      <w:r>
        <w:t>Record each handover, viewing, export, forensic examination, court production, and return with actor, timestamp, purpose, and digital signature.</w:t>
      </w:r>
    </w:p>
    <w:p>
      <w:r>
        <w:rPr>
          <w:b/>
        </w:rPr>
        <w:t xml:space="preserve">Certificate workflow: </w:t>
      </w:r>
      <w:r>
        <w:t>Generate a draft electronic-evidence certificate containing record identification, production method, device particulars, custodian details, and required declarations. Require an authorized certifier to review and digitally sign it.</w:t>
      </w:r>
    </w:p>
    <w:p>
      <w:r>
        <w:rPr>
          <w:b/>
        </w:rPr>
        <w:t xml:space="preserve">Court bundle generator: </w:t>
      </w:r>
      <w:r>
        <w:t>Create a package containing the evidence copy, manifest, certificate, integrity verification report, audit summary, and QR/verification reference.</w:t>
      </w:r>
    </w:p>
    <w:p>
      <w:r>
        <w:rPr>
          <w:b/>
        </w:rPr>
        <w:t xml:space="preserve">Templates and legal review: </w:t>
      </w:r>
      <w:r>
        <w:t>Keep certificate templates configurable by legal authority and validate them with the prosecution/legal department before production deployment.</w:t>
      </w:r>
    </w:p>
    <w:p>
      <w:pPr>
        <w:pStyle w:val="Heading3"/>
      </w:pPr>
      <w:r>
        <w:t>What makes this different</w:t>
      </w:r>
    </w:p>
    <w:p>
      <w:r>
        <w:t>The evidence is made legally traceable from capture onward, rather than being “made court-ready” manually at the final stage. Note: legal provisions and templates must be validated by the competent legal authority before operational use.</w:t>
      </w:r>
    </w:p>
    <w:p>
      <w:r>
        <w:rPr>
          <w:b/>
        </w:rPr>
        <w:t xml:space="preserve">Priority: </w:t>
      </w:r>
      <w:r>
        <w:t>Critical</w:t>
      </w:r>
      <w:r>
        <w:rPr>
          <w:b/>
        </w:rPr>
        <w:t xml:space="preserve"> | Proposed modules: </w:t>
      </w:r>
      <w:r>
        <w:t>Evidence Intake, Custody Service, Certificate Generator, Court Bundle Exporter</w:t>
      </w:r>
    </w:p>
    <w:p>
      <w:pPr>
        <w:pStyle w:val="Heading2"/>
      </w:pPr>
      <w:r>
        <w:t>Flaw 7: Poor offline operation and unreliable synchronization</w:t>
      </w:r>
    </w:p>
    <w:p>
      <w:r>
        <w:rPr>
          <w:b/>
        </w:rPr>
        <w:t xml:space="preserve">Problem statement. </w:t>
      </w:r>
      <w:r>
        <w:t>Remote or field locations may have unreliable power and connectivity. Systems that require continuous internet cause officers to return to paper or create untracked local copies.</w:t>
      </w:r>
    </w:p>
    <w:p>
      <w:pPr>
        <w:pStyle w:val="Heading3"/>
      </w:pPr>
      <w:r>
        <w:t>Why it matters</w:t>
      </w:r>
    </w:p>
    <w:p>
      <w:pPr>
        <w:pStyle w:val="ListBullet"/>
      </w:pPr>
      <w:r>
        <w:t>Delays entry of time-sensitive information.</w:t>
      </w:r>
    </w:p>
    <w:p>
      <w:pPr>
        <w:pStyle w:val="ListBullet"/>
      </w:pPr>
      <w:r>
        <w:t>Causes data loss, duplicate data, and audit gaps.</w:t>
      </w:r>
    </w:p>
    <w:p>
      <w:pPr>
        <w:pStyle w:val="ListBullet"/>
      </w:pPr>
      <w:r>
        <w:t>Reduces adoption of the DMS.</w:t>
      </w:r>
    </w:p>
    <w:p>
      <w:pPr>
        <w:pStyle w:val="Heading3"/>
      </w:pPr>
      <w:r>
        <w:t>Efficient solution design</w:t>
      </w:r>
    </w:p>
    <w:p>
      <w:r>
        <w:rPr>
          <w:b/>
        </w:rPr>
        <w:t xml:space="preserve">Offline-first encrypted client: </w:t>
      </w:r>
      <w:r>
        <w:t>Use an encrypted local database on approved devices. Create and view permitted records offline; store every offline action in a local journal.</w:t>
      </w:r>
    </w:p>
    <w:p>
      <w:r>
        <w:rPr>
          <w:b/>
        </w:rPr>
        <w:t xml:space="preserve">Delta synchronization: </w:t>
      </w:r>
      <w:r>
        <w:t>Synchronize only changed data and attachments when connectivity is restored; resume safely after interruptions.</w:t>
      </w:r>
    </w:p>
    <w:p>
      <w:r>
        <w:rPr>
          <w:b/>
        </w:rPr>
        <w:t xml:space="preserve">Conflict strategy: </w:t>
      </w:r>
      <w:r>
        <w:t>Auto-merge low-risk collaborative text where appropriate; require supervisor resolution for legal-critical fields such as dates, charges, identities, approvals, and custody events.</w:t>
      </w:r>
    </w:p>
    <w:p>
      <w:r>
        <w:rPr>
          <w:b/>
        </w:rPr>
        <w:t xml:space="preserve">Local signed journal: </w:t>
      </w:r>
      <w:r>
        <w:t>Hash-chain local events and synchronize them to the central audit service. Preserve original device timestamps and synchronization timestamps.</w:t>
      </w:r>
    </w:p>
    <w:p>
      <w:r>
        <w:rPr>
          <w:b/>
        </w:rPr>
        <w:t xml:space="preserve">User feedback: </w:t>
      </w:r>
      <w:r>
        <w:t>Show explicit status: offline, queued, synced, failed, or conflict. Never silently discard local work.</w:t>
      </w:r>
    </w:p>
    <w:p>
      <w:pPr>
        <w:pStyle w:val="Heading3"/>
      </w:pPr>
      <w:r>
        <w:t>What makes this different</w:t>
      </w:r>
    </w:p>
    <w:p>
      <w:r>
        <w:t>The design treats intermittent connectivity as normal operating conditions and preserves auditability while offline, instead of treating offline capability as an optional feature.</w:t>
      </w:r>
    </w:p>
    <w:p>
      <w:r>
        <w:rPr>
          <w:b/>
        </w:rPr>
        <w:t xml:space="preserve">Priority: </w:t>
      </w:r>
      <w:r>
        <w:t>High</w:t>
      </w:r>
      <w:r>
        <w:rPr>
          <w:b/>
        </w:rPr>
        <w:t xml:space="preserve"> | Proposed modules: </w:t>
      </w:r>
      <w:r>
        <w:t>Offline Client, Sync Engine, Conflict Resolver, Local Audit Journal</w:t>
      </w:r>
    </w:p>
    <w:p>
      <w:pPr>
        <w:pStyle w:val="Heading2"/>
      </w:pPr>
      <w:r>
        <w:t>Flaw 8: No intelligent relationship discovery across cases and documents</w:t>
      </w:r>
    </w:p>
    <w:p>
      <w:r>
        <w:rPr>
          <w:b/>
        </w:rPr>
        <w:t xml:space="preserve">Problem statement. </w:t>
      </w:r>
      <w:r>
        <w:t>Traditional DMS designs organize files by folders, case numbers, or document types. They rarely connect repeated names, aliases, phones, vehicles, locations, evidence identifiers, and patterns across cases.</w:t>
      </w:r>
    </w:p>
    <w:p>
      <w:pPr>
        <w:pStyle w:val="Heading3"/>
      </w:pPr>
      <w:r>
        <w:t>Why it matters</w:t>
      </w:r>
    </w:p>
    <w:p>
      <w:pPr>
        <w:pStyle w:val="ListBullet"/>
      </w:pPr>
      <w:r>
        <w:t>Investigators may miss links between related incidents.</w:t>
      </w:r>
    </w:p>
    <w:p>
      <w:pPr>
        <w:pStyle w:val="ListBullet"/>
      </w:pPr>
      <w:r>
        <w:t>Search depends on exact spelling and manual knowledge.</w:t>
      </w:r>
    </w:p>
    <w:p>
      <w:pPr>
        <w:pStyle w:val="ListBullet"/>
      </w:pPr>
      <w:r>
        <w:t>Cross-case intelligence and organized-crime analysis become slow.</w:t>
      </w:r>
    </w:p>
    <w:p>
      <w:pPr>
        <w:pStyle w:val="Heading3"/>
      </w:pPr>
      <w:r>
        <w:t>Efficient solution design</w:t>
      </w:r>
    </w:p>
    <w:p>
      <w:r>
        <w:rPr>
          <w:b/>
        </w:rPr>
        <w:t xml:space="preserve">Entity extraction: </w:t>
      </w:r>
      <w:r>
        <w:t>Use OCR and multilingual NLP to extract names, aliases, phone numbers, vehicle registration numbers, addresses, locations, dates, legal sections, and evidence references.</w:t>
      </w:r>
    </w:p>
    <w:p>
      <w:r>
        <w:rPr>
          <w:b/>
        </w:rPr>
        <w:t xml:space="preserve">Knowledge graph: </w:t>
      </w:r>
      <w:r>
        <w:t>Represent cases, documents, people, devices, vehicles, locations, and events as nodes; represent relationships such as “accused in”, “witness in”, “seized in”, and “mentioned in” as edges.</w:t>
      </w:r>
    </w:p>
    <w:p>
      <w:r>
        <w:rPr>
          <w:b/>
        </w:rPr>
        <w:t xml:space="preserve">Confidence and review: </w:t>
      </w:r>
      <w:r>
        <w:t>AI suggestions remain suggestions. Display source documents, confidence score, and a reviewer action to accept, reject, or mark uncertain.</w:t>
      </w:r>
    </w:p>
    <w:p>
      <w:r>
        <w:rPr>
          <w:b/>
        </w:rPr>
        <w:t xml:space="preserve">Privacy-aware graph: </w:t>
      </w:r>
      <w:r>
        <w:t>Graph results must respect the source document’s access rules; unauthorized users cannot infer hidden persons or sensitive relationships.</w:t>
      </w:r>
    </w:p>
    <w:p>
      <w:r>
        <w:rPr>
          <w:b/>
        </w:rPr>
        <w:t xml:space="preserve">Explainable search: </w:t>
      </w:r>
      <w:r>
        <w:t>For every suggested link, show why it was suggested—for example, identical phone number, similar address, or shared vehicle.</w:t>
      </w:r>
    </w:p>
    <w:p>
      <w:pPr>
        <w:pStyle w:val="Heading3"/>
      </w:pPr>
      <w:r>
        <w:t>What makes this different</w:t>
      </w:r>
    </w:p>
    <w:p>
      <w:r>
        <w:t>The “Document Genome” turns a document repository into an explainable investigative relationship map while retaining human review and access control.</w:t>
      </w:r>
    </w:p>
    <w:p>
      <w:r>
        <w:rPr>
          <w:b/>
        </w:rPr>
        <w:t xml:space="preserve">Priority: </w:t>
      </w:r>
      <w:r>
        <w:t>High</w:t>
      </w:r>
      <w:r>
        <w:rPr>
          <w:b/>
        </w:rPr>
        <w:t xml:space="preserve"> | Proposed modules: </w:t>
      </w:r>
      <w:r>
        <w:t>OCR/NLP Pipeline, Entity Service, Graph Database, Explainable Search, Review Queue</w:t>
      </w:r>
    </w:p>
    <w:p>
      <w:pPr>
        <w:pStyle w:val="Heading2"/>
      </w:pPr>
      <w:r>
        <w:t>Flaw 9: Weak connection between physical evidence and digital records</w:t>
      </w:r>
    </w:p>
    <w:p>
      <w:r>
        <w:rPr>
          <w:b/>
        </w:rPr>
        <w:t xml:space="preserve">Problem statement. </w:t>
      </w:r>
      <w:r>
        <w:t>Physical items in malkhana may be tracked in separate registers or systems, while photos, forensic reports, and case documents live elsewhere. The digital record may not reflect an item’s current location or custody state.</w:t>
      </w:r>
    </w:p>
    <w:p>
      <w:pPr>
        <w:pStyle w:val="Heading3"/>
      </w:pPr>
      <w:r>
        <w:t>Why it matters</w:t>
      </w:r>
    </w:p>
    <w:p>
      <w:pPr>
        <w:pStyle w:val="ListBullet"/>
      </w:pPr>
      <w:r>
        <w:t>Lost or delayed evidence can weaken cases.</w:t>
      </w:r>
    </w:p>
    <w:p>
      <w:pPr>
        <w:pStyle w:val="ListBullet"/>
      </w:pPr>
      <w:r>
        <w:t>Custody-chain gaps create opportunities for challenge or tampering allegations.</w:t>
      </w:r>
    </w:p>
    <w:p>
      <w:pPr>
        <w:pStyle w:val="ListBullet"/>
      </w:pPr>
      <w:r>
        <w:t>Manual reconciliation is costly and unreliable.</w:t>
      </w:r>
    </w:p>
    <w:p>
      <w:pPr>
        <w:pStyle w:val="Heading3"/>
      </w:pPr>
      <w:r>
        <w:t>Efficient solution design</w:t>
      </w:r>
    </w:p>
    <w:p>
      <w:r>
        <w:rPr>
          <w:b/>
        </w:rPr>
        <w:t xml:space="preserve">Evidence digital twin: </w:t>
      </w:r>
      <w:r>
        <w:t>Create one digital record for every seized item, with a unique evidence ID linked to Case ID, seizure memo, photos, condition report, and storage location.</w:t>
      </w:r>
    </w:p>
    <w:p>
      <w:r>
        <w:rPr>
          <w:b/>
        </w:rPr>
        <w:t xml:space="preserve">QR/RFID tagging: </w:t>
      </w:r>
      <w:r>
        <w:t>Attach a QR code or RFID tag to the physical item/container. Scans identify the item without exposing unnecessary sensitive details.</w:t>
      </w:r>
    </w:p>
    <w:p>
      <w:r>
        <w:rPr>
          <w:b/>
        </w:rPr>
        <w:t xml:space="preserve">Scan-based custody: </w:t>
      </w:r>
      <w:r>
        <w:t>Require scans and digital acknowledgment at intake, transfer, forensic dispatch/receipt, court movement, return, disposal, and release.</w:t>
      </w:r>
    </w:p>
    <w:p>
      <w:r>
        <w:rPr>
          <w:b/>
        </w:rPr>
        <w:t xml:space="preserve">Discrepancy alerts: </w:t>
      </w:r>
      <w:r>
        <w:t>Alert supervisors for overdue returns, missing handovers, scans from unexpected locations, custody breaks, and scheduled disposal/review dates.</w:t>
      </w:r>
    </w:p>
    <w:p>
      <w:r>
        <w:rPr>
          <w:b/>
        </w:rPr>
        <w:t xml:space="preserve">Inventory audit mode: </w:t>
      </w:r>
      <w:r>
        <w:t>Perform periodic physical scans and compare them to the digital inventory; produce a signed discrepancy report.</w:t>
      </w:r>
    </w:p>
    <w:p>
      <w:pPr>
        <w:pStyle w:val="Heading3"/>
      </w:pPr>
      <w:r>
        <w:t>What makes this different</w:t>
      </w:r>
    </w:p>
    <w:p>
      <w:r>
        <w:t>The key innovation is a true physical-digital twin: every physical movement is a verifiable event in the same case file and integrity ledger.</w:t>
      </w:r>
    </w:p>
    <w:p>
      <w:r>
        <w:rPr>
          <w:b/>
        </w:rPr>
        <w:t xml:space="preserve">Priority: </w:t>
      </w:r>
      <w:r>
        <w:t>High</w:t>
      </w:r>
      <w:r>
        <w:rPr>
          <w:b/>
        </w:rPr>
        <w:t xml:space="preserve"> | Proposed modules: </w:t>
      </w:r>
      <w:r>
        <w:t>Evidence Registry, QR/RFID Module, Custody Workflow, Inventory Audit, Alerting Service</w:t>
      </w:r>
    </w:p>
    <w:p>
      <w:pPr>
        <w:pStyle w:val="Heading2"/>
      </w:pPr>
      <w:r>
        <w:t>Flaw 10: Closed, inflexible architecture and weak interoperability governance</w:t>
      </w:r>
    </w:p>
    <w:p>
      <w:r>
        <w:rPr>
          <w:b/>
        </w:rPr>
        <w:t xml:space="preserve">Problem statement. </w:t>
      </w:r>
      <w:r>
        <w:t>Monolithic systems are difficult to extend, integrate, or adapt for state-level language and workflow needs. Custom changes often produce separate versions that are expensive to maintain.</w:t>
      </w:r>
    </w:p>
    <w:p>
      <w:pPr>
        <w:pStyle w:val="Heading3"/>
      </w:pPr>
      <w:r>
        <w:t>Why it matters</w:t>
      </w:r>
    </w:p>
    <w:p>
      <w:pPr>
        <w:pStyle w:val="ListBullet"/>
      </w:pPr>
      <w:r>
        <w:t>Integration takes too long and causes manual workarounds.</w:t>
      </w:r>
    </w:p>
    <w:p>
      <w:pPr>
        <w:pStyle w:val="ListBullet"/>
      </w:pPr>
      <w:r>
        <w:t>New forensic tools, AI models, or court workflows cannot be adopted quickly.</w:t>
      </w:r>
    </w:p>
    <w:p>
      <w:pPr>
        <w:pStyle w:val="ListBullet"/>
      </w:pPr>
      <w:r>
        <w:t>Vendor lock-in and fragmented state implementations increase cost.</w:t>
      </w:r>
    </w:p>
    <w:p>
      <w:pPr>
        <w:pStyle w:val="Heading3"/>
      </w:pPr>
      <w:r>
        <w:t>Efficient solution design</w:t>
      </w:r>
    </w:p>
    <w:p>
      <w:r>
        <w:rPr>
          <w:b/>
        </w:rPr>
        <w:t xml:space="preserve">API-first architecture: </w:t>
      </w:r>
      <w:r>
        <w:t>Provide documented, versioned REST/GraphQL APIs for document metadata, secure retrieval, search, audit events, redaction views, evidence custody, and integrity verification.</w:t>
      </w:r>
    </w:p>
    <w:p>
      <w:r>
        <w:rPr>
          <w:b/>
        </w:rPr>
        <w:t xml:space="preserve">Standards and schemas: </w:t>
      </w:r>
      <w:r>
        <w:t>Publish canonical metadata schemas, controlled vocabularies, event formats, and error codes; use adapters for legacy systems.</w:t>
      </w:r>
    </w:p>
    <w:p>
      <w:r>
        <w:rPr>
          <w:b/>
        </w:rPr>
        <w:t xml:space="preserve">Plugin/extension model: </w:t>
      </w:r>
      <w:r>
        <w:t>Allow approved modules for OCR, language packs, forensic viewers, dashboards, or state-specific forms without modifying core services.</w:t>
      </w:r>
    </w:p>
    <w:p>
      <w:r>
        <w:rPr>
          <w:b/>
        </w:rPr>
        <w:t xml:space="preserve">Sandbox with synthetic data: </w:t>
      </w:r>
      <w:r>
        <w:t>Offer a non-production environment for authorized teams to test integrations without exposing sensitive records.</w:t>
      </w:r>
    </w:p>
    <w:p>
      <w:r>
        <w:rPr>
          <w:b/>
        </w:rPr>
        <w:t xml:space="preserve">Interoperability governance: </w:t>
      </w:r>
      <w:r>
        <w:t>Set ownership for API approvals, versioning, security reviews, deprecation timelines, and data-sharing agreements.</w:t>
      </w:r>
    </w:p>
    <w:p>
      <w:pPr>
        <w:pStyle w:val="Heading3"/>
      </w:pPr>
      <w:r>
        <w:t>What makes this different</w:t>
      </w:r>
    </w:p>
    <w:p>
      <w:r>
        <w:t>It makes the DMS a controlled platform: adaptable enough for future systems, but governed enough to avoid unverified third-party access to sensitive criminal-justice data.</w:t>
      </w:r>
    </w:p>
    <w:p>
      <w:r>
        <w:rPr>
          <w:b/>
        </w:rPr>
        <w:t xml:space="preserve">Priority: </w:t>
      </w:r>
      <w:r>
        <w:t>Medium to High</w:t>
      </w:r>
      <w:r>
        <w:rPr>
          <w:b/>
        </w:rPr>
        <w:t xml:space="preserve"> | Proposed modules: </w:t>
      </w:r>
      <w:r>
        <w:t>API Gateway, Developer Portal, Schema Registry, Adapter Framework, Sandbox</w:t>
      </w:r>
    </w:p>
    <w:p>
      <w:pPr>
        <w:pStyle w:val="Heading1"/>
      </w:pPr>
      <w:r>
        <w:t>Unique Person ID (UPI) design</w:t>
      </w:r>
    </w:p>
    <w:p>
      <w:r>
        <w:t>A Unique Person ID is a system-generated, persistent identifier used to link a person’s records across authorized criminal-justice workflows. It should not be treated as a public identity number or a substitute for Aadhaar. The design must preserve privacy, uncertainty, role separation, lawful access, and a clear correction process.</w:t>
      </w:r>
    </w:p>
    <w:p>
      <w:pPr>
        <w:pStyle w:val="Heading2"/>
      </w:pPr>
      <w:r>
        <w:t>Stakeholders in the UPI lifecycle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Stakeholder</w:t>
            </w:r>
          </w:p>
        </w:tc>
        <w:tc>
          <w:tcPr>
            <w:tcW w:type="dxa" w:w="2520"/>
            <w:vAlign w:val="top"/>
            <w:shd w:fill="D9EAF7"/>
          </w:tcPr>
          <w:p>
            <w:r/>
            <w:r>
              <w:rPr>
                <w:b/>
                <w:sz w:val="18"/>
              </w:rPr>
              <w:t>UPI responsibility</w:t>
            </w:r>
          </w:p>
        </w:tc>
        <w:tc>
          <w:tcPr>
            <w:tcW w:type="dxa" w:w="2520"/>
            <w:vAlign w:val="top"/>
            <w:shd w:fill="D9EAF7"/>
          </w:tcPr>
          <w:p>
            <w:r/>
            <w:r>
              <w:rPr>
                <w:b/>
                <w:sz w:val="18"/>
              </w:rPr>
              <w:t>What they gain</w:t>
            </w:r>
          </w:p>
        </w:tc>
        <w:tc>
          <w:tcPr>
            <w:tcW w:type="dxa" w:w="2520"/>
            <w:vAlign w:val="top"/>
            <w:shd w:fill="D9EAF7"/>
          </w:tcPr>
          <w:p>
            <w:r/>
            <w:r>
              <w:rPr>
                <w:b/>
                <w:sz w:val="18"/>
              </w:rPr>
              <w:t>Key control</w:t>
            </w:r>
          </w:p>
        </w:tc>
      </w:tr>
      <w:tr>
        <w:tc>
          <w:tcPr>
            <w:tcW w:type="dxa" w:w="2520"/>
            <w:vAlign w:val="top"/>
          </w:tcPr>
          <w:p>
            <w:r/>
            <w:r>
              <w:rPr>
                <w:b w:val="0"/>
                <w:sz w:val="18"/>
              </w:rPr>
              <w:t>Investigating Officer / police station staff</w:t>
            </w:r>
          </w:p>
        </w:tc>
        <w:tc>
          <w:tcPr>
            <w:tcW w:type="dxa" w:w="2520"/>
            <w:vAlign w:val="top"/>
          </w:tcPr>
          <w:p>
            <w:r/>
            <w:r>
              <w:rPr>
                <w:b w:val="0"/>
                <w:sz w:val="18"/>
              </w:rPr>
              <w:t>Capture person data, search possible matches, link/create record with reason</w:t>
            </w:r>
          </w:p>
        </w:tc>
        <w:tc>
          <w:tcPr>
            <w:tcW w:type="dxa" w:w="2520"/>
            <w:vAlign w:val="top"/>
          </w:tcPr>
          <w:p>
            <w:r/>
            <w:r>
              <w:rPr>
                <w:b w:val="0"/>
                <w:sz w:val="18"/>
              </w:rPr>
              <w:t>Faster identification and fewer duplicate case records</w:t>
            </w:r>
          </w:p>
        </w:tc>
        <w:tc>
          <w:tcPr>
            <w:tcW w:type="dxa" w:w="2520"/>
            <w:vAlign w:val="top"/>
          </w:tcPr>
          <w:p>
            <w:r/>
            <w:r>
              <w:rPr>
                <w:b w:val="0"/>
                <w:sz w:val="18"/>
              </w:rPr>
              <w:t>Cannot force a merge without recorded justification</w:t>
            </w:r>
          </w:p>
        </w:tc>
      </w:tr>
      <w:tr>
        <w:tc>
          <w:tcPr>
            <w:tcW w:type="dxa" w:w="2520"/>
            <w:vAlign w:val="top"/>
          </w:tcPr>
          <w:p>
            <w:r/>
            <w:r>
              <w:rPr>
                <w:b w:val="0"/>
                <w:sz w:val="18"/>
              </w:rPr>
              <w:t>Police HQ / State IT cell</w:t>
            </w:r>
          </w:p>
        </w:tc>
        <w:tc>
          <w:tcPr>
            <w:tcW w:type="dxa" w:w="2520"/>
            <w:vAlign w:val="top"/>
          </w:tcPr>
          <w:p>
            <w:r/>
            <w:r>
              <w:rPr>
                <w:b w:val="0"/>
                <w:sz w:val="18"/>
              </w:rPr>
              <w:t>Operate quality monitoring and approve exception workflows</w:t>
            </w:r>
          </w:p>
        </w:tc>
        <w:tc>
          <w:tcPr>
            <w:tcW w:type="dxa" w:w="2520"/>
            <w:vAlign w:val="top"/>
          </w:tcPr>
          <w:p>
            <w:r/>
            <w:r>
              <w:rPr>
                <w:b w:val="0"/>
                <w:sz w:val="18"/>
              </w:rPr>
              <w:t>Cleaner state-wide records and operational dashboards</w:t>
            </w:r>
          </w:p>
        </w:tc>
        <w:tc>
          <w:tcPr>
            <w:tcW w:type="dxa" w:w="2520"/>
            <w:vAlign w:val="top"/>
          </w:tcPr>
          <w:p>
            <w:r/>
            <w:r>
              <w:rPr>
                <w:b w:val="0"/>
                <w:sz w:val="18"/>
              </w:rPr>
              <w:t>Periodic duplicate/error review</w:t>
            </w:r>
          </w:p>
        </w:tc>
      </w:tr>
      <w:tr>
        <w:tc>
          <w:tcPr>
            <w:tcW w:type="dxa" w:w="2520"/>
            <w:vAlign w:val="top"/>
          </w:tcPr>
          <w:p>
            <w:r/>
            <w:r>
              <w:rPr>
                <w:b w:val="0"/>
                <w:sz w:val="18"/>
              </w:rPr>
              <w:t>NCRB / MHA / ICJS governance</w:t>
            </w:r>
          </w:p>
        </w:tc>
        <w:tc>
          <w:tcPr>
            <w:tcW w:type="dxa" w:w="2520"/>
            <w:vAlign w:val="top"/>
          </w:tcPr>
          <w:p>
            <w:r/>
            <w:r>
              <w:rPr>
                <w:b w:val="0"/>
                <w:sz w:val="18"/>
              </w:rPr>
              <w:t>Define interoperability standard and national governance</w:t>
            </w:r>
          </w:p>
        </w:tc>
        <w:tc>
          <w:tcPr>
            <w:tcW w:type="dxa" w:w="2520"/>
            <w:vAlign w:val="top"/>
          </w:tcPr>
          <w:p>
            <w:r/>
            <w:r>
              <w:rPr>
                <w:b w:val="0"/>
                <w:sz w:val="18"/>
              </w:rPr>
              <w:t>Cross-system linkability for authorized justice workflows</w:t>
            </w:r>
          </w:p>
        </w:tc>
        <w:tc>
          <w:tcPr>
            <w:tcW w:type="dxa" w:w="2520"/>
            <w:vAlign w:val="top"/>
          </w:tcPr>
          <w:p>
            <w:r/>
            <w:r>
              <w:rPr>
                <w:b w:val="0"/>
                <w:sz w:val="18"/>
              </w:rPr>
              <w:t>National policies, audit, standard APIs</w:t>
            </w:r>
          </w:p>
        </w:tc>
      </w:tr>
      <w:tr>
        <w:tc>
          <w:tcPr>
            <w:tcW w:type="dxa" w:w="2520"/>
            <w:vAlign w:val="top"/>
          </w:tcPr>
          <w:p>
            <w:r/>
            <w:r>
              <w:rPr>
                <w:b w:val="0"/>
                <w:sz w:val="18"/>
              </w:rPr>
              <w:t>Prosecution</w:t>
            </w:r>
          </w:p>
        </w:tc>
        <w:tc>
          <w:tcPr>
            <w:tcW w:type="dxa" w:w="2520"/>
            <w:vAlign w:val="top"/>
          </w:tcPr>
          <w:p>
            <w:r/>
            <w:r>
              <w:rPr>
                <w:b w:val="0"/>
                <w:sz w:val="18"/>
              </w:rPr>
              <w:t>Use UPI-linked history and documents in case preparation</w:t>
            </w:r>
          </w:p>
        </w:tc>
        <w:tc>
          <w:tcPr>
            <w:tcW w:type="dxa" w:w="2520"/>
            <w:vAlign w:val="top"/>
          </w:tcPr>
          <w:p>
            <w:r/>
            <w:r>
              <w:rPr>
                <w:b w:val="0"/>
                <w:sz w:val="18"/>
              </w:rPr>
              <w:t>Better case continuity and fewer name/identity errors</w:t>
            </w:r>
          </w:p>
        </w:tc>
        <w:tc>
          <w:tcPr>
            <w:tcW w:type="dxa" w:w="2520"/>
            <w:vAlign w:val="top"/>
          </w:tcPr>
          <w:p>
            <w:r/>
            <w:r>
              <w:rPr>
                <w:b w:val="0"/>
                <w:sz w:val="18"/>
              </w:rPr>
              <w:t>Purpose-limited access</w:t>
            </w:r>
          </w:p>
        </w:tc>
      </w:tr>
      <w:tr>
        <w:tc>
          <w:tcPr>
            <w:tcW w:type="dxa" w:w="2520"/>
            <w:vAlign w:val="top"/>
          </w:tcPr>
          <w:p>
            <w:r/>
            <w:r>
              <w:rPr>
                <w:b w:val="0"/>
                <w:sz w:val="18"/>
              </w:rPr>
              <w:t>Courts / registry</w:t>
            </w:r>
          </w:p>
        </w:tc>
        <w:tc>
          <w:tcPr>
            <w:tcW w:type="dxa" w:w="2520"/>
            <w:vAlign w:val="top"/>
          </w:tcPr>
          <w:p>
            <w:r/>
            <w:r>
              <w:rPr>
                <w:b w:val="0"/>
                <w:sz w:val="18"/>
              </w:rPr>
              <w:t>Link court case metadata to authorized person reference</w:t>
            </w:r>
          </w:p>
        </w:tc>
        <w:tc>
          <w:tcPr>
            <w:tcW w:type="dxa" w:w="2520"/>
            <w:vAlign w:val="top"/>
          </w:tcPr>
          <w:p>
            <w:r/>
            <w:r>
              <w:rPr>
                <w:b w:val="0"/>
                <w:sz w:val="18"/>
              </w:rPr>
              <w:t>Accurate case history and fewer mistaken-identity issues</w:t>
            </w:r>
          </w:p>
        </w:tc>
        <w:tc>
          <w:tcPr>
            <w:tcW w:type="dxa" w:w="2520"/>
            <w:vAlign w:val="top"/>
          </w:tcPr>
          <w:p>
            <w:r/>
            <w:r>
              <w:rPr>
                <w:b w:val="0"/>
                <w:sz w:val="18"/>
              </w:rPr>
              <w:t>Court-controlled visibility and redaction</w:t>
            </w:r>
          </w:p>
        </w:tc>
      </w:tr>
      <w:tr>
        <w:tc>
          <w:tcPr>
            <w:tcW w:type="dxa" w:w="2520"/>
            <w:vAlign w:val="top"/>
          </w:tcPr>
          <w:p>
            <w:r/>
            <w:r>
              <w:rPr>
                <w:b w:val="0"/>
                <w:sz w:val="18"/>
              </w:rPr>
              <w:t>Prisons / probation / parole</w:t>
            </w:r>
          </w:p>
        </w:tc>
        <w:tc>
          <w:tcPr>
            <w:tcW w:type="dxa" w:w="2520"/>
            <w:vAlign w:val="top"/>
          </w:tcPr>
          <w:p>
            <w:r/>
            <w:r>
              <w:rPr>
                <w:b w:val="0"/>
                <w:sz w:val="18"/>
              </w:rPr>
              <w:t>Map inmate and supervision records to UPI</w:t>
            </w:r>
          </w:p>
        </w:tc>
        <w:tc>
          <w:tcPr>
            <w:tcW w:type="dxa" w:w="2520"/>
            <w:vAlign w:val="top"/>
          </w:tcPr>
          <w:p>
            <w:r/>
            <w:r>
              <w:rPr>
                <w:b w:val="0"/>
                <w:sz w:val="18"/>
              </w:rPr>
              <w:t>Reliable transfer/release and recidivism tracking</w:t>
            </w:r>
          </w:p>
        </w:tc>
        <w:tc>
          <w:tcPr>
            <w:tcW w:type="dxa" w:w="2520"/>
            <w:vAlign w:val="top"/>
          </w:tcPr>
          <w:p>
            <w:r/>
            <w:r>
              <w:rPr>
                <w:b w:val="0"/>
                <w:sz w:val="18"/>
              </w:rPr>
              <w:t>Separate prison permissions</w:t>
            </w:r>
          </w:p>
        </w:tc>
      </w:tr>
      <w:tr>
        <w:tc>
          <w:tcPr>
            <w:tcW w:type="dxa" w:w="2520"/>
            <w:vAlign w:val="top"/>
          </w:tcPr>
          <w:p>
            <w:r/>
            <w:r>
              <w:rPr>
                <w:b w:val="0"/>
                <w:sz w:val="18"/>
              </w:rPr>
              <w:t>Forensic laboratories / NAFIS integration</w:t>
            </w:r>
          </w:p>
        </w:tc>
        <w:tc>
          <w:tcPr>
            <w:tcW w:type="dxa" w:w="2520"/>
            <w:vAlign w:val="top"/>
          </w:tcPr>
          <w:p>
            <w:r/>
            <w:r>
              <w:rPr>
                <w:b w:val="0"/>
                <w:sz w:val="18"/>
              </w:rPr>
              <w:t>Link fingerprint or forensic reference where lawfully permitted</w:t>
            </w:r>
          </w:p>
        </w:tc>
        <w:tc>
          <w:tcPr>
            <w:tcW w:type="dxa" w:w="2520"/>
            <w:vAlign w:val="top"/>
          </w:tcPr>
          <w:p>
            <w:r/>
            <w:r>
              <w:rPr>
                <w:b w:val="0"/>
                <w:sz w:val="18"/>
              </w:rPr>
              <w:t>Reliable cross-case forensic correlation</w:t>
            </w:r>
          </w:p>
        </w:tc>
        <w:tc>
          <w:tcPr>
            <w:tcW w:type="dxa" w:w="2520"/>
            <w:vAlign w:val="top"/>
          </w:tcPr>
          <w:p>
            <w:r/>
            <w:r>
              <w:rPr>
                <w:b w:val="0"/>
                <w:sz w:val="18"/>
              </w:rPr>
              <w:t>No unrestricted biometric exposure</w:t>
            </w:r>
          </w:p>
        </w:tc>
      </w:tr>
      <w:tr>
        <w:tc>
          <w:tcPr>
            <w:tcW w:type="dxa" w:w="2520"/>
            <w:vAlign w:val="top"/>
          </w:tcPr>
          <w:p>
            <w:r/>
            <w:r>
              <w:rPr>
                <w:b w:val="0"/>
                <w:sz w:val="18"/>
              </w:rPr>
              <w:t>Victims, witnesses, accused, juveniles</w:t>
            </w:r>
          </w:p>
        </w:tc>
        <w:tc>
          <w:tcPr>
            <w:tcW w:type="dxa" w:w="2520"/>
            <w:vAlign w:val="top"/>
          </w:tcPr>
          <w:p>
            <w:r/>
            <w:r>
              <w:rPr>
                <w:b w:val="0"/>
                <w:sz w:val="18"/>
              </w:rPr>
              <w:t>Data subjects whose records are referenced</w:t>
            </w:r>
          </w:p>
        </w:tc>
        <w:tc>
          <w:tcPr>
            <w:tcW w:type="dxa" w:w="2520"/>
            <w:vAlign w:val="top"/>
          </w:tcPr>
          <w:p>
            <w:r/>
            <w:r>
              <w:rPr>
                <w:b w:val="0"/>
                <w:sz w:val="18"/>
              </w:rPr>
              <w:t>Reduced mistaken identity when corrections work</w:t>
            </w:r>
          </w:p>
        </w:tc>
        <w:tc>
          <w:tcPr>
            <w:tcW w:type="dxa" w:w="2520"/>
            <w:vAlign w:val="top"/>
          </w:tcPr>
          <w:p>
            <w:r/>
            <w:r>
              <w:rPr>
                <w:b w:val="0"/>
                <w:sz w:val="18"/>
              </w:rPr>
              <w:t>Privacy, correction, and special protection policies</w:t>
            </w:r>
          </w:p>
        </w:tc>
      </w:tr>
      <w:tr>
        <w:tc>
          <w:tcPr>
            <w:tcW w:type="dxa" w:w="2520"/>
            <w:vAlign w:val="top"/>
          </w:tcPr>
          <w:p>
            <w:r/>
            <w:r>
              <w:rPr>
                <w:b w:val="0"/>
                <w:sz w:val="18"/>
              </w:rPr>
              <w:t>Auditors / privacy and human-rights oversight</w:t>
            </w:r>
          </w:p>
        </w:tc>
        <w:tc>
          <w:tcPr>
            <w:tcW w:type="dxa" w:w="2520"/>
            <w:vAlign w:val="top"/>
          </w:tcPr>
          <w:p>
            <w:r/>
            <w:r>
              <w:rPr>
                <w:b w:val="0"/>
                <w:sz w:val="18"/>
              </w:rPr>
              <w:t>Review access, merges, and misuse indicators</w:t>
            </w:r>
          </w:p>
        </w:tc>
        <w:tc>
          <w:tcPr>
            <w:tcW w:type="dxa" w:w="2520"/>
            <w:vAlign w:val="top"/>
          </w:tcPr>
          <w:p>
            <w:r/>
            <w:r>
              <w:rPr>
                <w:b w:val="0"/>
                <w:sz w:val="18"/>
              </w:rPr>
              <w:t>Accountability and lawful data use</w:t>
            </w:r>
          </w:p>
        </w:tc>
        <w:tc>
          <w:tcPr>
            <w:tcW w:type="dxa" w:w="2520"/>
            <w:vAlign w:val="top"/>
          </w:tcPr>
          <w:p>
            <w:r/>
            <w:r>
              <w:rPr>
                <w:b w:val="0"/>
                <w:sz w:val="18"/>
              </w:rPr>
              <w:t>Independent reports and access audits</w:t>
            </w:r>
          </w:p>
        </w:tc>
      </w:tr>
    </w:tbl>
    <w:p>
      <w:pPr>
        <w:pStyle w:val="Heading2"/>
      </w:pPr>
      <w:r>
        <w:t>How UPI works</w:t>
      </w:r>
    </w:p>
    <w:p>
      <w:pPr>
        <w:pStyle w:val="ListNumber"/>
      </w:pPr>
      <w:r>
        <w:t>A user enters structured details for a person in the context of a case and marks the person’s role (accused, victim, witness, complainant, etc.).</w:t>
      </w:r>
    </w:p>
    <w:p>
      <w:pPr>
        <w:pStyle w:val="ListNumber"/>
      </w:pPr>
      <w:r>
        <w:t>The Entity Resolution Service searches the Person Registry and returns possible matches with confidence and reasons for the match.</w:t>
      </w:r>
    </w:p>
    <w:p>
      <w:pPr>
        <w:pStyle w:val="ListNumber"/>
      </w:pPr>
      <w:r>
        <w:t>The user links an existing person when appropriate; otherwise, the system creates a new UPI and records the decision, creator, source, and confidence information.</w:t>
      </w:r>
    </w:p>
    <w:p>
      <w:pPr>
        <w:pStyle w:val="ListNumber"/>
      </w:pPr>
      <w:r>
        <w:t>Every authorized case document references the UPI plus the person’s role in that case. The UPI is not necessarily displayed in public-facing views.</w:t>
      </w:r>
    </w:p>
    <w:p>
      <w:pPr>
        <w:pStyle w:val="ListNumber"/>
      </w:pPr>
      <w:r>
        <w:t>Legacy/local identifiers are retained in a mapping table. They are never silently overwritten; merge/split decisions remain auditable.</w:t>
      </w:r>
    </w:p>
    <w:p>
      <w:pPr>
        <w:pStyle w:val="ListNumber"/>
      </w:pPr>
      <w:r>
        <w:t>If a wrong merge is found, a governed correction process splits the records, updates relationships, preserves history, and notifies affected workflows.</w:t>
      </w:r>
    </w:p>
    <w:p>
      <w:pPr>
        <w:pStyle w:val="Heading2"/>
      </w:pPr>
      <w:r>
        <w:t>What makes the UPI design different</w:t>
      </w:r>
    </w:p>
    <w:p>
      <w:pPr>
        <w:pStyle w:val="ListBullet"/>
      </w:pPr>
      <w:r>
        <w:t>It is broader than a fingerprint-only identifier: it can link authorized records for accused, victims, witnesses, complainants, and other roles while applying different privacy rules.</w:t>
      </w:r>
    </w:p>
    <w:p>
      <w:pPr>
        <w:pStyle w:val="ListBullet"/>
      </w:pPr>
      <w:r>
        <w:t>It is not a simple unique-number generator: entity resolution, match confidence, human confirmation, merge/split controls, and legacy mappings are integral.</w:t>
      </w:r>
    </w:p>
    <w:p>
      <w:pPr>
        <w:pStyle w:val="ListBullet"/>
      </w:pPr>
      <w:r>
        <w:t>It is cross-system by design: the same reference can be mapped to police, prosecution, court, prison, and forensic records through ICJS-compatible interfaces.</w:t>
      </w:r>
    </w:p>
    <w:p>
      <w:pPr>
        <w:pStyle w:val="ListBullet"/>
      </w:pPr>
      <w:r>
        <w:t>It is privacy-aware: identity profiles are separated from case-role information; access is purpose- and sensitivity-based, especially for victims and juveniles.</w:t>
      </w:r>
    </w:p>
    <w:p>
      <w:pPr>
        <w:pStyle w:val="ListBullet"/>
      </w:pPr>
      <w:r>
        <w:t>It preserves provenance: every match, merge, correction, lookup, and cross-agency share is auditable.</w:t>
      </w:r>
    </w:p>
    <w:p>
      <w:pPr>
        <w:pStyle w:val="Heading2"/>
      </w:pPr>
      <w:r>
        <w:t>UPI technical blueprint</w:t>
      </w:r>
    </w:p>
    <w:p>
      <w:pPr>
        <w:pStyle w:val="ListBullet"/>
      </w:pPr>
      <w:r>
        <w:t>Central/State Person Registry: stores UPI, minimum demographic profile, aliases, status, confidence flags, and legacy ID mappings.</w:t>
      </w:r>
    </w:p>
    <w:p>
      <w:pPr>
        <w:pStyle w:val="ListBullet"/>
      </w:pPr>
      <w:r>
        <w:t>Entity Resolution Service: candidate retrieval, fuzzy/phonetic comparison, scoring, rules, reviewer workflow, and false-match prevention.</w:t>
      </w:r>
    </w:p>
    <w:p>
      <w:pPr>
        <w:pStyle w:val="ListBullet"/>
      </w:pPr>
      <w:r>
        <w:t>UPI Generation Service: generates non-meaningful opaque identifiers; do not encode sensitive personal information in the ID.</w:t>
      </w:r>
    </w:p>
    <w:p>
      <w:pPr>
        <w:pStyle w:val="ListBullet"/>
      </w:pPr>
      <w:r>
        <w:t>Consent/legal-basis and purpose logs: record authorized use basis, role, requesting system, and access scope where required by policy.</w:t>
      </w:r>
    </w:p>
    <w:p>
      <w:pPr>
        <w:pStyle w:val="ListBullet"/>
      </w:pPr>
      <w:r>
        <w:t>Integration adapters: map UPI to local IDs in CCTNS, e-Courts, e-Prisons, e-Forensics, and fingerprint/forensic reference systems.</w:t>
      </w:r>
    </w:p>
    <w:p>
      <w:pPr>
        <w:pStyle w:val="ListBullet"/>
      </w:pPr>
      <w:r>
        <w:t>Correction and grievance workflow: supports a challenge, review, merge reversal, and documented decision trail.</w:t>
      </w:r>
    </w:p>
    <w:p>
      <w:pPr>
        <w:pStyle w:val="Heading1"/>
      </w:pPr>
      <w:r>
        <w:t>Recommended target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Layer</w:t>
            </w:r>
          </w:p>
        </w:tc>
        <w:tc>
          <w:tcPr>
            <w:tcW w:type="dxa" w:w="3360"/>
            <w:vAlign w:val="top"/>
            <w:shd w:fill="D9EAF7"/>
          </w:tcPr>
          <w:p>
            <w:r/>
            <w:r>
              <w:rPr>
                <w:b/>
                <w:sz w:val="18"/>
              </w:rPr>
              <w:t>Core components</w:t>
            </w:r>
          </w:p>
        </w:tc>
        <w:tc>
          <w:tcPr>
            <w:tcW w:type="dxa" w:w="3360"/>
            <w:vAlign w:val="top"/>
            <w:shd w:fill="D9EAF7"/>
          </w:tcPr>
          <w:p>
            <w:r/>
            <w:r>
              <w:rPr>
                <w:b/>
                <w:sz w:val="18"/>
              </w:rPr>
              <w:t>Primary purpose</w:t>
            </w:r>
          </w:p>
        </w:tc>
      </w:tr>
      <w:tr>
        <w:tc>
          <w:tcPr>
            <w:tcW w:type="dxa" w:w="3360"/>
            <w:vAlign w:val="top"/>
          </w:tcPr>
          <w:p>
            <w:r/>
            <w:r>
              <w:rPr>
                <w:b w:val="0"/>
                <w:sz w:val="18"/>
              </w:rPr>
              <w:t>User layer</w:t>
            </w:r>
          </w:p>
        </w:tc>
        <w:tc>
          <w:tcPr>
            <w:tcW w:type="dxa" w:w="3360"/>
            <w:vAlign w:val="top"/>
          </w:tcPr>
          <w:p>
            <w:r/>
            <w:r>
              <w:rPr>
                <w:b w:val="0"/>
                <w:sz w:val="18"/>
              </w:rPr>
              <w:t>Web portal, mobile/tablet field app, offline client, court/prosecution views</w:t>
            </w:r>
          </w:p>
        </w:tc>
        <w:tc>
          <w:tcPr>
            <w:tcW w:type="dxa" w:w="3360"/>
            <w:vAlign w:val="top"/>
          </w:tcPr>
          <w:p>
            <w:r/>
            <w:r>
              <w:rPr>
                <w:b w:val="0"/>
                <w:sz w:val="18"/>
              </w:rPr>
              <w:t>Role-specific workspaces and low-bandwidth access</w:t>
            </w:r>
          </w:p>
        </w:tc>
      </w:tr>
      <w:tr>
        <w:tc>
          <w:tcPr>
            <w:tcW w:type="dxa" w:w="3360"/>
            <w:vAlign w:val="top"/>
          </w:tcPr>
          <w:p>
            <w:r/>
            <w:r>
              <w:rPr>
                <w:b w:val="0"/>
                <w:sz w:val="18"/>
              </w:rPr>
              <w:t>Security layer</w:t>
            </w:r>
          </w:p>
        </w:tc>
        <w:tc>
          <w:tcPr>
            <w:tcW w:type="dxa" w:w="3360"/>
            <w:vAlign w:val="top"/>
          </w:tcPr>
          <w:p>
            <w:r/>
            <w:r>
              <w:rPr>
                <w:b w:val="0"/>
                <w:sz w:val="18"/>
              </w:rPr>
              <w:t>MFA, device management, RBAC/ABAC, secrets management, encryption, SIEM</w:t>
            </w:r>
          </w:p>
        </w:tc>
        <w:tc>
          <w:tcPr>
            <w:tcW w:type="dxa" w:w="3360"/>
            <w:vAlign w:val="top"/>
          </w:tcPr>
          <w:p>
            <w:r/>
            <w:r>
              <w:rPr>
                <w:b w:val="0"/>
                <w:sz w:val="18"/>
              </w:rPr>
              <w:t>Confidentiality, least privilege, security monitoring</w:t>
            </w:r>
          </w:p>
        </w:tc>
      </w:tr>
      <w:tr>
        <w:tc>
          <w:tcPr>
            <w:tcW w:type="dxa" w:w="3360"/>
            <w:vAlign w:val="top"/>
          </w:tcPr>
          <w:p>
            <w:r/>
            <w:r>
              <w:rPr>
                <w:b w:val="0"/>
                <w:sz w:val="18"/>
              </w:rPr>
              <w:t>Case &amp; document layer</w:t>
            </w:r>
          </w:p>
        </w:tc>
        <w:tc>
          <w:tcPr>
            <w:tcW w:type="dxa" w:w="3360"/>
            <w:vAlign w:val="top"/>
          </w:tcPr>
          <w:p>
            <w:r/>
            <w:r>
              <w:rPr>
                <w:b w:val="0"/>
                <w:sz w:val="18"/>
              </w:rPr>
              <w:t>Case registry, DMS, metadata catalog, OCR, search, document templates</w:t>
            </w:r>
          </w:p>
        </w:tc>
        <w:tc>
          <w:tcPr>
            <w:tcW w:type="dxa" w:w="3360"/>
            <w:vAlign w:val="top"/>
          </w:tcPr>
          <w:p>
            <w:r/>
            <w:r>
              <w:rPr>
                <w:b w:val="0"/>
                <w:sz w:val="18"/>
              </w:rPr>
              <w:t>Central case file and fast retrieval</w:t>
            </w:r>
          </w:p>
        </w:tc>
      </w:tr>
      <w:tr>
        <w:tc>
          <w:tcPr>
            <w:tcW w:type="dxa" w:w="3360"/>
            <w:vAlign w:val="top"/>
          </w:tcPr>
          <w:p>
            <w:r/>
            <w:r>
              <w:rPr>
                <w:b w:val="0"/>
                <w:sz w:val="18"/>
              </w:rPr>
              <w:t>Evidence &amp; integrity layer</w:t>
            </w:r>
          </w:p>
        </w:tc>
        <w:tc>
          <w:tcPr>
            <w:tcW w:type="dxa" w:w="3360"/>
            <w:vAlign w:val="top"/>
          </w:tcPr>
          <w:p>
            <w:r/>
            <w:r>
              <w:rPr>
                <w:b w:val="0"/>
                <w:sz w:val="18"/>
              </w:rPr>
              <w:t>Evidence registry, custody workflows, hashing, signatures, version ledger, certificate generator</w:t>
            </w:r>
          </w:p>
        </w:tc>
        <w:tc>
          <w:tcPr>
            <w:tcW w:type="dxa" w:w="3360"/>
            <w:vAlign w:val="top"/>
          </w:tcPr>
          <w:p>
            <w:r/>
            <w:r>
              <w:rPr>
                <w:b w:val="0"/>
                <w:sz w:val="18"/>
              </w:rPr>
              <w:t>Evidentiary integrity and court-readiness</w:t>
            </w:r>
          </w:p>
        </w:tc>
      </w:tr>
      <w:tr>
        <w:tc>
          <w:tcPr>
            <w:tcW w:type="dxa" w:w="3360"/>
            <w:vAlign w:val="top"/>
          </w:tcPr>
          <w:p>
            <w:r/>
            <w:r>
              <w:rPr>
                <w:b w:val="0"/>
                <w:sz w:val="18"/>
              </w:rPr>
              <w:t>Intelligence layer</w:t>
            </w:r>
          </w:p>
        </w:tc>
        <w:tc>
          <w:tcPr>
            <w:tcW w:type="dxa" w:w="3360"/>
            <w:vAlign w:val="top"/>
          </w:tcPr>
          <w:p>
            <w:r/>
            <w:r>
              <w:rPr>
                <w:b w:val="0"/>
                <w:sz w:val="18"/>
              </w:rPr>
              <w:t>Entity resolution, UPI registry, NLP extraction, knowledge graph, timeline rules, case health score</w:t>
            </w:r>
          </w:p>
        </w:tc>
        <w:tc>
          <w:tcPr>
            <w:tcW w:type="dxa" w:w="3360"/>
            <w:vAlign w:val="top"/>
          </w:tcPr>
          <w:p>
            <w:r/>
            <w:r>
              <w:rPr>
                <w:b w:val="0"/>
                <w:sz w:val="18"/>
              </w:rPr>
              <w:t>Data quality, link discovery, procedural control</w:t>
            </w:r>
          </w:p>
        </w:tc>
      </w:tr>
      <w:tr>
        <w:tc>
          <w:tcPr>
            <w:tcW w:type="dxa" w:w="3360"/>
            <w:vAlign w:val="top"/>
          </w:tcPr>
          <w:p>
            <w:r/>
            <w:r>
              <w:rPr>
                <w:b w:val="0"/>
                <w:sz w:val="18"/>
              </w:rPr>
              <w:t>Integration layer</w:t>
            </w:r>
          </w:p>
        </w:tc>
        <w:tc>
          <w:tcPr>
            <w:tcW w:type="dxa" w:w="3360"/>
            <w:vAlign w:val="top"/>
          </w:tcPr>
          <w:p>
            <w:r/>
            <w:r>
              <w:rPr>
                <w:b w:val="0"/>
                <w:sz w:val="18"/>
              </w:rPr>
              <w:t>API gateway, adapters, event bus, schema registry, secure data rooms</w:t>
            </w:r>
          </w:p>
        </w:tc>
        <w:tc>
          <w:tcPr>
            <w:tcW w:type="dxa" w:w="3360"/>
            <w:vAlign w:val="top"/>
          </w:tcPr>
          <w:p>
            <w:r/>
            <w:r>
              <w:rPr>
                <w:b w:val="0"/>
                <w:sz w:val="18"/>
              </w:rPr>
              <w:t>Controlled interoperability with existing systems</w:t>
            </w:r>
          </w:p>
        </w:tc>
      </w:tr>
      <w:tr>
        <w:tc>
          <w:tcPr>
            <w:tcW w:type="dxa" w:w="3360"/>
            <w:vAlign w:val="top"/>
          </w:tcPr>
          <w:p>
            <w:r/>
            <w:r>
              <w:rPr>
                <w:b w:val="0"/>
                <w:sz w:val="18"/>
              </w:rPr>
              <w:t>Governance layer</w:t>
            </w:r>
          </w:p>
        </w:tc>
        <w:tc>
          <w:tcPr>
            <w:tcW w:type="dxa" w:w="3360"/>
            <w:vAlign w:val="top"/>
          </w:tcPr>
          <w:p>
            <w:r/>
            <w:r>
              <w:rPr>
                <w:b w:val="0"/>
                <w:sz w:val="18"/>
              </w:rPr>
              <w:t>Audit reporting, retention schedules, legal holds, policy management, dashboarding</w:t>
            </w:r>
          </w:p>
        </w:tc>
        <w:tc>
          <w:tcPr>
            <w:tcW w:type="dxa" w:w="3360"/>
            <w:vAlign w:val="top"/>
          </w:tcPr>
          <w:p>
            <w:r/>
            <w:r>
              <w:rPr>
                <w:b w:val="0"/>
                <w:sz w:val="18"/>
              </w:rPr>
              <w:t>Compliance, accountability, and lifecycle control</w:t>
            </w:r>
          </w:p>
        </w:tc>
      </w:tr>
    </w:tbl>
    <w:p>
      <w:pPr>
        <w:pStyle w:val="Heading1"/>
      </w:pPr>
      <w:r>
        <w:t>Minimum Viable Product (MVP)</w:t>
      </w:r>
    </w:p>
    <w:p>
      <w:r>
        <w:t>For a hackathon, academic prototype, or first pilot, do not attempt to build every module. Demonstrate a credible end-to-end workflow that proves the differentiators.</w:t>
      </w:r>
    </w:p>
    <w:p>
      <w:pPr>
        <w:pStyle w:val="ListNumber"/>
      </w:pPr>
      <w:r>
        <w:t>Create a case and upload FIR, witness statement, seizure memo, and forensic report.</w:t>
      </w:r>
    </w:p>
    <w:p>
      <w:pPr>
        <w:pStyle w:val="ListNumber"/>
      </w:pPr>
      <w:r>
        <w:t>Extract metadata and run duplicate-person detection; create or link a UPI with a visible confidence/review trail.</w:t>
      </w:r>
    </w:p>
    <w:p>
      <w:pPr>
        <w:pStyle w:val="ListNumber"/>
      </w:pPr>
      <w:r>
        <w:t>Apply ABAC and dynamic redaction: investigator sees full record, prosecutor sees permitted view, and public/RTI demo view hides sensitive fields.</w:t>
      </w:r>
    </w:p>
    <w:p>
      <w:pPr>
        <w:pStyle w:val="ListNumber"/>
      </w:pPr>
      <w:r>
        <w:t>Create a signed, hash-chained version history for each document; show a “verify integrity” result.</w:t>
      </w:r>
    </w:p>
    <w:p>
      <w:pPr>
        <w:pStyle w:val="ListNumber"/>
      </w:pPr>
      <w:r>
        <w:t>Run timeline checks and flag a simulated anomaly such as seizure before FIR or an unauthorized charge-sheet attempt.</w:t>
      </w:r>
    </w:p>
    <w:p>
      <w:pPr>
        <w:pStyle w:val="ListNumber"/>
      </w:pPr>
      <w:r>
        <w:t>Register one physical evidence item with QR code; scan a custody transfer and show updated chain of custody.</w:t>
      </w:r>
    </w:p>
    <w:p>
      <w:pPr>
        <w:pStyle w:val="ListNumber"/>
      </w:pPr>
      <w:r>
        <w:t>Export a court-ready evidence bundle with a manifest, certificate draft, hashes, audit summary, and QR/verification reference.</w:t>
      </w:r>
    </w:p>
    <w:p>
      <w:pPr>
        <w:pStyle w:val="Heading1"/>
      </w:pPr>
      <w:r>
        <w:t>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Phase</w:t>
            </w:r>
          </w:p>
        </w:tc>
        <w:tc>
          <w:tcPr>
            <w:tcW w:type="dxa" w:w="2520"/>
            <w:vAlign w:val="top"/>
            <w:shd w:fill="D9EAF7"/>
          </w:tcPr>
          <w:p>
            <w:r/>
            <w:r>
              <w:rPr>
                <w:b/>
                <w:sz w:val="18"/>
              </w:rPr>
              <w:t>Focus</w:t>
            </w:r>
          </w:p>
        </w:tc>
        <w:tc>
          <w:tcPr>
            <w:tcW w:type="dxa" w:w="2520"/>
            <w:vAlign w:val="top"/>
            <w:shd w:fill="D9EAF7"/>
          </w:tcPr>
          <w:p>
            <w:r/>
            <w:r>
              <w:rPr>
                <w:b/>
                <w:sz w:val="18"/>
              </w:rPr>
              <w:t>Deliverables</w:t>
            </w:r>
          </w:p>
        </w:tc>
        <w:tc>
          <w:tcPr>
            <w:tcW w:type="dxa" w:w="2520"/>
            <w:vAlign w:val="top"/>
            <w:shd w:fill="D9EAF7"/>
          </w:tcPr>
          <w:p>
            <w:r/>
            <w:r>
              <w:rPr>
                <w:b/>
                <w:sz w:val="18"/>
              </w:rPr>
              <w:t>Success measures</w:t>
            </w:r>
          </w:p>
        </w:tc>
      </w:tr>
      <w:tr>
        <w:tc>
          <w:tcPr>
            <w:tcW w:type="dxa" w:w="2520"/>
            <w:vAlign w:val="top"/>
          </w:tcPr>
          <w:p>
            <w:r/>
            <w:r>
              <w:rPr>
                <w:b w:val="0"/>
                <w:sz w:val="18"/>
              </w:rPr>
              <w:t>Phase 0: Discovery</w:t>
            </w:r>
          </w:p>
        </w:tc>
        <w:tc>
          <w:tcPr>
            <w:tcW w:type="dxa" w:w="2520"/>
            <w:vAlign w:val="top"/>
          </w:tcPr>
          <w:p>
            <w:r/>
            <w:r>
              <w:rPr>
                <w:b w:val="0"/>
                <w:sz w:val="18"/>
              </w:rPr>
              <w:t>Legal, workflow, data, and security assessment</w:t>
            </w:r>
          </w:p>
        </w:tc>
        <w:tc>
          <w:tcPr>
            <w:tcW w:type="dxa" w:w="2520"/>
            <w:vAlign w:val="top"/>
          </w:tcPr>
          <w:p>
            <w:r/>
            <w:r>
              <w:rPr>
                <w:b w:val="0"/>
                <w:sz w:val="18"/>
              </w:rPr>
              <w:t>Stakeholder map, document taxonomy, threat model, integration inventory, success metrics</w:t>
            </w:r>
          </w:p>
        </w:tc>
        <w:tc>
          <w:tcPr>
            <w:tcW w:type="dxa" w:w="2520"/>
            <w:vAlign w:val="top"/>
          </w:tcPr>
          <w:p>
            <w:r/>
            <w:r>
              <w:rPr>
                <w:b w:val="0"/>
                <w:sz w:val="18"/>
              </w:rPr>
              <w:t>Approved requirements and governance plan</w:t>
            </w:r>
          </w:p>
        </w:tc>
      </w:tr>
      <w:tr>
        <w:tc>
          <w:tcPr>
            <w:tcW w:type="dxa" w:w="2520"/>
            <w:vAlign w:val="top"/>
          </w:tcPr>
          <w:p>
            <w:r/>
            <w:r>
              <w:rPr>
                <w:b w:val="0"/>
                <w:sz w:val="18"/>
              </w:rPr>
              <w:t>Phase 1: Pilot foundation</w:t>
            </w:r>
          </w:p>
        </w:tc>
        <w:tc>
          <w:tcPr>
            <w:tcW w:type="dxa" w:w="2520"/>
            <w:vAlign w:val="top"/>
          </w:tcPr>
          <w:p>
            <w:r/>
            <w:r>
              <w:rPr>
                <w:b w:val="0"/>
                <w:sz w:val="18"/>
              </w:rPr>
              <w:t>Case workspace, documents, access control, audit logs</w:t>
            </w:r>
          </w:p>
        </w:tc>
        <w:tc>
          <w:tcPr>
            <w:tcW w:type="dxa" w:w="2520"/>
            <w:vAlign w:val="top"/>
          </w:tcPr>
          <w:p>
            <w:r/>
            <w:r>
              <w:rPr>
                <w:b w:val="0"/>
                <w:sz w:val="18"/>
              </w:rPr>
              <w:t>Case-centric DMS, MFA, RBAC/ABAC baseline, structured forms, search, audit dashboard</w:t>
            </w:r>
          </w:p>
        </w:tc>
        <w:tc>
          <w:tcPr>
            <w:tcW w:type="dxa" w:w="2520"/>
            <w:vAlign w:val="top"/>
          </w:tcPr>
          <w:p>
            <w:r/>
            <w:r>
              <w:rPr>
                <w:b w:val="0"/>
                <w:sz w:val="18"/>
              </w:rPr>
              <w:t>Reduced retrieval time; zero uncontrolled shared access in pilot</w:t>
            </w:r>
          </w:p>
        </w:tc>
      </w:tr>
      <w:tr>
        <w:tc>
          <w:tcPr>
            <w:tcW w:type="dxa" w:w="2520"/>
            <w:vAlign w:val="top"/>
          </w:tcPr>
          <w:p>
            <w:r/>
            <w:r>
              <w:rPr>
                <w:b w:val="0"/>
                <w:sz w:val="18"/>
              </w:rPr>
              <w:t>Phase 2: Integrity and evidence</w:t>
            </w:r>
          </w:p>
        </w:tc>
        <w:tc>
          <w:tcPr>
            <w:tcW w:type="dxa" w:w="2520"/>
            <w:vAlign w:val="top"/>
          </w:tcPr>
          <w:p>
            <w:r/>
            <w:r>
              <w:rPr>
                <w:b w:val="0"/>
                <w:sz w:val="18"/>
              </w:rPr>
              <w:t>Version lineage, evidence custody, court package</w:t>
            </w:r>
          </w:p>
        </w:tc>
        <w:tc>
          <w:tcPr>
            <w:tcW w:type="dxa" w:w="2520"/>
            <w:vAlign w:val="top"/>
          </w:tcPr>
          <w:p>
            <w:r/>
            <w:r>
              <w:rPr>
                <w:b w:val="0"/>
                <w:sz w:val="18"/>
              </w:rPr>
              <w:t>Hash/signature service, custody scans, certificate workflow, export package</w:t>
            </w:r>
          </w:p>
        </w:tc>
        <w:tc>
          <w:tcPr>
            <w:tcW w:type="dxa" w:w="2520"/>
            <w:vAlign w:val="top"/>
          </w:tcPr>
          <w:p>
            <w:r/>
            <w:r>
              <w:rPr>
                <w:b w:val="0"/>
                <w:sz w:val="18"/>
              </w:rPr>
              <w:t>All pilot evidence has verifiable lineage</w:t>
            </w:r>
          </w:p>
        </w:tc>
      </w:tr>
      <w:tr>
        <w:tc>
          <w:tcPr>
            <w:tcW w:type="dxa" w:w="2520"/>
            <w:vAlign w:val="top"/>
          </w:tcPr>
          <w:p>
            <w:r/>
            <w:r>
              <w:rPr>
                <w:b w:val="0"/>
                <w:sz w:val="18"/>
              </w:rPr>
              <w:t>Phase 3: Intelligence</w:t>
            </w:r>
          </w:p>
        </w:tc>
        <w:tc>
          <w:tcPr>
            <w:tcW w:type="dxa" w:w="2520"/>
            <w:vAlign w:val="top"/>
          </w:tcPr>
          <w:p>
            <w:r/>
            <w:r>
              <w:rPr>
                <w:b w:val="0"/>
                <w:sz w:val="18"/>
              </w:rPr>
              <w:t>UPI, data quality, timeline controls, relationship mapping</w:t>
            </w:r>
          </w:p>
        </w:tc>
        <w:tc>
          <w:tcPr>
            <w:tcW w:type="dxa" w:w="2520"/>
            <w:vAlign w:val="top"/>
          </w:tcPr>
          <w:p>
            <w:r/>
            <w:r>
              <w:rPr>
                <w:b w:val="0"/>
                <w:sz w:val="18"/>
              </w:rPr>
              <w:t>Entity resolution, UPI registry, rule engine, graph/search prototypes</w:t>
            </w:r>
          </w:p>
        </w:tc>
        <w:tc>
          <w:tcPr>
            <w:tcW w:type="dxa" w:w="2520"/>
            <w:vAlign w:val="top"/>
          </w:tcPr>
          <w:p>
            <w:r/>
            <w:r>
              <w:rPr>
                <w:b w:val="0"/>
                <w:sz w:val="18"/>
              </w:rPr>
              <w:t>Lower duplicate rate; fewer procedural anomalies</w:t>
            </w:r>
          </w:p>
        </w:tc>
      </w:tr>
      <w:tr>
        <w:tc>
          <w:tcPr>
            <w:tcW w:type="dxa" w:w="2520"/>
            <w:vAlign w:val="top"/>
          </w:tcPr>
          <w:p>
            <w:r/>
            <w:r>
              <w:rPr>
                <w:b w:val="0"/>
                <w:sz w:val="18"/>
              </w:rPr>
              <w:t>Phase 4: Interoperability and scale</w:t>
            </w:r>
          </w:p>
        </w:tc>
        <w:tc>
          <w:tcPr>
            <w:tcW w:type="dxa" w:w="2520"/>
            <w:vAlign w:val="top"/>
          </w:tcPr>
          <w:p>
            <w:r/>
            <w:r>
              <w:rPr>
                <w:b w:val="0"/>
                <w:sz w:val="18"/>
              </w:rPr>
              <w:t>System connectors, offline client, governance</w:t>
            </w:r>
          </w:p>
        </w:tc>
        <w:tc>
          <w:tcPr>
            <w:tcW w:type="dxa" w:w="2520"/>
            <w:vAlign w:val="top"/>
          </w:tcPr>
          <w:p>
            <w:r/>
            <w:r>
              <w:rPr>
                <w:b w:val="0"/>
                <w:sz w:val="18"/>
              </w:rPr>
              <w:t>API gateway, adapters, offline sync, performance/security tests, training</w:t>
            </w:r>
          </w:p>
        </w:tc>
        <w:tc>
          <w:tcPr>
            <w:tcW w:type="dxa" w:w="2520"/>
            <w:vAlign w:val="top"/>
          </w:tcPr>
          <w:p>
            <w:r/>
            <w:r>
              <w:rPr>
                <w:b w:val="0"/>
                <w:sz w:val="18"/>
              </w:rPr>
              <w:t>Reliable sync; audited cross-agency exchange</w:t>
            </w:r>
          </w:p>
        </w:tc>
      </w:tr>
    </w:tbl>
    <w:p>
      <w:pPr>
        <w:pStyle w:val="Heading1"/>
      </w:pPr>
      <w:r>
        <w:t>Risk controls and safeguards</w:t>
      </w:r>
    </w:p>
    <w:p>
      <w:pPr>
        <w:pStyle w:val="ListBullet"/>
      </w:pPr>
      <w:r>
        <w:t>Do not expose a universal person identifier on public portals or use it as a public lookup key.</w:t>
      </w:r>
    </w:p>
    <w:p>
      <w:pPr>
        <w:pStyle w:val="ListBullet"/>
      </w:pPr>
      <w:r>
        <w:t>Keep victims, witnesses, juveniles, and sensitive-case records under enhanced access and redaction policies.</w:t>
      </w:r>
    </w:p>
    <w:p>
      <w:pPr>
        <w:pStyle w:val="ListBullet"/>
      </w:pPr>
      <w:r>
        <w:t>Require legal review of retention, sharing, electronic-evidence certificate templates, biometric use, and court-export procedures.</w:t>
      </w:r>
    </w:p>
    <w:p>
      <w:pPr>
        <w:pStyle w:val="ListBullet"/>
      </w:pPr>
      <w:r>
        <w:t>Use encryption in transit and at rest; protect keys through a managed key service or hardware security module in production.</w:t>
      </w:r>
    </w:p>
    <w:p>
      <w:pPr>
        <w:pStyle w:val="ListBullet"/>
      </w:pPr>
      <w:r>
        <w:t>Separate production, testing, and training data. Use synthetic or irreversibly anonymized data outside production.</w:t>
      </w:r>
    </w:p>
    <w:p>
      <w:pPr>
        <w:pStyle w:val="ListBullet"/>
      </w:pPr>
      <w:r>
        <w:t>Implement independent audit, vulnerability testing, incident response playbooks, backup/restore testing, and disaster recovery procedures.</w:t>
      </w:r>
    </w:p>
    <w:p>
      <w:pPr>
        <w:pStyle w:val="ListBullet"/>
      </w:pPr>
      <w:r>
        <w:t>Ensure AI suggestions are reviewable and explainable; avoid automated decisions that determine guilt, risk, or legal outcomes.</w:t>
      </w:r>
    </w:p>
    <w:p>
      <w:pPr>
        <w:pStyle w:val="Heading1"/>
      </w:pPr>
      <w:r>
        <w:t>Success metrics</w:t>
      </w:r>
    </w:p>
    <w:p>
      <w:pPr>
        <w:pStyle w:val="ListBullet"/>
      </w:pPr>
      <w:r>
        <w:t>Median time to locate a required case document.</w:t>
      </w:r>
    </w:p>
    <w:p>
      <w:pPr>
        <w:pStyle w:val="ListBullet"/>
      </w:pPr>
      <w:r>
        <w:t>Percentage of documents with complete mandatory metadata and verified integrity hashes.</w:t>
      </w:r>
    </w:p>
    <w:p>
      <w:pPr>
        <w:pStyle w:val="ListBullet"/>
      </w:pPr>
      <w:r>
        <w:t>Duplicate-person candidate rate, confirmed duplicate rate, and correction time.</w:t>
      </w:r>
    </w:p>
    <w:p>
      <w:pPr>
        <w:pStyle w:val="ListBullet"/>
      </w:pPr>
      <w:r>
        <w:t>Percentage of cases with complete timeline and required-document checklist.</w:t>
      </w:r>
    </w:p>
    <w:p>
      <w:pPr>
        <w:pStyle w:val="ListBullet"/>
      </w:pPr>
      <w:r>
        <w:t>Percentage of evidence items with uninterrupted digital custody chain.</w:t>
      </w:r>
    </w:p>
    <w:p>
      <w:pPr>
        <w:pStyle w:val="ListBullet"/>
      </w:pPr>
      <w:r>
        <w:t>Number of blocked/flagged unauthorized actions and resolved security alerts.</w:t>
      </w:r>
    </w:p>
    <w:p>
      <w:pPr>
        <w:pStyle w:val="ListBullet"/>
      </w:pPr>
      <w:r>
        <w:t>Number of sensitive-field exposures prevented through redaction policies.</w:t>
      </w:r>
    </w:p>
    <w:p>
      <w:pPr>
        <w:pStyle w:val="ListBullet"/>
      </w:pPr>
      <w:r>
        <w:t>Offline sync success rate and average synchronization delay.</w:t>
      </w:r>
    </w:p>
    <w:p>
      <w:pPr>
        <w:pStyle w:val="ListBullet"/>
      </w:pPr>
      <w:r>
        <w:t>Time required to prepare a court-ready electronic-evidence package.</w:t>
      </w:r>
    </w:p>
    <w:p>
      <w:pPr>
        <w:pStyle w:val="Heading1"/>
      </w:pPr>
      <w:r>
        <w:t>Research references and validation sources</w:t>
      </w:r>
    </w:p>
    <w:p>
      <w:r>
        <w:t>The following sources informed the problem context. Before real-world deployment, validate current requirements and implementation details directly with the responsible ministry, state police IT unit, prosecution department, court registry, and legal counsel.</w:t>
      </w:r>
    </w:p>
    <w:p>
      <w:pPr>
        <w:pStyle w:val="ListBullet"/>
      </w:pPr>
      <w:r>
        <w:t>Ministry of Home Affairs (MHA), Inter-Operable Criminal Justice System (ICJS): describes integration among Police, Prisons, Forensics, Prosecution and Courts.</w:t>
      </w:r>
    </w:p>
    <w:p>
      <w:pPr>
        <w:pStyle w:val="ListBullet"/>
      </w:pPr>
      <w:r>
        <w:t>National Informatics Centre, “eSakshya” (Informatics, April 2025): describes real-time capture and digital authentication features for evidence workflows.</w:t>
      </w:r>
    </w:p>
    <w:p>
      <w:pPr>
        <w:pStyle w:val="ListBullet"/>
      </w:pPr>
      <w:r>
        <w:t>Comptroller and Auditor General of India (CAG) audit reports on CCTNS implementation: document issues relating to data quality, implementation, controls, privacy, and process compliance in audited jurisdictions.</w:t>
      </w:r>
    </w:p>
    <w:p>
      <w:pPr>
        <w:pStyle w:val="ListBullet"/>
      </w:pPr>
      <w:r>
        <w:t>Bureau of Police Research and Development (BPR&amp;D) / Ministry of Home Affairs material on Malkhana Management Systems: describes digital approaches such as indexing, coded identification, and evidence/property management.</w:t>
      </w:r>
    </w:p>
    <w:p>
      <w:pPr>
        <w:pStyle w:val="ListBullet"/>
      </w:pPr>
      <w:r>
        <w:t>Indian criminal-justice and electronic-evidence legal materials: Section 63 of the Bharatiya Sakshya Adhiniyam, 2023 is relevant to electronic-record certification; it replaced the earlier Section 65B framework of the Indian Evidence Act. Obtain authoritative legal advice before operational use.</w:t>
      </w:r>
    </w:p>
    <w:p>
      <w:pPr>
        <w:pStyle w:val="ListBullet"/>
      </w:pPr>
      <w:r>
        <w:t>NAFIS background material: National Automated Fingerprint Identification System assigns national fingerprint references for arrested persons; any UPI design should integrate only through lawful, access-controlled processes.</w:t>
      </w:r>
    </w:p>
    <w:p>
      <w:pPr>
        <w:pStyle w:val="Heading1"/>
      </w:pPr>
      <w:r>
        <w:t>Final design position</w:t>
      </w:r>
    </w:p>
    <w:p>
      <w:r>
        <w:t>The strongest solution is not a generic cloud drive with “AI” and “blockchain” labels. It is a case-centric, privacy-preserving, offline-capable platform that makes documents, people, evidence, actions, and legal workflow traceable from first report to final disposal. Its distinct value comes from combining: cryptographically verifiable document lineage; dynamic policy-based access and redaction; timeline and authority checks; a governed Unique Person ID and entity-resolution layer; physical-digital evidence custody; and secure interoperability with existing criminal-justice systems.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Secure DMS Flaws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