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2"/>
        </w:rPr>
        <w:t>COS30019 – Introduction to AI</w:t>
      </w:r>
    </w:p>
    <w:p>
      <w:pPr>
        <w:jc w:val="center"/>
      </w:pPr>
      <w:r>
        <w:rPr>
          <w:b/>
          <w:sz w:val="28"/>
        </w:rPr>
        <w:t>Assignment 2 – Part C</w:t>
      </w:r>
    </w:p>
    <w:p>
      <w:pPr>
        <w:jc w:val="center"/>
      </w:pPr>
      <w:r>
        <w:rPr>
          <w:b w:val="0"/>
          <w:sz w:val="26"/>
        </w:rPr>
        <w:t>Ethical Considerations When Designing AI Systems</w:t>
      </w:r>
    </w:p>
    <w:p/>
    <w:p/>
    <w:p>
      <w:pPr>
        <w:jc w:val="center"/>
      </w:pPr>
      <w:r>
        <w:rPr>
          <w:b/>
        </w:rPr>
        <w:t xml:space="preserve">Full Name: </w:t>
      </w:r>
      <w:r>
        <w:t>[Your Full Name]</w:t>
      </w:r>
    </w:p>
    <w:p>
      <w:pPr>
        <w:jc w:val="center"/>
      </w:pPr>
      <w:r>
        <w:rPr>
          <w:b/>
        </w:rPr>
        <w:t xml:space="preserve">Student ID: </w:t>
      </w:r>
      <w:r>
        <w:t>[Your Student ID]</w:t>
      </w:r>
    </w:p>
    <w:p>
      <w:pPr>
        <w:jc w:val="center"/>
      </w:pPr>
      <w:r>
        <w:rPr>
          <w:b/>
        </w:rPr>
        <w:t xml:space="preserve">Unit: </w:t>
      </w:r>
      <w:r>
        <w:t>COS30019 Introduction to AI</w:t>
      </w:r>
    </w:p>
    <w:p>
      <w:pPr>
        <w:jc w:val="center"/>
      </w:pPr>
      <w:r>
        <w:rPr>
          <w:b/>
        </w:rPr>
        <w:t xml:space="preserve">Assignment: </w:t>
      </w:r>
      <w:r>
        <w:t>Assignment 2 – Part C</w:t>
      </w:r>
    </w:p>
    <w:p>
      <w:pPr>
        <w:jc w:val="center"/>
      </w:pPr>
      <w:r>
        <w:rPr>
          <w:b/>
        </w:rPr>
        <w:t xml:space="preserve">Semester: </w:t>
      </w:r>
      <w:r>
        <w:t>Semester 1, 2026</w:t>
      </w:r>
    </w:p>
    <w:p>
      <w:pPr>
        <w:jc w:val="center"/>
      </w:pPr>
      <w:r>
        <w:rPr>
          <w:b/>
        </w:rPr>
        <w:t xml:space="preserve">Due Date: </w:t>
      </w:r>
      <w:r>
        <w:t>11:59pm Sunday 31 May 2026</w:t>
      </w:r>
    </w:p>
    <w:p>
      <w:r>
        <w:br w:type="page"/>
      </w:r>
    </w:p>
    <w:p>
      <w:pPr>
        <w:pStyle w:val="Heading1"/>
      </w:pPr>
      <w:r>
        <w:t>Table of Contents</w:t>
      </w:r>
    </w:p>
    <w:p>
      <w:r>
        <w:t>1. Executive Summary</w:t>
      </w:r>
    </w:p>
    <w:p>
      <w:r>
        <w:t>2. Introduction</w:t>
      </w:r>
    </w:p>
    <w:p>
      <w:r>
        <w:t>3. Findings</w:t>
      </w:r>
    </w:p>
    <w:p>
      <w:r>
        <w:t xml:space="preserve">   3.1 Part A – Algorithm Selection and Transparency of Decision Making</w:t>
      </w:r>
    </w:p>
    <w:p>
      <w:r>
        <w:t xml:space="preserve">   3.2 Part B – Model Transparency, Data Quality, and Representation</w:t>
      </w:r>
    </w:p>
    <w:p>
      <w:r>
        <w:t xml:space="preserve">   3.3 TBRGS+ – Data Privacy and Age Restrictions</w:t>
      </w:r>
    </w:p>
    <w:p>
      <w:r>
        <w:t>4. Conclusion and Recommendations</w:t>
      </w:r>
    </w:p>
    <w:p>
      <w:r>
        <w:t>5. Acknowledgements / Resources</w:t>
      </w:r>
    </w:p>
    <w:p>
      <w:r>
        <w:t>6. References</w:t>
      </w:r>
    </w:p>
    <w:p>
      <w:r>
        <w:br w:type="page"/>
      </w:r>
    </w:p>
    <w:p>
      <w:pPr>
        <w:pStyle w:val="Heading1"/>
      </w:pPr>
      <w:r>
        <w:t>1. Executive Summary</w:t>
      </w:r>
    </w:p>
    <w:p>
      <w:r>
        <w:t>The Traffic-Based Route Guidance System (TBRGS) makes several design decisions with ethical implications. This report examines three: the transparency of search algorithm selection; the representational accuracy of the machine learning models, including outdated training data and fixed travel-time constants; and the data privacy obligations introduced by a potential TBRGS+ mobile extension, particularly when accessed by children.</w:t>
      </w:r>
    </w:p>
    <w:p>
      <w:r>
        <w:t>In each case more ethical alternatives exist. Algorithm selection should be guided by explainability as well as performance, and users should be informed about the basis of their route recommendation. The ML models should communicate their assumptions and limitations honestly, particularly given the age of the training data and the fixed constants applied in the travel time calculation. For TBRGS+, a strict data minimisation policy and compliance with Australian children's privacy law are essential prerequisites before any public release.</w:t>
      </w:r>
    </w:p>
    <w:p>
      <w:r>
        <w:br w:type="page"/>
      </w:r>
    </w:p>
    <w:p>
      <w:pPr>
        <w:pStyle w:val="Heading1"/>
      </w:pPr>
      <w:r>
        <w:t>2. Introduction</w:t>
      </w:r>
    </w:p>
    <w:p>
      <w:r>
        <w:t>TBRGS is a desktop application that predicts traffic flow across 39 SCATS intersections in Melbourne's Boroondara area using LSTM, GRU, and XGBoost models trained on historical 15-minute traffic volume data. Predictions weight the edges of a directed road network graph over which six search algorithms — BFS, DFS, Greedy Best-First, A*, Dijkstra, and Bidirectional A* — find and rank candidate routes by estimated travel time.</w:t>
      </w:r>
    </w:p>
    <w:p>
      <w:r>
        <w:t>While the system operates on anonymised historical data and does not currently collect personal information, its design decisions carry ethical dimensions. The choice of algorithm and how the system communicates its reasoning affects user trust. The validity of the ML models' assumptions determines whether the system represents road conditions honestly. A potential TBRGS+ extension would collect sensitive location data and may be used by children, introducing significant legal and ethical obligations.</w:t>
      </w:r>
    </w:p>
    <w:p>
      <w:r>
        <w:t>This report identifies and analyses these three decisions, presents alternatives for each, and makes recommendations to guide the development team toward more ethical design choices.</w:t>
      </w:r>
    </w:p>
    <w:p>
      <w:r>
        <w:br w:type="page"/>
      </w:r>
    </w:p>
    <w:p>
      <w:pPr>
        <w:pStyle w:val="Heading1"/>
      </w:pPr>
      <w:r>
        <w:t>3. Findings</w:t>
      </w:r>
    </w:p>
    <w:p>
      <w:pPr>
        <w:pStyle w:val="Heading2"/>
      </w:pPr>
      <w:r>
        <w:t>3.1 Part A – Algorithm Selection and Transparency of Decision Making</w:t>
      </w:r>
    </w:p>
    <w:p>
      <w:r>
        <w:t>TBRGS implements six search algorithms — BFS, DFS, Greedy Best-First, A*, Dijkstra, and Bidirectional A* — each of which explores the road network differently and can return a different route for the same origin–destination pair. The system defaults to A* for route recommendations while the Compare Algorithms feature runs all six side by side. This raises a transparency question: when algorithms disagree on the best route, how does the user know which result to trust and on what basis the recommended route was selected over the alternatives?</w:t>
      </w:r>
    </w:p>
    <w:p>
      <w:r>
        <w:t>Transparency of decision making is a recognised requirement for responsible AI. Australia's AI Ethics Principles (Department of Industry, Science and Resources, 2024) state that AI systems should be explainable to the degree necessary for users to understand and contest outcomes. In the TBRGS context, a user who receives a route recommendation has no visibility into which algorithm produced it, what alternatives were considered, or why those alternatives were ranked lower. The system presents a result without the reasoning behind it, making it difficult for users to exercise informed judgement about whether to follow the recommendation.</w:t>
      </w:r>
    </w:p>
    <w:p>
      <w:r>
        <w:t>The haversine heuristic used by A* and Greedy Best-First is a further concern. Haversine straight-line distance does not account for actual road layouts, one-way streets, or geographic barriers. In areas with curved roads or obstructions, the heuristic may underestimate the cost of certain edges, biasing the search toward routes that appear geographically direct but are not actually faster.</w:t>
      </w:r>
    </w:p>
    <w:p>
      <w:r>
        <w:t>Two alternatives are worth considering. First, the system could display a brief explanation alongside each recommendation — identifying the algorithm used and noting that the estimate is based on predicted historical traffic flows. This is a low-cost change that significantly improves transparency. Second, the haversine heuristic could be supplemented with actual road distance data, producing more accurate cost estimates in areas where straight-line distance is a poor proxy for travel time. The Compare Algorithms feature already partially addresses transparency by showing users that multiple methods reach similar conclusions, but this is only visible when the user actively runs the comparison — it is not surfaced in the default route recommendation flow.</w:t>
      </w:r>
    </w:p>
    <w:p>
      <w:pPr>
        <w:pStyle w:val="Heading2"/>
      </w:pPr>
      <w:r>
        <w:t>3.2 Part B – Model Transparency, Data Quality, and Representation</w:t>
      </w:r>
    </w:p>
    <w:p>
      <w:r>
        <w:t>The TBRGS travel time model converts predicted flow into an estimated travel time using two fixed constants: a speed limit of 60 km/h and an intersection delay of 30 seconds, applied uniformly across all 39 intersections. In practice, speed limits in Boroondara range from 40 km/h on residential streets to 60 km/h on arterials, and intersection delays vary substantially with signal timing and turning movements. A 30-second delay may be reasonable at a simple two-phase intersection but significantly underestimates delay at a complex multi-phase intersection during peak hours.</w:t>
      </w:r>
    </w:p>
    <w:p>
      <w:r>
        <w:t>The system presents travel time estimates as precise figures without communicating that they rest on these simplified assumptions. Floridi et al. (2018) identify non-maleficence and beneficence as core AI ethics principles: a system that presents imprecise estimates as precise measurements risks misleading users who make journey decisions based on those figures.</w:t>
      </w:r>
    </w:p>
    <w:p>
      <w:r>
        <w:t>The ML models are trained on data from October 2006 — nearly 20 years old. Road layouts, surrounding land use, public transport provision, and commuting behaviour have changed substantially since then. Post-COVID shifts in work patterns mean that 2006 traffic volumes may no longer represent current conditions at many intersections, particularly during morning and afternoon peak periods where hybrid working has reshaped demand.</w:t>
      </w:r>
    </w:p>
    <w:p>
      <w:r>
        <w:t>Huang et al. (2020) survey interpretability techniques applicable to deep learning models. Of particular relevance is SHAP (SHapley Additive exPlanations), which assigns each input feature an importance score for a specific prediction. Applied to the TBRGS LSTM and GRU models, SHAP values could reveal which inputs — time of day, day of week, or SCATS site — most strongly drive a predicted flow value, and whether the models have learned genuine temporal patterns or are over-fitting to site-specific noise in the 2006 data. LIME (Local Interpretable Model-agnostic Explanations) can similarly approximate a black-box model around a specific prediction using a simpler linear model. XGBoost exposes native feature importance rankings directly, making its reasoning more accessible without additional tooling.</w:t>
      </w:r>
    </w:p>
    <w:p>
      <w:r>
        <w:t>The most immediately actionable improvement is transparency: the system should communicate the assumptions underlying its travel time estimates — the fixed 60 km/h speed limit, the uniform 30-second intersection delay, and the age of the training data — so that users can apply appropriate scepticism to the figures they receive. Displaying a confidence range alongside the estimated time, rather than a single precise number, would more honestly represent the inherent uncertainty in the prediction and reduce the risk of users placing unwarranted trust in estimates that may be substantially off during atypical conditions.</w:t>
      </w:r>
    </w:p>
    <w:p>
      <w:pPr>
        <w:pStyle w:val="Heading2"/>
      </w:pPr>
      <w:r>
        <w:t>3.3 TBRGS+ – Data Privacy and Age Restrictions</w:t>
      </w:r>
    </w:p>
    <w:p>
      <w:r>
        <w:t>A TBRGS+ mobile application would require real-time GPS access to determine the user's starting point. Convenience features such as one-tap home-to-work routing would additionally require storing these addresses in a user profile — a dataset that can reveal patterns of religious attendance, medical visits, and personal relationships that users may not intend to disclose by using a navigation app (Zuboff, 2019).</w:t>
      </w:r>
    </w:p>
    <w:p>
      <w:r>
        <w:t>The minimum viable approach is to use location data only in real time and never store it persistently. Home and work locations, if offered, should be stored on-device only, limiting exposure in a breach. Any server-side storage must comply with the Privacy Act 1988 (Cth), which requires personal data to be collected only for a clearly stated purpose with informed consent.</w:t>
      </w:r>
    </w:p>
    <w:p>
      <w:r>
        <w:t>A significant additional concern is the potential use of TBRGS+ by children. If distributed through an app store, there is no inherent barrier preventing minors from accessing it. Under the Privacy (Children's Online Privacy) Code 2026 (Exposure Draft), made under the Privacy Act 1988 (Cth) as amended by the Privacy and Other Legislation Amendment Act 2024, entities providing online services likely to be accessed by children must take reasonable steps to ascertain the age of end-users before collecting their personal information (s.8). Section 9 of the Code establishes a privacy-by-default obligation: entities may only collect, use, or disclose a child's personal information that is strictly necessary to provide the service — optional features such as saving home and work locations must be disabled by default. Section 33 specifically requires notification when a service uses mechanisms that monitor or track a child's geolocation, which applies directly to the GPS access required by TBRGS+.</w:t>
      </w:r>
    </w:p>
    <w:p>
      <w:r>
        <w:t>The development team must implement child-safe defaults in compliance with the Code: collect only what is strictly necessary for routing (s.9), obtain the child's assent for any additional collection where the user is under 15 (s.20), and provide clear notification of geolocation tracking (s.33). These are legal obligations that apply as soon as TBRGS+ is distributed through a service likely to be accessed by children, and they should be built into the architecture from the outset.</w:t>
      </w:r>
    </w:p>
    <w:p>
      <w:r>
        <w:br w:type="page"/>
      </w:r>
    </w:p>
    <w:p>
      <w:pPr>
        <w:pStyle w:val="Heading1"/>
      </w:pPr>
      <w:r>
        <w:t>4. Conclusion and Recommendations</w:t>
      </w:r>
    </w:p>
    <w:p>
      <w:r>
        <w:t>This report has examined three design decisions across TBRGS and TBRGS+ and analysed their ethical implications. Each decision involves a trade-off between convenience or performance and the ethical obligations owed to users. The following recommendations are made:</w:t>
      </w:r>
    </w:p>
    <w:p>
      <w:pPr>
        <w:pStyle w:val="ListBullet"/>
      </w:pPr>
      <w:r>
        <w:t>Improve algorithm transparency. Display a brief explanation alongside each route recommendation indicating which algorithm was used and that estimates are based on historical predicted traffic data.</w:t>
      </w:r>
    </w:p>
    <w:p>
      <w:pPr>
        <w:pStyle w:val="ListBullet"/>
      </w:pPr>
      <w:r>
        <w:t>Communicate model limitations honestly. Note the fixed 60 km/h speed limit, 30-second intersection delay, and 2006 training data alongside travel time estimates. A confidence range would more accurately represent prediction uncertainty.</w:t>
      </w:r>
    </w:p>
    <w:p>
      <w:pPr>
        <w:pStyle w:val="ListBullet"/>
      </w:pPr>
      <w:r>
        <w:t>Improve model interpretability. Apply SHAP values (Huang et al., 2020) to the LSTM, GRU, and XGBoost models to identify which input features — time of day, day of week, SCATS site — most influence predictions. This supports both internal auditing and honest communication with users about what the models have and have not learned.</w:t>
      </w:r>
    </w:p>
    <w:p>
      <w:pPr>
        <w:pStyle w:val="ListBullet"/>
      </w:pPr>
      <w:r>
        <w:t>Adopt minimal data collection for TBRGS+. Store home and work locations on-device only. Do not retain location history server-side. Comply with the Privacy Act 1988 with clear informed consent.</w:t>
      </w:r>
    </w:p>
    <w:p>
      <w:pPr>
        <w:pStyle w:val="ListBullet"/>
      </w:pPr>
      <w:r>
        <w:t>Implement child-safe defaults. For users identified as under 15, disable all data collection beyond what is strictly necessary to provide the routing service (s.9), require the child's assent for any additional collection (s.20), and provide clear notification of geolocation tracking (s.33), in compliance with the Privacy (Children's Online Privacy) Code 2026.</w:t>
      </w:r>
    </w:p>
    <w:p>
      <w:r>
        <w:br w:type="page"/>
      </w:r>
    </w:p>
    <w:p>
      <w:pPr>
        <w:pStyle w:val="Heading1"/>
      </w:pPr>
      <w:r>
        <w:t>5. Acknowledgements / Resources</w:t>
      </w:r>
    </w:p>
    <w:tbl>
      <w:tblPr>
        <w:tblStyle w:val="TableGrid"/>
        <w:tblW w:type="auto" w:w="0"/>
        <w:tblLook w:firstColumn="1" w:firstRow="1" w:lastColumn="0" w:lastRow="0" w:noHBand="0" w:noVBand="1" w:val="04A0"/>
      </w:tblPr>
      <w:tblGrid>
        <w:gridCol w:w="4320"/>
        <w:gridCol w:w="4320"/>
      </w:tblGrid>
      <w:tr>
        <w:tc>
          <w:tcPr>
            <w:tcW w:type="dxa" w:w="4320"/>
          </w:tcPr>
          <w:p>
            <w:r>
              <w:rPr>
                <w:b/>
              </w:rPr>
              <w:t>Resource</w:t>
            </w:r>
          </w:p>
        </w:tc>
        <w:tc>
          <w:tcPr>
            <w:tcW w:type="dxa" w:w="4320"/>
          </w:tcPr>
          <w:p>
            <w:r>
              <w:rPr>
                <w:b/>
              </w:rPr>
              <w:t>How it was used</w:t>
            </w:r>
          </w:p>
        </w:tc>
      </w:tr>
      <w:tr>
        <w:tc>
          <w:tcPr>
            <w:tcW w:type="dxa" w:w="4320"/>
          </w:tcPr>
          <w:p>
            <w:r>
              <w:t>Australian Government Department of Industry, Science and Resources. (2024). Australia's AI Ethics Principles. industry.gov.au</w:t>
            </w:r>
          </w:p>
        </w:tc>
        <w:tc>
          <w:tcPr>
            <w:tcW w:type="dxa" w:w="4320"/>
          </w:tcPr>
          <w:p>
            <w:r>
              <w:t>Referenced to ground the discussion of transparency and explainability as requirements for responsible AI systems in the Australian context.</w:t>
            </w:r>
          </w:p>
        </w:tc>
      </w:tr>
      <w:tr>
        <w:tc>
          <w:tcPr>
            <w:tcW w:type="dxa" w:w="4320"/>
          </w:tcPr>
          <w:p>
            <w:r>
              <w:t>Office of the Australian Information Commissioner. (2023). Privacy Act 1988 and Children's Online Privacy Code. oaic.gov.au</w:t>
            </w:r>
          </w:p>
        </w:tc>
        <w:tc>
          <w:tcPr>
            <w:tcW w:type="dxa" w:w="4320"/>
          </w:tcPr>
          <w:p>
            <w:r>
              <w:t>Used to explain Australian legal obligations around personal data collection and the additional protections owed to children and young people under the Privacy Act.</w:t>
            </w:r>
          </w:p>
        </w:tc>
      </w:tr>
      <w:tr>
        <w:tc>
          <w:tcPr>
            <w:tcW w:type="dxa" w:w="4320"/>
          </w:tcPr>
          <w:p>
            <w:r>
              <w:t>Mizan, M., Wibowo, S., &amp; Wasito, I. (2019). Deep learning for traffic flow prediction. Transportation Research Part C: Emerging Technologies.</w:t>
            </w:r>
          </w:p>
        </w:tc>
        <w:tc>
          <w:tcPr>
            <w:tcW w:type="dxa" w:w="4320"/>
          </w:tcPr>
          <w:p>
            <w:r>
              <w:t>Used to identify concrete methods for improving model transparency and predictive accuracy, including finer time granularity, additional features, and attention mechanisms.</w:t>
            </w:r>
          </w:p>
        </w:tc>
      </w:tr>
      <w:tr>
        <w:tc>
          <w:tcPr>
            <w:tcW w:type="dxa" w:w="4320"/>
          </w:tcPr>
          <w:p>
            <w:r>
              <w:t>Floridi, L. et al. (2018). An ethical framework for a good AI society. Minds and Machines.</w:t>
            </w:r>
          </w:p>
        </w:tc>
        <w:tc>
          <w:tcPr>
            <w:tcW w:type="dxa" w:w="4320"/>
          </w:tcPr>
          <w:p>
            <w:r>
              <w:t>Provided theoretical grounding for the ethical principles of non-maleficence and beneficence applied to the discussion of misleading travel time estimates.</w:t>
            </w:r>
          </w:p>
        </w:tc>
      </w:tr>
      <w:tr>
        <w:tc>
          <w:tcPr>
            <w:tcW w:type="dxa" w:w="4320"/>
          </w:tcPr>
          <w:p>
            <w:r>
              <w:t>Zuboff, S. (2019). The Age of Surveillance Capitalism. PublicAffairs.</w:t>
            </w:r>
          </w:p>
        </w:tc>
        <w:tc>
          <w:tcPr>
            <w:tcW w:type="dxa" w:w="4320"/>
          </w:tcPr>
          <w:p>
            <w:r>
              <w:t>Provided background on the risks of location data collection and the potential for sensitive personal information to be inferred from navigation data.</w:t>
            </w:r>
          </w:p>
        </w:tc>
      </w:tr>
      <w:tr>
        <w:tc>
          <w:tcPr>
            <w:tcW w:type="dxa" w:w="4320"/>
          </w:tcPr>
          <w:p>
            <w:r>
              <w:t>Claude (Anthropic). (2025). Claude AI assistant. claude.ai</w:t>
            </w:r>
          </w:p>
        </w:tc>
        <w:tc>
          <w:tcPr>
            <w:tcW w:type="dxa" w:w="4320"/>
          </w:tcPr>
          <w:p>
            <w:r>
              <w:t>Used to assist with structuring arguments, drafting and refining written passages, and checking grammar throughout this report.</w:t>
            </w:r>
          </w:p>
        </w:tc>
      </w:tr>
    </w:tbl>
    <w:p>
      <w:r>
        <w:br w:type="page"/>
      </w:r>
    </w:p>
    <w:p>
      <w:pPr>
        <w:pStyle w:val="Heading1"/>
      </w:pPr>
      <w:r>
        <w:t>6. References</w:t>
      </w:r>
    </w:p>
    <w:p>
      <w:pPr>
        <w:ind w:left="720" w:hanging="720"/>
      </w:pPr>
      <w:r>
        <w:t>Australian Government Department of Industry, Science and Resources. (2024). Australia's AI Ethics Principles. Retrieved from https://www.industry.gov.au/topics/technology/australias-artificial-intelligence-ethics-framework</w:t>
      </w:r>
    </w:p>
    <w:p>
      <w:pPr>
        <w:ind w:left="720" w:hanging="720"/>
      </w:pPr>
      <w:r>
        <w:t>Floridi, L., Cowls, J., Beltrametti, M., Chatila, R., Chazerand, P., Dignum, V., ... &amp; Vayena, E. (2018). An ethical framework for a good AI society: Opportunities, risks, principles, and recommendations. Minds and Machines, 28(4), 689–707.</w:t>
      </w:r>
    </w:p>
    <w:p>
      <w:pPr>
        <w:ind w:left="720" w:hanging="720"/>
      </w:pPr>
      <w:r>
        <w:t>Huang, X., Kroening, D., Ruan, W., Sharp, J., Sun, Y., Thamo, E., Wu, M., &amp; Yi, X. (2020). A survey of safety and trustworthiness of deep neural networks: Verification, testing, adversarial attack and defence, and interpretability. Computer Science Review, 37, 100270. https://doi.org/10.1016/j.cosrev.2020.100270</w:t>
      </w:r>
    </w:p>
    <w:p>
      <w:pPr>
        <w:ind w:left="720" w:hanging="720"/>
      </w:pPr>
      <w:r>
        <w:t>Office of the Australian Information Commissioner. (2023). Privacy Act 1988. Retrieved from https://www.oaic.gov.au/privacy/the-privacy-act</w:t>
      </w:r>
    </w:p>
    <w:p>
      <w:pPr>
        <w:ind w:left="720" w:hanging="720"/>
      </w:pPr>
      <w:r>
        <w:t>Office of the Australian Information Commissioner. (2026). Privacy (Children's Online Privacy) Code 2026 (Exposure Draft). Made under subsection 26GC(1) of the Privacy Act 1988 (Cth). Australian Government.</w:t>
      </w:r>
    </w:p>
    <w:p>
      <w:pPr>
        <w:ind w:left="720" w:hanging="720"/>
      </w:pPr>
      <w:r>
        <w:t>Zuboff, S. (2019). The age of surveillance capitalism: The fight for a human future at the new frontier of power. PublicAffairs.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COS30019 – Introduction to AI  |  Assignment 2 Part C  |  [Student Name]  |  [Student 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