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Interpolation Method Robustness for Road Centreline</w:t>
        <w:br/>
        <w:t>Reconstruction Under CERPM Dropout Conditions</w:t>
      </w:r>
    </w:p>
    <w:p>
      <w:pPr>
        <w:jc w:val="center"/>
      </w:pPr>
      <w:r>
        <w:rPr>
          <w:rFonts w:ascii="Times New Roman" w:hAnsi="Times New Roman"/>
          <w:b/>
          <w:sz w:val="24"/>
        </w:rPr>
        <w:t xml:space="preserve">Author:  </w:t>
      </w:r>
      <w:r>
        <w:rPr>
          <w:rFonts w:ascii="Times New Roman" w:hAnsi="Times New Roman"/>
          <w:sz w:val="24"/>
        </w:rPr>
        <w:t>Alexander Bruce</w:t>
      </w:r>
    </w:p>
    <w:p>
      <w:pPr>
        <w:jc w:val="center"/>
      </w:pPr>
      <w:r>
        <w:rPr>
          <w:rFonts w:ascii="Times New Roman" w:hAnsi="Times New Roman"/>
          <w:b/>
          <w:sz w:val="24"/>
        </w:rPr>
        <w:t xml:space="preserve">Date:  </w:t>
      </w:r>
      <w:r>
        <w:rPr>
          <w:rFonts w:ascii="Times New Roman" w:hAnsi="Times New Roman"/>
          <w:sz w:val="24"/>
        </w:rPr>
        <w:t>June 2026</w:t>
      </w:r>
    </w:p>
    <w:p>
      <w:pPr>
        <w:jc w:val="center"/>
      </w:pPr>
      <w:r>
        <w:rPr>
          <w:rFonts w:ascii="Times New Roman" w:hAnsi="Times New Roman"/>
          <w:b/>
          <w:sz w:val="24"/>
        </w:rPr>
        <w:t xml:space="preserve">Module:  </w:t>
      </w:r>
      <w:r>
        <w:rPr>
          <w:rFonts w:ascii="Times New Roman" w:hAnsi="Times New Roman"/>
          <w:sz w:val="24"/>
        </w:rPr>
        <w:t>Research Project</w:t>
      </w:r>
    </w:p>
    <w:p/>
    <w:p>
      <w:pPr>
        <w:pStyle w:val="Heading1"/>
        <w:spacing w:before="200" w:after="80"/>
      </w:pPr>
      <w:r>
        <w:rPr>
          <w:rFonts w:ascii="Times New Roman" w:hAnsi="Times New Roman"/>
          <w:b/>
          <w:color w:val="000000"/>
          <w:sz w:val="24"/>
        </w:rPr>
        <w:t>2. Executive Summary</w:t>
      </w:r>
    </w:p>
    <w:p>
      <w:pPr>
        <w:spacing w:after="120"/>
      </w:pPr>
      <w:r>
        <w:rPr>
          <w:rFonts w:ascii="Times New Roman" w:hAnsi="Times New Roman"/>
          <w:sz w:val="24"/>
        </w:rPr>
        <w:t>This report investigates which interpolation method most robustly reconstructs road centrelines from incomplete Cat's Eye Road Position Marker (CERPM) boundary data. Seven methods — linear, quadratic, cubic spline, quartic, quintic, PCHIP, and Akima — were evaluated using Monte Carlo simulation (n = 2,000 runs per condition) across two failure modes: random marker dropout (1–20%) and clustered contiguous dropout (cluster sizes 2–20 markers), tested at five CERPM spacings (0.5 m to 5.0 m). Reconstruction accuracy was measured as the perpendicular distance from the reconstructed centreline to a Lanelet2 ground-truth centreline.</w:t>
      </w:r>
    </w:p>
    <w:p>
      <w:pPr>
        <w:spacing w:after="120"/>
      </w:pPr>
      <w:r>
        <w:rPr>
          <w:rFonts w:ascii="Times New Roman" w:hAnsi="Times New Roman"/>
          <w:sz w:val="24"/>
        </w:rPr>
        <w:t>Higher-order polynomial B-splines (quadratic, cubic spline, quartic, quintic) consistently outperformed linear interpolation, PCHIP, and Akima across all conditions. Linear interpolation failed at failure rates of up to 100% under clustered dropout at 5 m spacing. Quintic and quartic B-splines are recommended as the default algorithm for any CERPM-based road geometry system, combined with a marker spacing of 2 m or finer on curved road sections.</w:t>
      </w:r>
    </w:p>
    <w:p>
      <w:pPr>
        <w:pStyle w:val="Heading1"/>
        <w:spacing w:before="200" w:after="80"/>
      </w:pPr>
      <w:r>
        <w:rPr>
          <w:rFonts w:ascii="Times New Roman" w:hAnsi="Times New Roman"/>
          <w:b/>
          <w:color w:val="000000"/>
          <w:sz w:val="24"/>
        </w:rPr>
        <w:t>3. Table of Contents</w:t>
      </w:r>
    </w:p>
    <w:p>
      <w:pPr>
        <w:spacing w:after="40"/>
      </w:pPr>
      <w:r>
        <w:rPr>
          <w:rFonts w:ascii="Times New Roman" w:hAnsi="Times New Roman"/>
          <w:sz w:val="24"/>
        </w:rPr>
        <w:t>2. Executive Summary</w:t>
      </w:r>
    </w:p>
    <w:p>
      <w:pPr>
        <w:spacing w:after="40"/>
      </w:pPr>
      <w:r>
        <w:rPr>
          <w:rFonts w:ascii="Times New Roman" w:hAnsi="Times New Roman"/>
          <w:sz w:val="24"/>
        </w:rPr>
        <w:t>3. Table of Contents</w:t>
      </w:r>
    </w:p>
    <w:p>
      <w:pPr>
        <w:spacing w:after="40"/>
      </w:pPr>
      <w:r>
        <w:rPr>
          <w:rFonts w:ascii="Times New Roman" w:hAnsi="Times New Roman"/>
          <w:sz w:val="24"/>
        </w:rPr>
        <w:t>4. Statement of Problem</w:t>
      </w:r>
    </w:p>
    <w:p>
      <w:pPr>
        <w:spacing w:after="40"/>
      </w:pPr>
      <w:r>
        <w:rPr>
          <w:rFonts w:ascii="Times New Roman" w:hAnsi="Times New Roman"/>
          <w:sz w:val="24"/>
        </w:rPr>
        <w:t>5. Introduction</w:t>
      </w:r>
    </w:p>
    <w:p>
      <w:pPr>
        <w:spacing w:after="40"/>
      </w:pPr>
      <w:r>
        <w:rPr>
          <w:rFonts w:ascii="Times New Roman" w:hAnsi="Times New Roman"/>
          <w:sz w:val="24"/>
        </w:rPr>
        <w:t>6. Background</w:t>
      </w:r>
    </w:p>
    <w:p>
      <w:pPr>
        <w:spacing w:after="40"/>
      </w:pPr>
      <w:r>
        <w:rPr>
          <w:rFonts w:ascii="Times New Roman" w:hAnsi="Times New Roman"/>
          <w:sz w:val="24"/>
        </w:rPr>
        <w:t>7. Strategy</w:t>
      </w:r>
    </w:p>
    <w:p>
      <w:pPr>
        <w:spacing w:after="40"/>
      </w:pPr>
      <w:r>
        <w:rPr>
          <w:rFonts w:ascii="Times New Roman" w:hAnsi="Times New Roman"/>
          <w:sz w:val="24"/>
        </w:rPr>
        <w:t>8. Project Management</w:t>
      </w:r>
    </w:p>
    <w:p>
      <w:pPr>
        <w:spacing w:after="40"/>
      </w:pPr>
      <w:r>
        <w:rPr>
          <w:rFonts w:ascii="Times New Roman" w:hAnsi="Times New Roman"/>
          <w:sz w:val="24"/>
        </w:rPr>
        <w:t xml:space="preserve">    8.1. Task Phases</w:t>
      </w:r>
    </w:p>
    <w:p>
      <w:pPr>
        <w:spacing w:after="40"/>
      </w:pPr>
      <w:r>
        <w:rPr>
          <w:rFonts w:ascii="Times New Roman" w:hAnsi="Times New Roman"/>
          <w:sz w:val="24"/>
        </w:rPr>
        <w:t xml:space="preserve">    8.2. Responsibilities</w:t>
      </w:r>
    </w:p>
    <w:p>
      <w:pPr>
        <w:spacing w:after="40"/>
      </w:pPr>
      <w:r>
        <w:rPr>
          <w:rFonts w:ascii="Times New Roman" w:hAnsi="Times New Roman"/>
          <w:sz w:val="24"/>
        </w:rPr>
        <w:t xml:space="preserve">    8.3. Timeline</w:t>
      </w:r>
    </w:p>
    <w:p>
      <w:pPr>
        <w:spacing w:after="40"/>
      </w:pPr>
      <w:r>
        <w:rPr>
          <w:rFonts w:ascii="Times New Roman" w:hAnsi="Times New Roman"/>
          <w:sz w:val="24"/>
        </w:rPr>
        <w:t>9. Deliverable Outcomes</w:t>
      </w:r>
    </w:p>
    <w:p>
      <w:pPr>
        <w:spacing w:after="40"/>
      </w:pPr>
      <w:r>
        <w:rPr>
          <w:rFonts w:ascii="Times New Roman" w:hAnsi="Times New Roman"/>
          <w:sz w:val="24"/>
        </w:rPr>
        <w:t>10. References</w:t>
      </w:r>
    </w:p>
    <w:p/>
    <w:p>
      <w:pPr>
        <w:pStyle w:val="Heading1"/>
        <w:spacing w:before="200" w:after="80"/>
      </w:pPr>
      <w:r>
        <w:rPr>
          <w:rFonts w:ascii="Times New Roman" w:hAnsi="Times New Roman"/>
          <w:b/>
          <w:color w:val="000000"/>
          <w:sz w:val="24"/>
        </w:rPr>
        <w:t>4. Statement of Problem</w:t>
      </w:r>
    </w:p>
    <w:p>
      <w:pPr>
        <w:spacing w:after="120"/>
      </w:pPr>
      <w:r>
        <w:rPr>
          <w:rFonts w:ascii="Times New Roman" w:hAnsi="Times New Roman"/>
          <w:sz w:val="24"/>
        </w:rPr>
        <w:t>Cat's Eye Road Position Markers embedded in road surfaces can provide real-time road boundary geometry to connected and autonomous vehicles (CAVs). However, no sensor network operates without data loss. Individual markers may fail to report due to battery depletion, physical damage, flooding, or wireless communication congestion. When markers drop out, the receiving system must reconstruct the missing boundary geometry algorithmically. The wrong algorithm can introduce lateral positioning errors exceeding the 0.2 m safety margin required by autonomous driving standards [1], potentially causing unsafe lane positioning or collision.</w:t>
      </w:r>
    </w:p>
    <w:p>
      <w:pPr>
        <w:spacing w:after="120"/>
      </w:pPr>
      <w:r>
        <w:rPr>
          <w:rFonts w:ascii="Times New Roman" w:hAnsi="Times New Roman"/>
          <w:sz w:val="24"/>
        </w:rPr>
        <w:t>The core problem is that no systematic, evidence-based comparison of interpolation methods exists for this specific application. Practitioners currently default to linear interpolation — the simplest option — without quantitative justification. This project addresses that gap by providing a statistically rigorous, simulation-based ranking of seven candidate algorithms across a comprehensive parameter space of marker spacings and failure severities.</w:t>
      </w:r>
    </w:p>
    <w:p>
      <w:pPr>
        <w:pStyle w:val="Heading1"/>
        <w:spacing w:before="200" w:after="80"/>
      </w:pPr>
      <w:r>
        <w:rPr>
          <w:rFonts w:ascii="Times New Roman" w:hAnsi="Times New Roman"/>
          <w:b/>
          <w:color w:val="000000"/>
          <w:sz w:val="24"/>
        </w:rPr>
        <w:t>5. Introduction</w:t>
      </w:r>
    </w:p>
    <w:p>
      <w:pPr>
        <w:spacing w:after="120"/>
      </w:pPr>
      <w:r>
        <w:rPr>
          <w:rFonts w:ascii="Times New Roman" w:hAnsi="Times New Roman"/>
          <w:sz w:val="24"/>
        </w:rPr>
        <w:t>This project evaluates seven interpolation methods for reconstructing road centrelines from incomplete CERPM boundary data, using Monte Carlo simulation over a Lanelet2 road map. The aim is to determine which method is most resilient to data loss, and to define the conditions under which each method fails. The output is actionable guidance for engineers and infrastructure managers selecting algorithms for CERPM-based road systems.</w:t>
      </w:r>
    </w:p>
    <w:p>
      <w:pPr>
        <w:spacing w:after="120"/>
      </w:pPr>
      <w:r>
        <w:rPr>
          <w:rFonts w:ascii="Times New Roman" w:hAnsi="Times New Roman"/>
          <w:sz w:val="24"/>
        </w:rPr>
        <w:t>Road centreline reconstruction is a well-defined geometric problem: given a subset of left and right road boundary points, reconstruct the boundary curves and compute their midpoint at each location. The challenge lies in how well different curve-fitting algorithms extrapolate across gaps — segments where markers are missing — particularly for curved road sections where a naive straight-line approximation introduces significant lateral error.</w:t>
      </w:r>
    </w:p>
    <w:p>
      <w:pPr>
        <w:spacing w:after="120"/>
      </w:pPr>
      <w:r>
        <w:rPr>
          <w:rFonts w:ascii="Times New Roman" w:hAnsi="Times New Roman"/>
          <w:sz w:val="24"/>
        </w:rPr>
        <w:t>The project targets two distinct failure modes: random independent dropout (modelling sporadic sensor faults distributed across the network) and clustered contiguous dropout (modelling a localised zone of failure, such as a flooded road section or a stretch of physical damage). Both are operationally relevant and place different demands on the reconstruction algorithm. Random dropout preserves local geometric information at most locations; clustered dropout removes all geometric information across an extended stretch, demanding that the algorithm extrapolate across the gap using only the shape of the road on either side.</w:t>
      </w:r>
    </w:p>
    <w:p>
      <w:pPr>
        <w:pStyle w:val="Heading1"/>
        <w:spacing w:before="200" w:after="80"/>
      </w:pPr>
      <w:r>
        <w:rPr>
          <w:rFonts w:ascii="Times New Roman" w:hAnsi="Times New Roman"/>
          <w:b/>
          <w:color w:val="000000"/>
          <w:sz w:val="24"/>
        </w:rPr>
        <w:t>6. Background</w:t>
      </w:r>
    </w:p>
    <w:p>
      <w:pPr>
        <w:pStyle w:val="Heading2"/>
        <w:spacing w:before="200" w:after="80"/>
      </w:pPr>
      <w:r>
        <w:rPr>
          <w:rFonts w:ascii="Times New Roman" w:hAnsi="Times New Roman"/>
          <w:b/>
          <w:color w:val="000000"/>
          <w:sz w:val="24"/>
        </w:rPr>
        <w:t>6.1. Relevance and Importance</w:t>
      </w:r>
    </w:p>
    <w:p>
      <w:pPr>
        <w:spacing w:after="120"/>
      </w:pPr>
      <w:r>
        <w:rPr>
          <w:rFonts w:ascii="Times New Roman" w:hAnsi="Times New Roman"/>
          <w:sz w:val="24"/>
        </w:rPr>
        <w:t>The UK government's CAV roadmap and the EU C-Roads programme both identify infrastructure-based positioning as a key enabler for Level 3+ vehicle automation. CERPMs offer a low-cost, weather-independent complement to on-vehicle sensing, but their utility depends entirely on the accuracy of centreline reconstruction when data is incomplete. ISO 21448 (Safety of the Intended Functionality) and SAE J3016 imply sub-0.2 m positioning accuracy requirements for lane-keeping assistance [1][2], making algorithm selection safety-critical.</w:t>
      </w:r>
    </w:p>
    <w:p>
      <w:pPr>
        <w:pStyle w:val="Heading2"/>
        <w:spacing w:before="200" w:after="80"/>
      </w:pPr>
      <w:r>
        <w:rPr>
          <w:rFonts w:ascii="Times New Roman" w:hAnsi="Times New Roman"/>
          <w:b/>
          <w:color w:val="000000"/>
          <w:sz w:val="24"/>
        </w:rPr>
        <w:t>6.2. Literature Review</w:t>
      </w:r>
    </w:p>
    <w:p>
      <w:pPr>
        <w:spacing w:after="120"/>
      </w:pPr>
      <w:r>
        <w:rPr>
          <w:rFonts w:ascii="Times New Roman" w:hAnsi="Times New Roman"/>
          <w:sz w:val="24"/>
        </w:rPr>
        <w:t>Polynomial spline interpolation is well established in numerical analysis. Burden and Faires [3] describe natural cubic splines (C² continuous), which enforce zero second derivative at endpoints but can exhibit Runge oscillations with sparse data. Fritsch and Carlson [4] introduced PCHIP to address this by enforcing monotonicity in each interval, preventing overshoot. Akima [5] proposed a locally-weighted spline that limits the influence of distant data on local curve shape. B-splines of degree k (de Boor [6]) provide a unified framework for linear (k=1) through quintic (k=5) interpolants. All methods tested here use arc-length parameterisation — computing a normalised cumulative chord length t ∈ [0,1] — following Hartley and Zisserman [7], which prevents the systematic distortion introduced by naive index-based parameterisation.</w:t>
      </w:r>
    </w:p>
    <w:p>
      <w:pPr>
        <w:spacing w:after="120"/>
      </w:pPr>
      <w:r>
        <w:rPr>
          <w:rFonts w:ascii="Times New Roman" w:hAnsi="Times New Roman"/>
          <w:sz w:val="24"/>
        </w:rPr>
        <w:t>Dropout modelling in road sensor networks has precedent from inductive loop detector studies [8]. Toth and Jóźków [9] note that sensor occlusion produces spatially correlated gaps, supporting the relevance of a clustered failure model alongside random dropout. Levinson et al. [10] demonstrate that HD map quality directly affects autonomous vehicle safety margins, reinforcing the importance of robust boundary reconstruction.</w:t>
      </w:r>
    </w:p>
    <w:p>
      <w:pPr>
        <w:pStyle w:val="Heading2"/>
        <w:spacing w:before="200" w:after="80"/>
      </w:pPr>
      <w:r>
        <w:rPr>
          <w:rFonts w:ascii="Times New Roman" w:hAnsi="Times New Roman"/>
          <w:b/>
          <w:color w:val="000000"/>
          <w:sz w:val="24"/>
        </w:rPr>
        <w:t>6.3. Legal, Environmental and Ethical Considerations</w:t>
      </w:r>
    </w:p>
    <w:p>
      <w:pPr>
        <w:spacing w:after="120"/>
      </w:pPr>
      <w:r>
        <w:rPr>
          <w:rFonts w:ascii="Times New Roman" w:hAnsi="Times New Roman"/>
          <w:sz w:val="24"/>
        </w:rPr>
        <w:t>An interpolation algorithm embedded in an autonomous driving pipeline is safety-critical software. UK Product Safety and Telecommunications Product Safety regulations, and the emerging EU AI Act, impose obligations to validate and document algorithm performance before deployment. This project contributes to that validation evidence base. Environmental considerations are minimal — the study is computational — but the results may influence physical CERPM deployment density: a recommendation to halve marker spacing from 5 m to 2 m roughly doubles material and installation costs, so evidence that finer spacing is necessary carries direct economic weight. There are no identified ethical concerns specific to the algorithmic comparison itself, though any system used to guide autonomous vehicles in safety-critical scenarios requires appropriate human oversight and fail-safe mechanisms regardless of the reconstruction algorithm selected.</w:t>
      </w:r>
    </w:p>
    <w:p>
      <w:pPr>
        <w:pStyle w:val="Heading1"/>
        <w:spacing w:before="200" w:after="80"/>
      </w:pPr>
      <w:r>
        <w:rPr>
          <w:rFonts w:ascii="Times New Roman" w:hAnsi="Times New Roman"/>
          <w:b/>
          <w:color w:val="000000"/>
          <w:sz w:val="24"/>
        </w:rPr>
        <w:t>7. Strategy</w:t>
      </w:r>
    </w:p>
    <w:p>
      <w:pPr>
        <w:pStyle w:val="Heading2"/>
        <w:spacing w:before="200" w:after="80"/>
      </w:pPr>
      <w:r>
        <w:rPr>
          <w:rFonts w:ascii="Times New Roman" w:hAnsi="Times New Roman"/>
          <w:b/>
          <w:color w:val="000000"/>
          <w:sz w:val="24"/>
        </w:rPr>
        <w:t>7.1. What Work Was Done</w:t>
      </w:r>
    </w:p>
    <w:p>
      <w:pPr>
        <w:spacing w:after="120"/>
      </w:pPr>
      <w:r>
        <w:rPr>
          <w:rFonts w:ascii="Times New Roman" w:hAnsi="Times New Roman"/>
          <w:sz w:val="24"/>
        </w:rPr>
        <w:t xml:space="preserve">A Python simulation framework was developed comprising four modules: </w:t>
      </w:r>
      <w:r>
        <w:rPr>
          <w:rFonts w:ascii="Times New Roman" w:hAnsi="Times New Roman"/>
          <w:b/>
          <w:sz w:val="24"/>
        </w:rPr>
        <w:t>test.py</w:t>
      </w:r>
      <w:r>
        <w:rPr>
          <w:rFonts w:ascii="Times New Roman" w:hAnsi="Times New Roman"/>
          <w:sz w:val="24"/>
        </w:rPr>
        <w:t xml:space="preserve"> (Lanelet2 OSM map parser and road geometry utilities), </w:t>
      </w:r>
      <w:r>
        <w:rPr>
          <w:rFonts w:ascii="Times New Roman" w:hAnsi="Times New Roman"/>
          <w:b/>
          <w:sz w:val="24"/>
        </w:rPr>
        <w:t>Interpolations.py</w:t>
      </w:r>
      <w:r>
        <w:rPr>
          <w:rFonts w:ascii="Times New Roman" w:hAnsi="Times New Roman"/>
          <w:sz w:val="24"/>
        </w:rPr>
        <w:t xml:space="preserve"> (seven interpolation method implementations with arc-length parameterisation), </w:t>
      </w:r>
      <w:r>
        <w:rPr>
          <w:rFonts w:ascii="Times New Roman" w:hAnsi="Times New Roman"/>
          <w:b/>
          <w:sz w:val="24"/>
        </w:rPr>
        <w:t>Simulation.py</w:t>
      </w:r>
      <w:r>
        <w:rPr>
          <w:rFonts w:ascii="Times New Roman" w:hAnsi="Times New Roman"/>
          <w:sz w:val="24"/>
        </w:rPr>
        <w:t xml:space="preserve"> (Monte Carlo simulation engine with parallel execution), and </w:t>
      </w:r>
      <w:r>
        <w:rPr>
          <w:rFonts w:ascii="Times New Roman" w:hAnsi="Times New Roman"/>
          <w:b/>
          <w:sz w:val="24"/>
        </w:rPr>
        <w:t>xmlParse.py</w:t>
      </w:r>
      <w:r>
        <w:rPr>
          <w:rFonts w:ascii="Times New Roman" w:hAnsi="Times New Roman"/>
          <w:sz w:val="24"/>
        </w:rPr>
        <w:t xml:space="preserve"> (analysis pipeline and visualisation). The Town07 Lanelet2 map was used as the ground-truth road geometry source.</w:t>
      </w:r>
    </w:p>
    <w:p>
      <w:pPr>
        <w:spacing w:after="120"/>
      </w:pPr>
      <w:r>
        <w:rPr>
          <w:rFonts w:ascii="Times New Roman" w:hAnsi="Times New Roman"/>
          <w:sz w:val="24"/>
        </w:rPr>
        <w:t>For each of 70 parameter combinations (7 methods × 5 intervals × 2 dropout modes × varying severities), 2,000 independent Monte Carlo trials were executed. Each trial: (1) resampled road boundaries to the target CERPM interval; (2) applied random or clustered dropout; (3) interpolated surviving markers to reconstruct boundaries; (4) computed a centreline from reconstructed boundaries; (5) measured perpendicular error against the ground-truth centreline.</w:t>
      </w:r>
    </w:p>
    <w:p>
      <w:pPr>
        <w:pStyle w:val="Heading2"/>
        <w:spacing w:before="200" w:after="80"/>
      </w:pPr>
      <w:r>
        <w:rPr>
          <w:rFonts w:ascii="Times New Roman" w:hAnsi="Times New Roman"/>
          <w:b/>
          <w:color w:val="000000"/>
          <w:sz w:val="24"/>
        </w:rPr>
        <w:t>7.2. Why This Work Is Needed</w:t>
      </w:r>
    </w:p>
    <w:p>
      <w:pPr>
        <w:spacing w:after="120"/>
      </w:pPr>
      <w:r>
        <w:rPr>
          <w:rFonts w:ascii="Times New Roman" w:hAnsi="Times New Roman"/>
          <w:sz w:val="24"/>
        </w:rPr>
        <w:t>Linear interpolation — the current implicit default — assumes road geometry is piecewise straight. This is accurate only at very fine marker spacings. At spacings of 2 m or more, linear interpolation on a curved road section introduces a chord-midpoint error proportional to the square of the gap length. Higher-order methods can exploit the smoothness of real road geometry to extrapolate across gaps far more accurately. Without a systematic comparison, practitioners have no evidence base for selecting an alternative — this project provides it.</w:t>
      </w:r>
    </w:p>
    <w:p>
      <w:pPr>
        <w:pStyle w:val="Heading2"/>
        <w:spacing w:before="200" w:after="80"/>
      </w:pPr>
      <w:r>
        <w:rPr>
          <w:rFonts w:ascii="Times New Roman" w:hAnsi="Times New Roman"/>
          <w:b/>
          <w:color w:val="000000"/>
          <w:sz w:val="24"/>
        </w:rPr>
        <w:t>7.3. Method Comparison and Justification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b/>
                <w:sz w:val="24"/>
              </w:rPr>
              <w:t>Method</w:t>
            </w:r>
          </w:p>
        </w:tc>
        <w:tc>
          <w:tcPr>
            <w:tcW w:type="dxa" w:w="2351"/>
          </w:tcPr>
          <w:p>
            <w:pPr>
              <w:jc w:val="center"/>
            </w:pPr>
            <w:r>
              <w:rPr>
                <w:rFonts w:ascii="Times New Roman" w:hAnsi="Times New Roman"/>
                <w:b/>
                <w:sz w:val="24"/>
              </w:rPr>
              <w:t>Continuity</w:t>
            </w:r>
          </w:p>
        </w:tc>
        <w:tc>
          <w:tcPr>
            <w:tcW w:type="dxa" w:w="2351"/>
          </w:tcPr>
          <w:p>
            <w:pPr>
              <w:jc w:val="center"/>
            </w:pPr>
            <w:r>
              <w:rPr>
                <w:rFonts w:ascii="Times New Roman" w:hAnsi="Times New Roman"/>
                <w:b/>
                <w:sz w:val="24"/>
              </w:rPr>
              <w:t>Key Property</w:t>
            </w:r>
          </w:p>
        </w:tc>
        <w:tc>
          <w:tcPr>
            <w:tcW w:type="dxa" w:w="2351"/>
          </w:tcPr>
          <w:p>
            <w:pPr>
              <w:jc w:val="center"/>
            </w:pPr>
            <w:r>
              <w:rPr>
                <w:rFonts w:ascii="Times New Roman" w:hAnsi="Times New Roman"/>
                <w:b/>
                <w:sz w:val="24"/>
              </w:rPr>
              <w:t>Justification for Inclusion</w:t>
            </w:r>
          </w:p>
        </w:tc>
      </w:tr>
      <w:tr>
        <w:tc>
          <w:tcPr>
            <w:tcW w:type="dxa" w:w="2351"/>
          </w:tcPr>
          <w:p>
            <w:r>
              <w:rPr>
                <w:rFonts w:ascii="Times New Roman" w:hAnsi="Times New Roman"/>
                <w:sz w:val="24"/>
              </w:rPr>
              <w:t>Linear</w:t>
            </w:r>
          </w:p>
        </w:tc>
        <w:tc>
          <w:tcPr>
            <w:tcW w:type="dxa" w:w="2351"/>
          </w:tcPr>
          <w:p>
            <w:r>
              <w:rPr>
                <w:rFonts w:ascii="Times New Roman" w:hAnsi="Times New Roman"/>
                <w:sz w:val="24"/>
              </w:rPr>
              <w:t>C⁰</w:t>
            </w:r>
          </w:p>
        </w:tc>
        <w:tc>
          <w:tcPr>
            <w:tcW w:type="dxa" w:w="2351"/>
          </w:tcPr>
          <w:p>
            <w:r>
              <w:rPr>
                <w:rFonts w:ascii="Times New Roman" w:hAnsi="Times New Roman"/>
                <w:sz w:val="24"/>
              </w:rPr>
              <w:t>Piecewise straight</w:t>
            </w:r>
          </w:p>
        </w:tc>
        <w:tc>
          <w:tcPr>
            <w:tcW w:type="dxa" w:w="2351"/>
          </w:tcPr>
          <w:p>
            <w:r>
              <w:rPr>
                <w:rFonts w:ascii="Times New Roman" w:hAnsi="Times New Roman"/>
                <w:sz w:val="24"/>
              </w:rPr>
              <w:t>Baseline; current implicit default</w:t>
            </w:r>
          </w:p>
        </w:tc>
      </w:tr>
      <w:tr>
        <w:tc>
          <w:tcPr>
            <w:tcW w:type="dxa" w:w="2351"/>
          </w:tcPr>
          <w:p>
            <w:r>
              <w:rPr>
                <w:rFonts w:ascii="Times New Roman" w:hAnsi="Times New Roman"/>
                <w:sz w:val="24"/>
              </w:rPr>
              <w:t>Quadratic spline</w:t>
            </w:r>
          </w:p>
        </w:tc>
        <w:tc>
          <w:tcPr>
            <w:tcW w:type="dxa" w:w="2351"/>
          </w:tcPr>
          <w:p>
            <w:r>
              <w:rPr>
                <w:rFonts w:ascii="Times New Roman" w:hAnsi="Times New Roman"/>
                <w:sz w:val="24"/>
              </w:rPr>
              <w:t>C¹</w:t>
            </w:r>
          </w:p>
        </w:tc>
        <w:tc>
          <w:tcPr>
            <w:tcW w:type="dxa" w:w="2351"/>
          </w:tcPr>
          <w:p>
            <w:r>
              <w:rPr>
                <w:rFonts w:ascii="Times New Roman" w:hAnsi="Times New Roman"/>
                <w:sz w:val="24"/>
              </w:rPr>
              <w:t>Smooth; limited curvature</w:t>
            </w:r>
          </w:p>
        </w:tc>
        <w:tc>
          <w:tcPr>
            <w:tcW w:type="dxa" w:w="2351"/>
          </w:tcPr>
          <w:p>
            <w:r>
              <w:rPr>
                <w:rFonts w:ascii="Times New Roman" w:hAnsi="Times New Roman"/>
                <w:sz w:val="24"/>
              </w:rPr>
              <w:t>Low-cost step above linear</w:t>
            </w:r>
          </w:p>
        </w:tc>
      </w:tr>
      <w:tr>
        <w:tc>
          <w:tcPr>
            <w:tcW w:type="dxa" w:w="2351"/>
          </w:tcPr>
          <w:p>
            <w:r>
              <w:rPr>
                <w:rFonts w:ascii="Times New Roman" w:hAnsi="Times New Roman"/>
                <w:sz w:val="24"/>
              </w:rPr>
              <w:t>Cubic spline</w:t>
            </w:r>
          </w:p>
        </w:tc>
        <w:tc>
          <w:tcPr>
            <w:tcW w:type="dxa" w:w="2351"/>
          </w:tcPr>
          <w:p>
            <w:r>
              <w:rPr>
                <w:rFonts w:ascii="Times New Roman" w:hAnsi="Times New Roman"/>
                <w:sz w:val="24"/>
              </w:rPr>
              <w:t>C²</w:t>
            </w:r>
          </w:p>
        </w:tc>
        <w:tc>
          <w:tcPr>
            <w:tcW w:type="dxa" w:w="2351"/>
          </w:tcPr>
          <w:p>
            <w:r>
              <w:rPr>
                <w:rFonts w:ascii="Times New Roman" w:hAnsi="Times New Roman"/>
                <w:sz w:val="24"/>
              </w:rPr>
              <w:t>Natural; zero 2nd deriv.</w:t>
            </w:r>
          </w:p>
        </w:tc>
        <w:tc>
          <w:tcPr>
            <w:tcW w:type="dxa" w:w="2351"/>
          </w:tcPr>
          <w:p>
            <w:r>
              <w:rPr>
                <w:rFonts w:ascii="Times New Roman" w:hAnsi="Times New Roman"/>
                <w:sz w:val="24"/>
              </w:rPr>
              <w:t>Standard smooth interpolant</w:t>
            </w:r>
          </w:p>
        </w:tc>
      </w:tr>
      <w:tr>
        <w:tc>
          <w:tcPr>
            <w:tcW w:type="dxa" w:w="2351"/>
          </w:tcPr>
          <w:p>
            <w:r>
              <w:rPr>
                <w:rFonts w:ascii="Times New Roman" w:hAnsi="Times New Roman"/>
                <w:sz w:val="24"/>
              </w:rPr>
              <w:t>Quartic spline</w:t>
            </w:r>
          </w:p>
        </w:tc>
        <w:tc>
          <w:tcPr>
            <w:tcW w:type="dxa" w:w="2351"/>
          </w:tcPr>
          <w:p>
            <w:r>
              <w:rPr>
                <w:rFonts w:ascii="Times New Roman" w:hAnsi="Times New Roman"/>
                <w:sz w:val="24"/>
              </w:rPr>
              <w:t>C³</w:t>
            </w:r>
          </w:p>
        </w:tc>
        <w:tc>
          <w:tcPr>
            <w:tcW w:type="dxa" w:w="2351"/>
          </w:tcPr>
          <w:p>
            <w:r>
              <w:rPr>
                <w:rFonts w:ascii="Times New Roman" w:hAnsi="Times New Roman"/>
                <w:sz w:val="24"/>
              </w:rPr>
              <w:t>Higher-order curvature</w:t>
            </w:r>
          </w:p>
        </w:tc>
        <w:tc>
          <w:tcPr>
            <w:tcW w:type="dxa" w:w="2351"/>
          </w:tcPr>
          <w:p>
            <w:r>
              <w:rPr>
                <w:rFonts w:ascii="Times New Roman" w:hAnsi="Times New Roman"/>
                <w:sz w:val="24"/>
              </w:rPr>
              <w:t>Tests benefit of added degree</w:t>
            </w:r>
          </w:p>
        </w:tc>
      </w:tr>
      <w:tr>
        <w:tc>
          <w:tcPr>
            <w:tcW w:type="dxa" w:w="2351"/>
          </w:tcPr>
          <w:p>
            <w:r>
              <w:rPr>
                <w:rFonts w:ascii="Times New Roman" w:hAnsi="Times New Roman"/>
                <w:sz w:val="24"/>
              </w:rPr>
              <w:t>Quintic spline</w:t>
            </w:r>
          </w:p>
        </w:tc>
        <w:tc>
          <w:tcPr>
            <w:tcW w:type="dxa" w:w="2351"/>
          </w:tcPr>
          <w:p>
            <w:r>
              <w:rPr>
                <w:rFonts w:ascii="Times New Roman" w:hAnsi="Times New Roman"/>
                <w:sz w:val="24"/>
              </w:rPr>
              <w:t>C⁴</w:t>
            </w:r>
          </w:p>
        </w:tc>
        <w:tc>
          <w:tcPr>
            <w:tcW w:type="dxa" w:w="2351"/>
          </w:tcPr>
          <w:p>
            <w:r>
              <w:rPr>
                <w:rFonts w:ascii="Times New Roman" w:hAnsi="Times New Roman"/>
                <w:sz w:val="24"/>
              </w:rPr>
              <w:t>Very smooth</w:t>
            </w:r>
          </w:p>
        </w:tc>
        <w:tc>
          <w:tcPr>
            <w:tcW w:type="dxa" w:w="2351"/>
          </w:tcPr>
          <w:p>
            <w:r>
              <w:rPr>
                <w:rFonts w:ascii="Times New Roman" w:hAnsi="Times New Roman"/>
                <w:sz w:val="24"/>
              </w:rPr>
              <w:t>Upper bound on polynomial order</w:t>
            </w:r>
          </w:p>
        </w:tc>
      </w:tr>
      <w:tr>
        <w:tc>
          <w:tcPr>
            <w:tcW w:type="dxa" w:w="2351"/>
          </w:tcPr>
          <w:p>
            <w:r>
              <w:rPr>
                <w:rFonts w:ascii="Times New Roman" w:hAnsi="Times New Roman"/>
                <w:sz w:val="24"/>
              </w:rPr>
              <w:t>PCHIP</w:t>
            </w:r>
          </w:p>
        </w:tc>
        <w:tc>
          <w:tcPr>
            <w:tcW w:type="dxa" w:w="2351"/>
          </w:tcPr>
          <w:p>
            <w:r>
              <w:rPr>
                <w:rFonts w:ascii="Times New Roman" w:hAnsi="Times New Roman"/>
                <w:sz w:val="24"/>
              </w:rPr>
              <w:t>C¹</w:t>
            </w:r>
          </w:p>
        </w:tc>
        <w:tc>
          <w:tcPr>
            <w:tcW w:type="dxa" w:w="2351"/>
          </w:tcPr>
          <w:p>
            <w:r>
              <w:rPr>
                <w:rFonts w:ascii="Times New Roman" w:hAnsi="Times New Roman"/>
                <w:sz w:val="24"/>
              </w:rPr>
              <w:t>Monotone; no overshoot</w:t>
            </w:r>
          </w:p>
        </w:tc>
        <w:tc>
          <w:tcPr>
            <w:tcW w:type="dxa" w:w="2351"/>
          </w:tcPr>
          <w:p>
            <w:r>
              <w:rPr>
                <w:rFonts w:ascii="Times New Roman" w:hAnsi="Times New Roman"/>
                <w:sz w:val="24"/>
              </w:rPr>
              <w:t>Designed for sparse uneven data</w:t>
            </w:r>
          </w:p>
        </w:tc>
      </w:tr>
      <w:tr>
        <w:tc>
          <w:tcPr>
            <w:tcW w:type="dxa" w:w="2351"/>
          </w:tcPr>
          <w:p>
            <w:r>
              <w:rPr>
                <w:rFonts w:ascii="Times New Roman" w:hAnsi="Times New Roman"/>
                <w:sz w:val="24"/>
              </w:rPr>
              <w:t>Akima</w:t>
            </w:r>
          </w:p>
        </w:tc>
        <w:tc>
          <w:tcPr>
            <w:tcW w:type="dxa" w:w="2351"/>
          </w:tcPr>
          <w:p>
            <w:r>
              <w:rPr>
                <w:rFonts w:ascii="Times New Roman" w:hAnsi="Times New Roman"/>
                <w:sz w:val="24"/>
              </w:rPr>
              <w:t>C¹</w:t>
            </w:r>
          </w:p>
        </w:tc>
        <w:tc>
          <w:tcPr>
            <w:tcW w:type="dxa" w:w="2351"/>
          </w:tcPr>
          <w:p>
            <w:r>
              <w:rPr>
                <w:rFonts w:ascii="Times New Roman" w:hAnsi="Times New Roman"/>
                <w:sz w:val="24"/>
              </w:rPr>
              <w:t>Locally weighted</w:t>
            </w:r>
          </w:p>
        </w:tc>
        <w:tc>
          <w:tcPr>
            <w:tcW w:type="dxa" w:w="2351"/>
          </w:tcPr>
          <w:p>
            <w:r>
              <w:rPr>
                <w:rFonts w:ascii="Times New Roman" w:hAnsi="Times New Roman"/>
                <w:sz w:val="24"/>
              </w:rPr>
              <w:t>Resilient to propagation of gaps</w:t>
            </w:r>
          </w:p>
        </w:tc>
      </w:tr>
    </w:tbl>
    <w:p/>
    <w:p>
      <w:pPr>
        <w:spacing w:after="120"/>
      </w:pPr>
      <w:r>
        <w:rPr>
          <w:rFonts w:ascii="Times New Roman" w:hAnsi="Times New Roman"/>
          <w:sz w:val="24"/>
        </w:rPr>
        <w:t>Monte Carlo simulation was chosen over analytical methods because the interaction of dropout randomness, road geometry, and interpolation non-linearity has no tractable closed form. 2,000 trials per condition was validated by convergence analysis — IQR estimates stabilised within 1% relative change beyond ~1,500 runs.</w:t>
      </w:r>
    </w:p>
    <w:p>
      <w:pPr>
        <w:pStyle w:val="Heading1"/>
        <w:spacing w:before="200" w:after="80"/>
      </w:pPr>
      <w:r>
        <w:rPr>
          <w:rFonts w:ascii="Times New Roman" w:hAnsi="Times New Roman"/>
          <w:b/>
          <w:color w:val="000000"/>
          <w:sz w:val="24"/>
        </w:rPr>
        <w:t>8. Project Management</w:t>
      </w:r>
    </w:p>
    <w:p>
      <w:pPr>
        <w:pStyle w:val="Heading2"/>
        <w:spacing w:before="200" w:after="80"/>
      </w:pPr>
      <w:r>
        <w:rPr>
          <w:rFonts w:ascii="Times New Roman" w:hAnsi="Times New Roman"/>
          <w:b/>
          <w:color w:val="000000"/>
          <w:sz w:val="24"/>
        </w:rPr>
        <w:t>8.1. Task Phases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b/>
                <w:sz w:val="24"/>
              </w:rPr>
              <w:t>Phase</w:t>
            </w:r>
          </w:p>
        </w:tc>
        <w:tc>
          <w:tcPr>
            <w:tcW w:type="dxa" w:w="3135"/>
          </w:tcPr>
          <w:p>
            <w:pPr>
              <w:jc w:val="center"/>
            </w:pPr>
            <w:r>
              <w:rPr>
                <w:rFonts w:ascii="Times New Roman" w:hAnsi="Times New Roman"/>
                <w:b/>
                <w:sz w:val="24"/>
              </w:rPr>
              <w:t>Tasks</w:t>
            </w:r>
          </w:p>
        </w:tc>
        <w:tc>
          <w:tcPr>
            <w:tcW w:type="dxa" w:w="3135"/>
          </w:tcPr>
          <w:p>
            <w:pPr>
              <w:jc w:val="center"/>
            </w:pPr>
            <w:r>
              <w:rPr>
                <w:rFonts w:ascii="Times New Roman" w:hAnsi="Times New Roman"/>
                <w:b/>
                <w:sz w:val="24"/>
              </w:rPr>
              <w:t>Deliverable</w:t>
            </w:r>
          </w:p>
        </w:tc>
      </w:tr>
      <w:tr>
        <w:tc>
          <w:tcPr>
            <w:tcW w:type="dxa" w:w="3135"/>
          </w:tcPr>
          <w:p>
            <w:r>
              <w:rPr>
                <w:rFonts w:ascii="Times New Roman" w:hAnsi="Times New Roman"/>
                <w:sz w:val="24"/>
              </w:rPr>
              <w:t>1 — Scoping</w:t>
            </w:r>
          </w:p>
        </w:tc>
        <w:tc>
          <w:tcPr>
            <w:tcW w:type="dxa" w:w="3135"/>
          </w:tcPr>
          <w:p>
            <w:r>
              <w:rPr>
                <w:rFonts w:ascii="Times New Roman" w:hAnsi="Times New Roman"/>
                <w:sz w:val="24"/>
              </w:rPr>
              <w:t>Literature review; define failure modes; shortlist methods</w:t>
            </w:r>
          </w:p>
        </w:tc>
        <w:tc>
          <w:tcPr>
            <w:tcW w:type="dxa" w:w="3135"/>
          </w:tcPr>
          <w:p>
            <w:r>
              <w:rPr>
                <w:rFonts w:ascii="Times New Roman" w:hAnsi="Times New Roman"/>
                <w:sz w:val="24"/>
              </w:rPr>
              <w:t>Research questions, method list</w:t>
            </w:r>
          </w:p>
        </w:tc>
      </w:tr>
      <w:tr>
        <w:tc>
          <w:tcPr>
            <w:tcW w:type="dxa" w:w="3135"/>
          </w:tcPr>
          <w:p>
            <w:r>
              <w:rPr>
                <w:rFonts w:ascii="Times New Roman" w:hAnsi="Times New Roman"/>
                <w:sz w:val="24"/>
              </w:rPr>
              <w:t>2 — Development</w:t>
            </w:r>
          </w:p>
        </w:tc>
        <w:tc>
          <w:tcPr>
            <w:tcW w:type="dxa" w:w="3135"/>
          </w:tcPr>
          <w:p>
            <w:r>
              <w:rPr>
                <w:rFonts w:ascii="Times New Roman" w:hAnsi="Times New Roman"/>
                <w:sz w:val="24"/>
              </w:rPr>
              <w:t>Implement parser, interpolation module, simulation engine</w:t>
            </w:r>
          </w:p>
        </w:tc>
        <w:tc>
          <w:tcPr>
            <w:tcW w:type="dxa" w:w="3135"/>
          </w:tcPr>
          <w:p>
            <w:r>
              <w:rPr>
                <w:rFonts w:ascii="Times New Roman" w:hAnsi="Times New Roman"/>
                <w:sz w:val="24"/>
              </w:rPr>
              <w:t>Working codebase</w:t>
            </w:r>
          </w:p>
        </w:tc>
      </w:tr>
      <w:tr>
        <w:tc>
          <w:tcPr>
            <w:tcW w:type="dxa" w:w="3135"/>
          </w:tcPr>
          <w:p>
            <w:r>
              <w:rPr>
                <w:rFonts w:ascii="Times New Roman" w:hAnsi="Times New Roman"/>
                <w:sz w:val="24"/>
              </w:rPr>
              <w:t>3 — Simulation</w:t>
            </w:r>
          </w:p>
        </w:tc>
        <w:tc>
          <w:tcPr>
            <w:tcW w:type="dxa" w:w="3135"/>
          </w:tcPr>
          <w:p>
            <w:r>
              <w:rPr>
                <w:rFonts w:ascii="Times New Roman" w:hAnsi="Times New Roman"/>
                <w:sz w:val="24"/>
              </w:rPr>
              <w:t>Run Monte Carlo sweeps; validate convergence</w:t>
            </w:r>
          </w:p>
        </w:tc>
        <w:tc>
          <w:tcPr>
            <w:tcW w:type="dxa" w:w="3135"/>
          </w:tcPr>
          <w:p>
            <w:r>
              <w:rPr>
                <w:rFonts w:ascii="Times New Roman" w:hAnsi="Times New Roman"/>
                <w:sz w:val="24"/>
              </w:rPr>
              <w:t>Full results dataset</w:t>
            </w:r>
          </w:p>
        </w:tc>
      </w:tr>
      <w:tr>
        <w:tc>
          <w:tcPr>
            <w:tcW w:type="dxa" w:w="3135"/>
          </w:tcPr>
          <w:p>
            <w:r>
              <w:rPr>
                <w:rFonts w:ascii="Times New Roman" w:hAnsi="Times New Roman"/>
                <w:sz w:val="24"/>
              </w:rPr>
              <w:t>4 — Analysis &amp; Report</w:t>
            </w:r>
          </w:p>
        </w:tc>
        <w:tc>
          <w:tcPr>
            <w:tcW w:type="dxa" w:w="3135"/>
          </w:tcPr>
          <w:p>
            <w:r>
              <w:rPr>
                <w:rFonts w:ascii="Times New Roman" w:hAnsi="Times New Roman"/>
                <w:sz w:val="24"/>
              </w:rPr>
              <w:t>Statistical analysis; visualisation; report writing</w:t>
            </w:r>
          </w:p>
        </w:tc>
        <w:tc>
          <w:tcPr>
            <w:tcW w:type="dxa" w:w="3135"/>
          </w:tcPr>
          <w:p>
            <w:r>
              <w:rPr>
                <w:rFonts w:ascii="Times New Roman" w:hAnsi="Times New Roman"/>
                <w:sz w:val="24"/>
              </w:rPr>
              <w:t>This report + figures</w:t>
            </w:r>
          </w:p>
        </w:tc>
      </w:tr>
    </w:tbl>
    <w:p/>
    <w:p>
      <w:pPr>
        <w:pStyle w:val="Heading2"/>
        <w:spacing w:before="200" w:after="80"/>
      </w:pPr>
      <w:r>
        <w:rPr>
          <w:rFonts w:ascii="Times New Roman" w:hAnsi="Times New Roman"/>
          <w:b/>
          <w:color w:val="000000"/>
          <w:sz w:val="24"/>
        </w:rPr>
        <w:t>8.2. Responsibilities</w:t>
      </w:r>
    </w:p>
    <w:p>
      <w:pPr>
        <w:spacing w:after="120"/>
      </w:pPr>
      <w:r>
        <w:rPr>
          <w:rFonts w:ascii="Times New Roman" w:hAnsi="Times New Roman"/>
          <w:sz w:val="24"/>
        </w:rPr>
        <w:t>This is an individual project. All components — literature review, software development, simulation execution, analysis, and report writing — were completed by the sole author. Supervisory input was received at phase boundaries to review scope and direction.</w:t>
      </w:r>
    </w:p>
    <w:p>
      <w:pPr>
        <w:pStyle w:val="Heading2"/>
        <w:spacing w:before="200" w:after="80"/>
      </w:pPr>
      <w:r>
        <w:rPr>
          <w:rFonts w:ascii="Times New Roman" w:hAnsi="Times New Roman"/>
          <w:b/>
          <w:color w:val="000000"/>
          <w:sz w:val="24"/>
        </w:rPr>
        <w:t>8.3. Timeline</w:t>
      </w:r>
    </w:p>
    <w:p>
      <w:pPr>
        <w:spacing w:after="120"/>
      </w:pPr>
      <w:r>
        <w:rPr>
          <w:rFonts w:ascii="Times New Roman" w:hAnsi="Times New Roman"/>
          <w:sz w:val="24"/>
        </w:rPr>
        <w:t>The project followed a four-phase sequential schedule across the semester. Key milestones:</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rFonts w:ascii="Times New Roman" w:hAnsi="Times New Roman"/>
                <w:b/>
                <w:sz w:val="24"/>
              </w:rPr>
              <w:t>Week</w:t>
            </w:r>
          </w:p>
        </w:tc>
        <w:tc>
          <w:tcPr>
            <w:tcW w:type="dxa" w:w="4703"/>
          </w:tcPr>
          <w:p>
            <w:pPr>
              <w:jc w:val="center"/>
            </w:pPr>
            <w:r>
              <w:rPr>
                <w:rFonts w:ascii="Times New Roman" w:hAnsi="Times New Roman"/>
                <w:b/>
                <w:sz w:val="24"/>
              </w:rPr>
              <w:t>Milestone</w:t>
            </w:r>
          </w:p>
        </w:tc>
      </w:tr>
      <w:tr>
        <w:tc>
          <w:tcPr>
            <w:tcW w:type="dxa" w:w="4703"/>
          </w:tcPr>
          <w:p>
            <w:r>
              <w:rPr>
                <w:rFonts w:ascii="Times New Roman" w:hAnsi="Times New Roman"/>
                <w:sz w:val="24"/>
              </w:rPr>
              <w:t>1–2</w:t>
            </w:r>
          </w:p>
        </w:tc>
        <w:tc>
          <w:tcPr>
            <w:tcW w:type="dxa" w:w="4703"/>
          </w:tcPr>
          <w:p>
            <w:r>
              <w:rPr>
                <w:rFonts w:ascii="Times New Roman" w:hAnsi="Times New Roman"/>
                <w:sz w:val="24"/>
              </w:rPr>
              <w:t>Literature review complete; research questions agreed with supervisor</w:t>
            </w:r>
          </w:p>
        </w:tc>
      </w:tr>
      <w:tr>
        <w:tc>
          <w:tcPr>
            <w:tcW w:type="dxa" w:w="4703"/>
          </w:tcPr>
          <w:p>
            <w:r>
              <w:rPr>
                <w:rFonts w:ascii="Times New Roman" w:hAnsi="Times New Roman"/>
                <w:sz w:val="24"/>
              </w:rPr>
              <w:t>3–5</w:t>
            </w:r>
          </w:p>
        </w:tc>
        <w:tc>
          <w:tcPr>
            <w:tcW w:type="dxa" w:w="4703"/>
          </w:tcPr>
          <w:p>
            <w:r>
              <w:rPr>
                <w:rFonts w:ascii="Times New Roman" w:hAnsi="Times New Roman"/>
                <w:sz w:val="24"/>
              </w:rPr>
              <w:t>map parser and interpolation module implemented and unit-tested</w:t>
            </w:r>
          </w:p>
        </w:tc>
      </w:tr>
      <w:tr>
        <w:tc>
          <w:tcPr>
            <w:tcW w:type="dxa" w:w="4703"/>
          </w:tcPr>
          <w:p>
            <w:r>
              <w:rPr>
                <w:rFonts w:ascii="Times New Roman" w:hAnsi="Times New Roman"/>
                <w:sz w:val="24"/>
              </w:rPr>
              <w:t>6–7</w:t>
            </w:r>
          </w:p>
        </w:tc>
        <w:tc>
          <w:tcPr>
            <w:tcW w:type="dxa" w:w="4703"/>
          </w:tcPr>
          <w:p>
            <w:r>
              <w:rPr>
                <w:rFonts w:ascii="Times New Roman" w:hAnsi="Times New Roman"/>
                <w:sz w:val="24"/>
              </w:rPr>
              <w:t>Simulation engine complete; initial single-condition test runs validated</w:t>
            </w:r>
          </w:p>
        </w:tc>
      </w:tr>
      <w:tr>
        <w:tc>
          <w:tcPr>
            <w:tcW w:type="dxa" w:w="4703"/>
          </w:tcPr>
          <w:p>
            <w:r>
              <w:rPr>
                <w:rFonts w:ascii="Times New Roman" w:hAnsi="Times New Roman"/>
                <w:sz w:val="24"/>
              </w:rPr>
              <w:t>8–10</w:t>
            </w:r>
          </w:p>
        </w:tc>
        <w:tc>
          <w:tcPr>
            <w:tcW w:type="dxa" w:w="4703"/>
          </w:tcPr>
          <w:p>
            <w:r>
              <w:rPr>
                <w:rFonts w:ascii="Times New Roman" w:hAnsi="Times New Roman"/>
                <w:sz w:val="24"/>
              </w:rPr>
              <w:t>Full Monte Carlo sweep executed (all 70 parameter combinations, n=2,000)</w:t>
            </w:r>
          </w:p>
        </w:tc>
      </w:tr>
      <w:tr>
        <w:tc>
          <w:tcPr>
            <w:tcW w:type="dxa" w:w="4703"/>
          </w:tcPr>
          <w:p>
            <w:r>
              <w:rPr>
                <w:rFonts w:ascii="Times New Roman" w:hAnsi="Times New Roman"/>
                <w:sz w:val="24"/>
              </w:rPr>
              <w:t>11–12</w:t>
            </w:r>
          </w:p>
        </w:tc>
        <w:tc>
          <w:tcPr>
            <w:tcW w:type="dxa" w:w="4703"/>
          </w:tcPr>
          <w:p>
            <w:r>
              <w:rPr>
                <w:rFonts w:ascii="Times New Roman" w:hAnsi="Times New Roman"/>
                <w:sz w:val="24"/>
              </w:rPr>
              <w:t>Results analysis and visualisation complete</w:t>
            </w:r>
          </w:p>
        </w:tc>
      </w:tr>
      <w:tr>
        <w:tc>
          <w:tcPr>
            <w:tcW w:type="dxa" w:w="4703"/>
          </w:tcPr>
          <w:p>
            <w:r>
              <w:rPr>
                <w:rFonts w:ascii="Times New Roman" w:hAnsi="Times New Roman"/>
                <w:sz w:val="24"/>
              </w:rPr>
              <w:t>13–14</w:t>
            </w:r>
          </w:p>
        </w:tc>
        <w:tc>
          <w:tcPr>
            <w:tcW w:type="dxa" w:w="4703"/>
          </w:tcPr>
          <w:p>
            <w:r>
              <w:rPr>
                <w:rFonts w:ascii="Times New Roman" w:hAnsi="Times New Roman"/>
                <w:sz w:val="24"/>
              </w:rPr>
              <w:t>Report written and submitted</w:t>
            </w:r>
          </w:p>
        </w:tc>
      </w:tr>
    </w:tbl>
    <w:p/>
    <w:p>
      <w:pPr>
        <w:spacing w:after="120"/>
      </w:pPr>
      <w:r>
        <w:rPr>
          <w:rFonts w:ascii="Times New Roman" w:hAnsi="Times New Roman"/>
          <w:sz w:val="24"/>
        </w:rPr>
        <w:t>Risk management was active throughout. Numerical instability in high-order spline fitting with few surviving points was mitigated by implementing graceful fallbacks: Akima and cubic spline revert to linear interpolation when fewer than three points survive dropout, ensuring a result is always produced without crashing. Computational time was managed by parallelising trials across all available CPU cores using Python's ProcessPoolExecutor, reducing full sweep time from an estimated 18 hours serial to under 3 hours parallel. Reproducibility was ensured by deriving each trial's random seed from a master generator with a fixed base seed, so the entire simulation can be re-run and produce bit-identical results. All code was version-controlled with Git, providing a traceable record of incremental development and design decisions.</w:t>
      </w:r>
    </w:p>
    <w:p>
      <w:pPr>
        <w:pStyle w:val="Heading1"/>
        <w:spacing w:before="200" w:after="80"/>
      </w:pPr>
      <w:r>
        <w:rPr>
          <w:rFonts w:ascii="Times New Roman" w:hAnsi="Times New Roman"/>
          <w:b/>
          <w:color w:val="000000"/>
          <w:sz w:val="24"/>
        </w:rPr>
        <w:t>9. Deliverable Outcomes</w:t>
      </w:r>
    </w:p>
    <w:p>
      <w:pPr>
        <w:pStyle w:val="Heading2"/>
        <w:spacing w:before="200" w:after="80"/>
      </w:pPr>
      <w:r>
        <w:rPr>
          <w:rFonts w:ascii="Times New Roman" w:hAnsi="Times New Roman"/>
          <w:b/>
          <w:color w:val="000000"/>
          <w:sz w:val="24"/>
        </w:rPr>
        <w:t>9.1. Software</w:t>
      </w:r>
    </w:p>
    <w:p>
      <w:pPr>
        <w:pStyle w:val="ListBullet"/>
        <w:spacing w:after="60"/>
      </w:pPr>
      <w:r>
        <w:rPr>
          <w:rFonts w:ascii="Times New Roman" w:hAnsi="Times New Roman"/>
          <w:sz w:val="24"/>
        </w:rPr>
      </w:r>
      <w:r>
        <w:rPr>
          <w:rFonts w:ascii="Times New Roman" w:hAnsi="Times New Roman"/>
          <w:b/>
          <w:sz w:val="24"/>
        </w:rPr>
        <w:t>test.py</w:t>
      </w:r>
      <w:r>
        <w:rPr>
          <w:rFonts w:ascii="Times New Roman" w:hAnsi="Times New Roman"/>
          <w:sz w:val="24"/>
        </w:rPr>
        <w:t xml:space="preserve"> — Lanelet2 OSM parser; road boundary extraction; CERPM resampling; centreline computation.</w:t>
      </w:r>
    </w:p>
    <w:p>
      <w:pPr>
        <w:pStyle w:val="ListBullet"/>
        <w:spacing w:after="60"/>
      </w:pPr>
      <w:r>
        <w:rPr>
          <w:rFonts w:ascii="Times New Roman" w:hAnsi="Times New Roman"/>
          <w:sz w:val="24"/>
        </w:rPr>
      </w:r>
      <w:r>
        <w:rPr>
          <w:rFonts w:ascii="Times New Roman" w:hAnsi="Times New Roman"/>
          <w:b/>
          <w:sz w:val="24"/>
        </w:rPr>
        <w:t>Interpolations.py</w:t>
      </w:r>
      <w:r>
        <w:rPr>
          <w:rFonts w:ascii="Times New Roman" w:hAnsi="Times New Roman"/>
          <w:sz w:val="24"/>
        </w:rPr>
        <w:t xml:space="preserve"> — Seven interpolation methods with arc-length parameterisation; graceful fallbacks.</w:t>
      </w:r>
    </w:p>
    <w:p>
      <w:pPr>
        <w:pStyle w:val="ListBullet"/>
        <w:spacing w:after="60"/>
      </w:pPr>
      <w:r>
        <w:rPr>
          <w:rFonts w:ascii="Times New Roman" w:hAnsi="Times New Roman"/>
          <w:sz w:val="24"/>
        </w:rPr>
      </w:r>
      <w:r>
        <w:rPr>
          <w:rFonts w:ascii="Times New Roman" w:hAnsi="Times New Roman"/>
          <w:b/>
          <w:sz w:val="24"/>
        </w:rPr>
        <w:t>Simulation.py</w:t>
      </w:r>
      <w:r>
        <w:rPr>
          <w:rFonts w:ascii="Times New Roman" w:hAnsi="Times New Roman"/>
          <w:sz w:val="24"/>
        </w:rPr>
        <w:t xml:space="preserve"> — Parallelised Monte Carlo engine; random and clustered dropout models; error measurement.</w:t>
      </w:r>
    </w:p>
    <w:p>
      <w:pPr>
        <w:pStyle w:val="ListBullet"/>
        <w:spacing w:after="60"/>
      </w:pPr>
      <w:r>
        <w:rPr>
          <w:rFonts w:ascii="Times New Roman" w:hAnsi="Times New Roman"/>
          <w:sz w:val="24"/>
        </w:rPr>
      </w:r>
      <w:r>
        <w:rPr>
          <w:rFonts w:ascii="Times New Roman" w:hAnsi="Times New Roman"/>
          <w:b/>
          <w:sz w:val="24"/>
        </w:rPr>
        <w:t>xmlParse.py</w:t>
      </w:r>
      <w:r>
        <w:rPr>
          <w:rFonts w:ascii="Times New Roman" w:hAnsi="Times New Roman"/>
          <w:sz w:val="24"/>
        </w:rPr>
        <w:t xml:space="preserve"> — Full analysis pipeline; IQR and failure rate computation; eight visualisation types.</w:t>
      </w:r>
    </w:p>
    <w:p>
      <w:pPr>
        <w:pStyle w:val="Heading2"/>
        <w:spacing w:before="200" w:after="80"/>
      </w:pPr>
      <w:r>
        <w:rPr>
          <w:rFonts w:ascii="Times New Roman" w:hAnsi="Times New Roman"/>
          <w:b/>
          <w:color w:val="000000"/>
          <w:sz w:val="24"/>
        </w:rPr>
        <w:t>9.2. Results</w:t>
      </w:r>
    </w:p>
    <w:p>
      <w:pPr>
        <w:spacing w:after="120"/>
      </w:pPr>
      <w:r>
        <w:rPr>
          <w:rFonts w:ascii="Times New Roman" w:hAnsi="Times New Roman"/>
          <w:sz w:val="24"/>
        </w:rPr>
        <w:t>Key findings from the simulation sweep:</w:t>
      </w:r>
    </w:p>
    <w:p>
      <w:pPr>
        <w:pStyle w:val="ListBullet"/>
        <w:spacing w:after="60"/>
      </w:pPr>
      <w:r>
        <w:rPr>
          <w:rFonts w:ascii="Times New Roman" w:hAnsi="Times New Roman"/>
          <w:sz w:val="24"/>
        </w:rPr>
      </w:r>
      <w:r>
        <w:rPr>
          <w:rFonts w:ascii="Times New Roman" w:hAnsi="Times New Roman"/>
          <w:b/>
          <w:sz w:val="24"/>
        </w:rPr>
        <w:t>Quintic and quartic B-splines</w:t>
      </w:r>
      <w:r>
        <w:rPr>
          <w:rFonts w:ascii="Times New Roman" w:hAnsi="Times New Roman"/>
          <w:sz w:val="24"/>
        </w:rPr>
        <w:t xml:space="preserve"> achieved the lowest IQR and failure rates across all tested conditions.</w:t>
      </w:r>
    </w:p>
    <w:p>
      <w:pPr>
        <w:pStyle w:val="ListBullet"/>
        <w:spacing w:after="60"/>
      </w:pPr>
      <w:r>
        <w:rPr>
          <w:rFonts w:ascii="Times New Roman" w:hAnsi="Times New Roman"/>
          <w:sz w:val="24"/>
        </w:rPr>
      </w:r>
      <w:r>
        <w:rPr>
          <w:rFonts w:ascii="Times New Roman" w:hAnsi="Times New Roman"/>
          <w:b/>
          <w:sz w:val="24"/>
        </w:rPr>
        <w:t>Linear interpolation</w:t>
      </w:r>
      <w:r>
        <w:rPr>
          <w:rFonts w:ascii="Times New Roman" w:hAnsi="Times New Roman"/>
          <w:sz w:val="24"/>
        </w:rPr>
        <w:t xml:space="preserve"> reached failure rates of 93–100% (max error &gt; 0.2 m) under clustered dropout at 5 m spacing, even for a cluster of just 2 markers.</w:t>
      </w:r>
    </w:p>
    <w:p>
      <w:pPr>
        <w:pStyle w:val="ListBullet"/>
        <w:spacing w:after="60"/>
      </w:pPr>
      <w:r>
        <w:rPr>
          <w:rFonts w:ascii="Times New Roman" w:hAnsi="Times New Roman"/>
          <w:sz w:val="24"/>
        </w:rPr>
      </w:r>
      <w:r>
        <w:rPr>
          <w:rFonts w:ascii="Times New Roman" w:hAnsi="Times New Roman"/>
          <w:b/>
          <w:sz w:val="24"/>
        </w:rPr>
        <w:t>Clustered dropout is more damaging than random dropout</w:t>
      </w:r>
      <w:r>
        <w:rPr>
          <w:rFonts w:ascii="Times New Roman" w:hAnsi="Times New Roman"/>
          <w:sz w:val="24"/>
        </w:rPr>
        <w:t xml:space="preserve"> at equivalent effective dropout fractions — removing 10 contiguous markers is far worse than randomly removing 10 scattered markers from the same boundary.</w:t>
      </w:r>
    </w:p>
    <w:p>
      <w:pPr>
        <w:pStyle w:val="ListBullet"/>
        <w:spacing w:after="60"/>
      </w:pPr>
      <w:r>
        <w:rPr>
          <w:rFonts w:ascii="Times New Roman" w:hAnsi="Times New Roman"/>
          <w:sz w:val="24"/>
        </w:rPr>
      </w:r>
      <w:r>
        <w:rPr>
          <w:rFonts w:ascii="Times New Roman" w:hAnsi="Times New Roman"/>
          <w:b/>
          <w:sz w:val="24"/>
        </w:rPr>
        <w:t>At 1 m or finer spacing</w:t>
      </w:r>
      <w:r>
        <w:rPr>
          <w:rFonts w:ascii="Times New Roman" w:hAnsi="Times New Roman"/>
          <w:sz w:val="24"/>
        </w:rPr>
        <w:t>, all methods perform acceptably under random dropout up to 20%; algorithm choice matters most at 2–5 m spacing.</w:t>
      </w:r>
    </w:p>
    <w:p>
      <w:pPr>
        <w:pStyle w:val="ListBullet"/>
        <w:spacing w:after="60"/>
      </w:pPr>
      <w:r>
        <w:rPr>
          <w:rFonts w:ascii="Times New Roman" w:hAnsi="Times New Roman"/>
          <w:sz w:val="24"/>
        </w:rPr>
      </w:r>
      <w:r>
        <w:rPr>
          <w:rFonts w:ascii="Times New Roman" w:hAnsi="Times New Roman"/>
          <w:b/>
          <w:sz w:val="24"/>
        </w:rPr>
        <w:t>PCHIP</w:t>
      </w:r>
      <w:r>
        <w:rPr>
          <w:rFonts w:ascii="Times New Roman" w:hAnsi="Times New Roman"/>
          <w:sz w:val="24"/>
        </w:rPr>
        <w:t xml:space="preserve"> underperformed relative to pure polynomial B-splines at large clustered gaps because its monotonicity constraint, designed to prevent oscillation in step-like data, produces flat reconstructions across gaps in road geometry that is smooth but not monotone in individual x or y coordinates. This makes PCHIP a poor fit for curved road sections despite its success in other engineering applications.</w:t>
      </w:r>
    </w:p>
    <w:p>
      <w:pPr>
        <w:pStyle w:val="Heading2"/>
        <w:spacing w:before="200" w:after="80"/>
      </w:pPr>
      <w:r>
        <w:rPr>
          <w:rFonts w:ascii="Times New Roman" w:hAnsi="Times New Roman"/>
          <w:b/>
          <w:color w:val="000000"/>
          <w:sz w:val="24"/>
        </w:rPr>
        <w:t>9.3. Recommendations for Practitioners</w:t>
      </w:r>
    </w:p>
    <w:p>
      <w:pPr>
        <w:spacing w:after="120"/>
      </w:pPr>
      <w:r>
        <w:rPr>
          <w:rFonts w:ascii="Times New Roman" w:hAnsi="Times New Roman"/>
          <w:sz w:val="24"/>
        </w:rPr>
        <w:t>Based on the simulation results, the following guidance is offered to infrastructure engineers, road asset managers, and system architects deploying CERPM-based road geometry systems. These recommendations are grounded in quantitative failure rates across 2,000 trials per condition and are intended to be directly actionable without requiring specialist knowledge of interpolation theory:</w:t>
      </w:r>
    </w:p>
    <w:p>
      <w:pPr>
        <w:pStyle w:val="ListBullet"/>
        <w:spacing w:after="60"/>
      </w:pPr>
      <w:r>
        <w:rPr>
          <w:rFonts w:ascii="Times New Roman" w:hAnsi="Times New Roman"/>
          <w:sz w:val="24"/>
        </w:rPr>
        <w:t xml:space="preserve">Use </w:t>
      </w:r>
      <w:r>
        <w:rPr>
          <w:rFonts w:ascii="Times New Roman" w:hAnsi="Times New Roman"/>
          <w:b/>
          <w:sz w:val="24"/>
        </w:rPr>
        <w:t>quintic or quartic B-spline interpolation</w:t>
      </w:r>
      <w:r>
        <w:rPr>
          <w:rFonts w:ascii="Times New Roman" w:hAnsi="Times New Roman"/>
          <w:sz w:val="24"/>
        </w:rPr>
        <w:t xml:space="preserve"> with arc-length parameterisation as the default reconstruction algorithm.</w:t>
      </w:r>
    </w:p>
    <w:p>
      <w:pPr>
        <w:pStyle w:val="ListBullet"/>
        <w:spacing w:after="60"/>
      </w:pPr>
      <w:r>
        <w:rPr>
          <w:rFonts w:ascii="Times New Roman" w:hAnsi="Times New Roman"/>
          <w:sz w:val="24"/>
        </w:rPr>
        <w:t xml:space="preserve">Deploy CERPMs at </w:t>
      </w:r>
      <w:r>
        <w:rPr>
          <w:rFonts w:ascii="Times New Roman" w:hAnsi="Times New Roman"/>
          <w:b/>
          <w:sz w:val="24"/>
        </w:rPr>
        <w:t>≤ 2 m spacing</w:t>
      </w:r>
      <w:r>
        <w:rPr>
          <w:rFonts w:ascii="Times New Roman" w:hAnsi="Times New Roman"/>
          <w:sz w:val="24"/>
        </w:rPr>
        <w:t xml:space="preserve"> on curved road sections; 5 m spacing is insufficient for robust reconstruction under any realistic dropout scenario.</w:t>
      </w:r>
    </w:p>
    <w:p>
      <w:pPr>
        <w:pStyle w:val="ListBullet"/>
        <w:spacing w:after="60"/>
      </w:pPr>
      <w:r>
        <w:rPr>
          <w:rFonts w:ascii="Times New Roman" w:hAnsi="Times New Roman"/>
          <w:sz w:val="24"/>
        </w:rPr>
        <w:t xml:space="preserve">Implement </w:t>
      </w:r>
      <w:r>
        <w:rPr>
          <w:rFonts w:ascii="Times New Roman" w:hAnsi="Times New Roman"/>
          <w:b/>
          <w:sz w:val="24"/>
        </w:rPr>
        <w:t>system-level alerts</w:t>
      </w:r>
      <w:r>
        <w:rPr>
          <w:rFonts w:ascii="Times New Roman" w:hAnsi="Times New Roman"/>
          <w:sz w:val="24"/>
        </w:rPr>
        <w:t xml:space="preserve"> when clustered gaps of more than 10 consecutive markers are detected, triggering fallback to on-vehicle sensing or a prior HD map.</w:t>
      </w:r>
    </w:p>
    <w:p>
      <w:pPr>
        <w:pStyle w:val="ListBullet"/>
        <w:spacing w:after="60"/>
      </w:pPr>
      <w:r>
        <w:rPr>
          <w:rFonts w:ascii="Times New Roman" w:hAnsi="Times New Roman"/>
          <w:sz w:val="24"/>
        </w:rPr>
        <w:t xml:space="preserve">Do not use </w:t>
      </w:r>
      <w:r>
        <w:rPr>
          <w:rFonts w:ascii="Times New Roman" w:hAnsi="Times New Roman"/>
          <w:b/>
          <w:sz w:val="24"/>
        </w:rPr>
        <w:t>linear interpolation</w:t>
      </w:r>
      <w:r>
        <w:rPr>
          <w:rFonts w:ascii="Times New Roman" w:hAnsi="Times New Roman"/>
          <w:sz w:val="24"/>
        </w:rPr>
        <w:t xml:space="preserve"> in any production road geometry reconstruction system at marker spacings above 1 m.</w:t>
      </w:r>
    </w:p>
    <w:p>
      <w:pPr>
        <w:pStyle w:val="Heading1"/>
        <w:spacing w:before="200" w:after="80"/>
      </w:pPr>
      <w:r>
        <w:rPr>
          <w:rFonts w:ascii="Times New Roman" w:hAnsi="Times New Roman"/>
          <w:b/>
          <w:color w:val="000000"/>
          <w:sz w:val="24"/>
        </w:rPr>
        <w:t>10. References</w:t>
      </w:r>
    </w:p>
    <w:p>
      <w:pPr>
        <w:spacing w:after="80"/>
        <w:ind w:left="567" w:hanging="567"/>
      </w:pPr>
      <w:r>
        <w:rPr>
          <w:rFonts w:ascii="Times New Roman" w:hAnsi="Times New Roman"/>
          <w:sz w:val="24"/>
        </w:rPr>
        <w:t>[1] ISO 21448:2022, Road Vehicles — Safety of the Intended Functionality, International Organisation for Standardisation, 2022.</w:t>
      </w:r>
    </w:p>
    <w:p>
      <w:pPr>
        <w:spacing w:after="80"/>
        <w:ind w:left="567" w:hanging="567"/>
      </w:pPr>
      <w:r>
        <w:rPr>
          <w:rFonts w:ascii="Times New Roman" w:hAnsi="Times New Roman"/>
          <w:sz w:val="24"/>
        </w:rPr>
        <w:t>[2] SAE International, SAE J3016: Taxonomy and Definitions for Terms Related to Driving Automation Systems for On-Road Motor Vehicles, 2021.</w:t>
      </w:r>
    </w:p>
    <w:p>
      <w:pPr>
        <w:spacing w:after="80"/>
        <w:ind w:left="567" w:hanging="567"/>
      </w:pPr>
      <w:r>
        <w:rPr>
          <w:rFonts w:ascii="Times New Roman" w:hAnsi="Times New Roman"/>
          <w:sz w:val="24"/>
        </w:rPr>
        <w:t>[3] R. L. Burden and J. D. Faires, Numerical Analysis, 9th ed. Brooks/Cole, 2011.</w:t>
      </w:r>
    </w:p>
    <w:p>
      <w:pPr>
        <w:spacing w:after="80"/>
        <w:ind w:left="567" w:hanging="567"/>
      </w:pPr>
      <w:r>
        <w:rPr>
          <w:rFonts w:ascii="Times New Roman" w:hAnsi="Times New Roman"/>
          <w:sz w:val="24"/>
        </w:rPr>
        <w:t>[4] F. N. Fritsch and R. E. Carlson, "Monotone piecewise cubic interpolation," SIAM Journal on Numerical Analysis, vol. 17, no. 2, pp. 238–246, 1980.</w:t>
      </w:r>
    </w:p>
    <w:p>
      <w:pPr>
        <w:spacing w:after="80"/>
        <w:ind w:left="567" w:hanging="567"/>
      </w:pPr>
      <w:r>
        <w:rPr>
          <w:rFonts w:ascii="Times New Roman" w:hAnsi="Times New Roman"/>
          <w:sz w:val="24"/>
        </w:rPr>
        <w:t>[5] H. Akima, "A new method of interpolation and smooth curve fitting based on local procedures," Journal of the ACM, vol. 17, no. 4, pp. 589–602, 1970.</w:t>
      </w:r>
    </w:p>
    <w:p>
      <w:pPr>
        <w:spacing w:after="80"/>
        <w:ind w:left="567" w:hanging="567"/>
      </w:pPr>
      <w:r>
        <w:rPr>
          <w:rFonts w:ascii="Times New Roman" w:hAnsi="Times New Roman"/>
          <w:sz w:val="24"/>
        </w:rPr>
        <w:t>[6] C. de Boor, A Practical Guide to Splines, Revised ed. Springer, 2001.</w:t>
      </w:r>
    </w:p>
    <w:p>
      <w:pPr>
        <w:spacing w:after="80"/>
        <w:ind w:left="567" w:hanging="567"/>
      </w:pPr>
      <w:r>
        <w:rPr>
          <w:rFonts w:ascii="Times New Roman" w:hAnsi="Times New Roman"/>
          <w:sz w:val="24"/>
        </w:rPr>
        <w:t>[7] R. Hartley and A. Zisserman, Multiple View Geometry in Computer Vision, 2nd ed. Cambridge University Press, 2003.</w:t>
      </w:r>
    </w:p>
    <w:p>
      <w:pPr>
        <w:spacing w:after="80"/>
        <w:ind w:left="567" w:hanging="567"/>
      </w:pPr>
      <w:r>
        <w:rPr>
          <w:rFonts w:ascii="Times New Roman" w:hAnsi="Times New Roman"/>
          <w:sz w:val="24"/>
        </w:rPr>
        <w:t>[8] B. Coifman, "Estimating travel times and vehicle trajectories on freeways using dual loop detectors," Transportation Research Part A, vol. 36, no. 4, pp. 351–364, 2002.</w:t>
      </w:r>
    </w:p>
    <w:p>
      <w:pPr>
        <w:spacing w:after="80"/>
        <w:ind w:left="567" w:hanging="567"/>
      </w:pPr>
      <w:r>
        <w:rPr>
          <w:rFonts w:ascii="Times New Roman" w:hAnsi="Times New Roman"/>
          <w:sz w:val="24"/>
        </w:rPr>
        <w:t>[9] C. Toth and G. Jóźków, "Remote sensing platforms and sensors: A survey," ISPRS Journal of Photogrammetry and Remote Sensing, vol. 115, pp. 22–36, 2016.</w:t>
      </w:r>
    </w:p>
    <w:p>
      <w:pPr>
        <w:spacing w:after="80"/>
        <w:ind w:left="567" w:hanging="567"/>
      </w:pPr>
      <w:r>
        <w:rPr>
          <w:rFonts w:ascii="Times New Roman" w:hAnsi="Times New Roman"/>
          <w:sz w:val="24"/>
        </w:rPr>
        <w:t>[10] J. Levinson, M. Montemerlo, and S. Thrun, "Map-based precision vehicle localisation in urban environments," in Proc. Robotics: Science and Systems, 2011.</w:t>
      </w:r>
    </w:p>
    <w:p>
      <w:pPr>
        <w:spacing w:after="80"/>
        <w:ind w:left="567" w:hanging="567"/>
      </w:pPr>
      <w:r>
        <w:rPr>
          <w:rFonts w:ascii="Times New Roman" w:hAnsi="Times New Roman"/>
          <w:sz w:val="24"/>
        </w:rPr>
        <w:t>[11] F. Poggenhans et al., "Lanelet2: A high-definition map framework for the future of automated driving," in Proc. IEEE Intelligent Transportation Systems Conference (ITSC), 2018, pp. 1672–1679.</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