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Lane Keep Assist Using Chip Enabled Raised Pavement Markers:</w:t>
        <w:br/>
        <w:t>Interpolation Algorithm Robustness Under CERPM Dropout</w:t>
      </w:r>
    </w:p>
    <w:p>
      <w:pPr>
        <w:jc w:val="center"/>
      </w:pPr>
      <w:r>
        <w:rPr>
          <w:rFonts w:ascii="Times New Roman" w:hAnsi="Times New Roman"/>
          <w:b/>
          <w:sz w:val="24"/>
        </w:rPr>
        <w:t xml:space="preserve">Author:  </w:t>
      </w:r>
      <w:r>
        <w:rPr>
          <w:rFonts w:ascii="Times New Roman" w:hAnsi="Times New Roman"/>
          <w:sz w:val="24"/>
        </w:rPr>
        <w:t>Alexander Bruce</w:t>
      </w:r>
    </w:p>
    <w:p>
      <w:pPr>
        <w:jc w:val="center"/>
      </w:pPr>
      <w:r>
        <w:rPr>
          <w:rFonts w:ascii="Times New Roman" w:hAnsi="Times New Roman"/>
          <w:b/>
          <w:sz w:val="24"/>
        </w:rPr>
        <w:t xml:space="preserve">Date:  </w:t>
      </w:r>
      <w:r>
        <w:rPr>
          <w:rFonts w:ascii="Times New Roman" w:hAnsi="Times New Roman"/>
          <w:sz w:val="24"/>
        </w:rPr>
        <w:t>June 2026</w:t>
      </w:r>
    </w:p>
    <w:p>
      <w:pPr>
        <w:jc w:val="center"/>
      </w:pPr>
      <w:r>
        <w:rPr>
          <w:rFonts w:ascii="Times New Roman" w:hAnsi="Times New Roman"/>
          <w:b/>
          <w:sz w:val="24"/>
        </w:rPr>
        <w:t xml:space="preserve">Module:  </w:t>
      </w:r>
      <w:r>
        <w:rPr>
          <w:rFonts w:ascii="Times New Roman" w:hAnsi="Times New Roman"/>
          <w:sz w:val="24"/>
        </w:rPr>
        <w:t>Research Project — ADAS (LKA Sub-system)</w:t>
      </w:r>
    </w:p>
    <w:p/>
    <w:p>
      <w:pPr>
        <w:pStyle w:val="Heading1"/>
        <w:spacing w:before="200" w:after="80"/>
      </w:pPr>
      <w:r>
        <w:rPr>
          <w:rFonts w:ascii="Times New Roman" w:hAnsi="Times New Roman"/>
          <w:b/>
          <w:color w:val="000000"/>
          <w:sz w:val="24"/>
        </w:rPr>
        <w:t>2. Executive Summary</w:t>
      </w:r>
    </w:p>
    <w:p>
      <w:pPr>
        <w:spacing w:after="120"/>
      </w:pPr>
      <w:r>
        <w:rPr>
          <w:rFonts w:ascii="Times New Roman" w:hAnsi="Times New Roman"/>
          <w:sz w:val="24"/>
        </w:rPr>
        <w:t>This report describes the Lane Keep Assist (LKA) sub-system, developed as part of a group Advanced Driver Assistance Systems (ADAS) project. LKA prevents unintentional lane departures by applying corrective steering when a vehicle drifts outside its lane boundaries. Current commercial LKA systems rely on front-facing cameras with computer vision, but these degrade substantially under poor lane markings and adverse weather conditions [6]. This project explores a Vehicle-to-Infrastructure (V2I) approach using Chip Enabled Raised Pavement Markers (CERPMs), which transmit positional data directly to the vehicle, as a more robust alternative [1][2].</w:t>
      </w:r>
    </w:p>
    <w:p>
      <w:pPr>
        <w:spacing w:after="120"/>
      </w:pPr>
      <w:r>
        <w:rPr>
          <w:rFonts w:ascii="Times New Roman" w:hAnsi="Times New Roman"/>
          <w:sz w:val="24"/>
        </w:rPr>
        <w:t>The core research question is which interpolation algorithm most accurately and robustly estimates the lane centreline from CERPM boundary data, particularly under conditions where markers are missing. Seven algorithms — linear, quadratic, cubic spline, quartic, quintic, PCHIP, and Akima — were evaluated using Monte Carlo simulation (n = 2,000 runs per condition) over two failure modes: random dropout (1–20%) and clustered contiguous dropout (cluster sizes 2–20 markers), at five CERPM spacings (0.5–5.0 m). Higher-order polynomial B-splines (quadratic through quintic) consistently outperformed linear interpolation and PCHIP across all conditions. Quintic or quartic B-spline interpolation at ≤ 2 m marker spacing is recommended for any CERPM-based LKA deployment.</w:t>
      </w:r>
    </w:p>
    <w:p>
      <w:pPr>
        <w:pStyle w:val="Heading1"/>
        <w:spacing w:before="200" w:after="80"/>
      </w:pPr>
      <w:r>
        <w:rPr>
          <w:rFonts w:ascii="Times New Roman" w:hAnsi="Times New Roman"/>
          <w:b/>
          <w:color w:val="000000"/>
          <w:sz w:val="24"/>
        </w:rPr>
        <w:t>3. Table of Contents</w:t>
      </w:r>
    </w:p>
    <w:p>
      <w:pPr>
        <w:spacing w:after="40"/>
      </w:pPr>
      <w:r>
        <w:rPr>
          <w:rFonts w:ascii="Times New Roman" w:hAnsi="Times New Roman"/>
          <w:sz w:val="24"/>
        </w:rPr>
        <w:t>2. Executive Summary</w:t>
      </w:r>
    </w:p>
    <w:p>
      <w:pPr>
        <w:spacing w:after="40"/>
      </w:pPr>
      <w:r>
        <w:rPr>
          <w:rFonts w:ascii="Times New Roman" w:hAnsi="Times New Roman"/>
          <w:sz w:val="24"/>
        </w:rPr>
        <w:t>3. Table of Contents</w:t>
      </w:r>
    </w:p>
    <w:p>
      <w:pPr>
        <w:spacing w:after="40"/>
      </w:pPr>
      <w:r>
        <w:rPr>
          <w:rFonts w:ascii="Times New Roman" w:hAnsi="Times New Roman"/>
          <w:sz w:val="24"/>
        </w:rPr>
        <w:t>4. Statement of Problem</w:t>
      </w:r>
    </w:p>
    <w:p>
      <w:pPr>
        <w:spacing w:after="40"/>
      </w:pPr>
      <w:r>
        <w:rPr>
          <w:rFonts w:ascii="Times New Roman" w:hAnsi="Times New Roman"/>
          <w:sz w:val="24"/>
        </w:rPr>
        <w:t>5. Introduction</w:t>
      </w:r>
    </w:p>
    <w:p>
      <w:pPr>
        <w:spacing w:after="40"/>
      </w:pPr>
      <w:r>
        <w:rPr>
          <w:rFonts w:ascii="Times New Roman" w:hAnsi="Times New Roman"/>
          <w:sz w:val="24"/>
        </w:rPr>
        <w:t>6. Background</w:t>
      </w:r>
    </w:p>
    <w:p>
      <w:pPr>
        <w:spacing w:after="40"/>
      </w:pPr>
      <w:r>
        <w:rPr>
          <w:rFonts w:ascii="Times New Roman" w:hAnsi="Times New Roman"/>
          <w:sz w:val="24"/>
        </w:rPr>
        <w:t xml:space="preserve">    6.1. Relevance and Importance</w:t>
      </w:r>
    </w:p>
    <w:p>
      <w:pPr>
        <w:spacing w:after="40"/>
      </w:pPr>
      <w:r>
        <w:rPr>
          <w:rFonts w:ascii="Times New Roman" w:hAnsi="Times New Roman"/>
          <w:sz w:val="24"/>
        </w:rPr>
        <w:t xml:space="preserve">    6.2. Literature Review</w:t>
      </w:r>
    </w:p>
    <w:p>
      <w:pPr>
        <w:spacing w:after="40"/>
      </w:pPr>
      <w:r>
        <w:rPr>
          <w:rFonts w:ascii="Times New Roman" w:hAnsi="Times New Roman"/>
          <w:sz w:val="24"/>
        </w:rPr>
        <w:t xml:space="preserve">    6.3. Legal, Environmental and Ethical Considerations</w:t>
      </w:r>
    </w:p>
    <w:p>
      <w:pPr>
        <w:spacing w:after="40"/>
      </w:pPr>
      <w:r>
        <w:rPr>
          <w:rFonts w:ascii="Times New Roman" w:hAnsi="Times New Roman"/>
          <w:sz w:val="24"/>
        </w:rPr>
        <w:t>7. Strategy</w:t>
      </w:r>
    </w:p>
    <w:p>
      <w:pPr>
        <w:spacing w:after="40"/>
      </w:pPr>
      <w:r>
        <w:rPr>
          <w:rFonts w:ascii="Times New Roman" w:hAnsi="Times New Roman"/>
          <w:sz w:val="24"/>
        </w:rPr>
        <w:t>8. Project Management</w:t>
      </w:r>
    </w:p>
    <w:p>
      <w:pPr>
        <w:spacing w:after="40"/>
      </w:pPr>
      <w:r>
        <w:rPr>
          <w:rFonts w:ascii="Times New Roman" w:hAnsi="Times New Roman"/>
          <w:sz w:val="24"/>
        </w:rPr>
        <w:t xml:space="preserve">    8.1. Task Phases</w:t>
      </w:r>
    </w:p>
    <w:p>
      <w:pPr>
        <w:spacing w:after="40"/>
      </w:pPr>
      <w:r>
        <w:rPr>
          <w:rFonts w:ascii="Times New Roman" w:hAnsi="Times New Roman"/>
          <w:sz w:val="24"/>
        </w:rPr>
        <w:t xml:space="preserve">    8.2. Responsibilities</w:t>
      </w:r>
    </w:p>
    <w:p>
      <w:pPr>
        <w:spacing w:after="40"/>
      </w:pPr>
      <w:r>
        <w:rPr>
          <w:rFonts w:ascii="Times New Roman" w:hAnsi="Times New Roman"/>
          <w:sz w:val="24"/>
        </w:rPr>
        <w:t xml:space="preserve">    8.3. Timeline</w:t>
      </w:r>
    </w:p>
    <w:p>
      <w:pPr>
        <w:spacing w:after="40"/>
      </w:pPr>
      <w:r>
        <w:rPr>
          <w:rFonts w:ascii="Times New Roman" w:hAnsi="Times New Roman"/>
          <w:sz w:val="24"/>
        </w:rPr>
        <w:t>9. Deliverable Outcomes</w:t>
      </w:r>
    </w:p>
    <w:p>
      <w:pPr>
        <w:spacing w:after="40"/>
      </w:pPr>
      <w:r>
        <w:rPr>
          <w:rFonts w:ascii="Times New Roman" w:hAnsi="Times New Roman"/>
          <w:sz w:val="24"/>
        </w:rPr>
        <w:t>10. References</w:t>
      </w:r>
    </w:p>
    <w:p/>
    <w:p>
      <w:pPr>
        <w:pStyle w:val="Heading1"/>
        <w:spacing w:before="200" w:after="80"/>
      </w:pPr>
      <w:r>
        <w:rPr>
          <w:rFonts w:ascii="Times New Roman" w:hAnsi="Times New Roman"/>
          <w:b/>
          <w:color w:val="000000"/>
          <w:sz w:val="24"/>
        </w:rPr>
        <w:t>4. Statement of Problem</w:t>
      </w:r>
    </w:p>
    <w:p>
      <w:pPr>
        <w:spacing w:after="120"/>
      </w:pPr>
      <w:r>
        <w:rPr>
          <w:rFonts w:ascii="Times New Roman" w:hAnsi="Times New Roman"/>
          <w:sz w:val="24"/>
        </w:rPr>
        <w:t>Lane departure is among the most lethal categories of road crash. In Australia, 62% of all road fatalities nationally are attributable to lane departure — rising to 73% in regional areas and 71% in remote areas [3]. In the United States, the NHTSA estimates that LKA-equipped vehicles are on average 24% less likely to be involved in a fatal road departure crash [4]. The European Commission mandated LKA as a requirement on all new vehicles sold after July 2024, anticipating the technology will save over 25,000 lives by 2038 [5].</w:t>
      </w:r>
    </w:p>
    <w:p>
      <w:pPr>
        <w:spacing w:after="120"/>
      </w:pPr>
      <w:r>
        <w:rPr>
          <w:rFonts w:ascii="Times New Roman" w:hAnsi="Times New Roman"/>
          <w:sz w:val="24"/>
        </w:rPr>
        <w:t>Despite these benefits, current camera-based LKA systems fail in precisely the conditions where failure is most dangerous — poor lane markings on rural and regional roads, rain, fog, and glare [6]. A V2I approach using CERPMs has been shown to outperform commercial vision systems in these conditions [2], but existing CERPM research uses a single interpolation method (cubic spline) and does not examine the effect of missing markers on reconstruction accuracy [1][2]. This gap must be addressed before a CERPM-based LKA system can be deployed with confidence in the reliability of its centreline estimates.</w:t>
      </w:r>
    </w:p>
    <w:p>
      <w:pPr>
        <w:pStyle w:val="Heading1"/>
        <w:spacing w:before="200" w:after="80"/>
      </w:pPr>
      <w:r>
        <w:rPr>
          <w:rFonts w:ascii="Times New Roman" w:hAnsi="Times New Roman"/>
          <w:b/>
          <w:color w:val="000000"/>
          <w:sz w:val="24"/>
        </w:rPr>
        <w:t>5. Introduction</w:t>
      </w:r>
    </w:p>
    <w:p>
      <w:pPr>
        <w:spacing w:after="120"/>
      </w:pPr>
      <w:r>
        <w:rPr>
          <w:rFonts w:ascii="Times New Roman" w:hAnsi="Times New Roman"/>
          <w:sz w:val="24"/>
        </w:rPr>
        <w:t>Lane Keep Assist is a driver assistance feature that applies corrective steering torque to prevent a vehicle from unintentionally crossing lane boundaries. Unlike automated lane-centring systems, LKA activates only reactively — when a vehicle begins to drift toward a lane edge without a turn signal — and is designed to be easily overridden by the driver. LKA is a foundational sub-system of ADAS upon which higher-level autonomous driving functions are built.</w:t>
      </w:r>
    </w:p>
    <w:p>
      <w:pPr>
        <w:spacing w:after="120"/>
      </w:pPr>
      <w:r>
        <w:rPr>
          <w:rFonts w:ascii="Times New Roman" w:hAnsi="Times New Roman"/>
          <w:sz w:val="24"/>
        </w:rPr>
        <w:t>This sub-project contributes the centreline estimation component to a broader group ADAS project. It evaluates how accurately different interpolation algorithms can estimate the lane centre from left and right CERPM boundary data, and how this accuracy degrades when markers are missing. The simulation uses real road geometry sourced from a Lanelet2 OSM map, placing CERPM positions along both road edges at configurable intervals and applying Monte Carlo dropout to represent real-world infrastructure failure.</w:t>
      </w:r>
    </w:p>
    <w:p>
      <w:pPr>
        <w:spacing w:after="120"/>
      </w:pPr>
      <w:r>
        <w:rPr>
          <w:rFonts w:ascii="Times New Roman" w:hAnsi="Times New Roman"/>
          <w:sz w:val="24"/>
        </w:rPr>
        <w:t>The research directly addresses the gap identified in prior CERPM literature [1][2]: existing studies assume complete marker data. This project is the first systematic evaluation of interpolation robustness under CERPM dropout, providing the evidence base needed for reliable LKA deployment using infrastructure-based positioning.</w:t>
      </w:r>
    </w:p>
    <w:p>
      <w:pPr>
        <w:pStyle w:val="Heading1"/>
        <w:spacing w:before="200" w:after="80"/>
      </w:pPr>
      <w:r>
        <w:rPr>
          <w:rFonts w:ascii="Times New Roman" w:hAnsi="Times New Roman"/>
          <w:b/>
          <w:color w:val="000000"/>
          <w:sz w:val="24"/>
        </w:rPr>
        <w:t>6. Background</w:t>
      </w:r>
    </w:p>
    <w:p>
      <w:pPr>
        <w:pStyle w:val="Heading2"/>
        <w:spacing w:before="200" w:after="80"/>
      </w:pPr>
      <w:r>
        <w:rPr>
          <w:rFonts w:ascii="Times New Roman" w:hAnsi="Times New Roman"/>
          <w:b/>
          <w:color w:val="000000"/>
          <w:sz w:val="24"/>
        </w:rPr>
        <w:t>6.1. Relevance and Importance</w:t>
      </w:r>
    </w:p>
    <w:p>
      <w:pPr>
        <w:spacing w:after="120"/>
      </w:pPr>
      <w:r>
        <w:rPr>
          <w:rFonts w:ascii="Times New Roman" w:hAnsi="Times New Roman"/>
          <w:sz w:val="24"/>
        </w:rPr>
        <w:t>Lane departure warning (LDW) systems alert drivers to drift but rely on timely driver reaction — unreliable under fatigue, distraction, or impairment. LKA systems actively intervene, making them more effective for high-risk rural and regional roads where lane markings are often degraded. The field performance of commercial LKA has been benchmarked by the OpenLKA dataset [6], which collected approximately 400 hours of LKA-steered data from 62 production vehicle models in real-world road testing. The study confirmed that LKA systems degrade substantially under poor lane markings and near lane transitions, validating the need for an infrastructure-based complement to camera sensing.</w:t>
      </w:r>
    </w:p>
    <w:p>
      <w:pPr>
        <w:pStyle w:val="Heading2"/>
        <w:spacing w:before="200" w:after="80"/>
      </w:pPr>
      <w:r>
        <w:rPr>
          <w:rFonts w:ascii="Times New Roman" w:hAnsi="Times New Roman"/>
          <w:b/>
          <w:color w:val="000000"/>
          <w:sz w:val="24"/>
        </w:rPr>
        <w:t>6.2. Literature Review</w:t>
      </w:r>
    </w:p>
    <w:p>
      <w:pPr>
        <w:spacing w:after="120"/>
      </w:pPr>
      <w:r>
        <w:rPr>
          <w:rFonts w:ascii="Times New Roman" w:hAnsi="Times New Roman"/>
          <w:sz w:val="24"/>
        </w:rPr>
        <w:t>Sharma et al. [1] and the follow-up study by Kadav et al. [2] provide the foundational evidence for the CERPM approach. They compared a Mobileye 630 commercial vision system against a CERPM-based positioning system across road conditions including sharp curves, varying lighting, and degraded lane markings. CERPMs outperformed the Mobileye in every condition tested, with an effective sensing range of up to 350 m compared to the Mobileye's 31 m. Critically, both studies used cubic spline interpolation without evaluating alternatives or considering the impact of missing markers — the gap this project fills.</w:t>
      </w:r>
    </w:p>
    <w:p>
      <w:pPr>
        <w:spacing w:after="120"/>
      </w:pPr>
      <w:r>
        <w:rPr>
          <w:rFonts w:ascii="Times New Roman" w:hAnsi="Times New Roman"/>
          <w:sz w:val="24"/>
        </w:rPr>
        <w:t>On the perception side, Fakhari and Anwar [7][8] proposed a Multiple Model Adaptive Estimation (MMAE) algorithm combining front and rear cameras with a Kalman filter to improve lane detection under challenging conditions. While effective, this approach still depends on camera visibility and does not address the fundamental limitation of vision-based sensing in markings-absent environments. On the control side, Perozzi et al. [9] demonstrated a shared sliding-mode controller for steer-by-wire LKA that smoothly transitions authority between driver and system; accurate centreline input is a prerequisite for this controller to function correctly. Wei et al. [10] provide a comprehensive review of LKA assessment methodologies and identify standardisation gaps — this project's simulation framework contributes a repeatable evaluation method for one key component of the LKA pipeline.</w:t>
      </w:r>
    </w:p>
    <w:p>
      <w:pPr>
        <w:pStyle w:val="Heading2"/>
        <w:spacing w:before="200" w:after="80"/>
      </w:pPr>
      <w:r>
        <w:rPr>
          <w:rFonts w:ascii="Times New Roman" w:hAnsi="Times New Roman"/>
          <w:b/>
          <w:color w:val="000000"/>
          <w:sz w:val="24"/>
        </w:rPr>
        <w:t>6.3. Legal, Environmental and Ethical Considerations</w:t>
      </w:r>
    </w:p>
    <w:p>
      <w:pPr>
        <w:spacing w:after="120"/>
      </w:pPr>
      <w:r>
        <w:rPr>
          <w:rFonts w:ascii="Times New Roman" w:hAnsi="Times New Roman"/>
          <w:sz w:val="24"/>
        </w:rPr>
        <w:t>Under EU General Safety Regulation 2019/2144 and Australian Road Vehicle Standards Act 2018, ADAS components must be validated against defined performance criteria before vehicle type approval. An interpolation algorithm embedded in a safety-critical LKA pipeline therefore requires documented evidence of performance across failure modes — which this project provides. Physical CERPM deployment has environmental implications: denser marker spacing reduces reconstruction error but increases embedded electronics and installation energy. The simulation results offer evidence to minimise deployment density while maintaining safety. Ethically, any system that influences vehicle steering must include fail-safe defaults; the results of this project directly inform the conditions under which the LKA system should fall back to camera sensing or alert the driver.</w:t>
      </w:r>
    </w:p>
    <w:p>
      <w:pPr>
        <w:pStyle w:val="Heading1"/>
        <w:spacing w:before="200" w:after="80"/>
      </w:pPr>
      <w:r>
        <w:rPr>
          <w:rFonts w:ascii="Times New Roman" w:hAnsi="Times New Roman"/>
          <w:b/>
          <w:color w:val="000000"/>
          <w:sz w:val="24"/>
        </w:rPr>
        <w:t>7. Strategy</w:t>
      </w:r>
    </w:p>
    <w:p>
      <w:pPr>
        <w:pStyle w:val="Heading2"/>
        <w:spacing w:before="200" w:after="80"/>
      </w:pPr>
      <w:r>
        <w:rPr>
          <w:rFonts w:ascii="Times New Roman" w:hAnsi="Times New Roman"/>
          <w:b/>
          <w:color w:val="000000"/>
          <w:sz w:val="24"/>
        </w:rPr>
        <w:t>7.1. What Work Was Done</w:t>
      </w:r>
    </w:p>
    <w:p>
      <w:pPr>
        <w:spacing w:after="120"/>
      </w:pPr>
      <w:r>
        <w:rPr>
          <w:rFonts w:ascii="Times New Roman" w:hAnsi="Times New Roman"/>
          <w:sz w:val="24"/>
        </w:rPr>
        <w:t xml:space="preserve">A simulation framework was developed in Python comprising four modules. </w:t>
      </w:r>
      <w:r>
        <w:rPr>
          <w:rFonts w:ascii="Times New Roman" w:hAnsi="Times New Roman"/>
          <w:b/>
          <w:sz w:val="24"/>
        </w:rPr>
        <w:t>test.py</w:t>
      </w:r>
      <w:r>
        <w:rPr>
          <w:rFonts w:ascii="Times New Roman" w:hAnsi="Times New Roman"/>
          <w:sz w:val="24"/>
        </w:rPr>
        <w:t xml:space="preserve"> parses Lanelet2 OSM road geometry, extracts left and right boundary linestrings, and resamples them to place simulated CERPM positions at a defined spacing. </w:t>
      </w:r>
      <w:r>
        <w:rPr>
          <w:rFonts w:ascii="Times New Roman" w:hAnsi="Times New Roman"/>
          <w:b/>
          <w:sz w:val="24"/>
        </w:rPr>
        <w:t>Interpolations.py</w:t>
      </w:r>
      <w:r>
        <w:rPr>
          <w:rFonts w:ascii="Times New Roman" w:hAnsi="Times New Roman"/>
          <w:sz w:val="24"/>
        </w:rPr>
        <w:t xml:space="preserve"> implements seven interpolation methods, all using arc-length parameterisation to avoid the distortion introduced by naive index-based methods. </w:t>
      </w:r>
      <w:r>
        <w:rPr>
          <w:rFonts w:ascii="Times New Roman" w:hAnsi="Times New Roman"/>
          <w:b/>
          <w:sz w:val="24"/>
        </w:rPr>
        <w:t>Simulation.py</w:t>
      </w:r>
      <w:r>
        <w:rPr>
          <w:rFonts w:ascii="Times New Roman" w:hAnsi="Times New Roman"/>
          <w:sz w:val="24"/>
        </w:rPr>
        <w:t xml:space="preserve"> runs parallelised Monte Carlo trials, applying random or clustered dropout to the CERPM positions before interpolation, and measures the perpendicular error of the reconstructed centreline against the ground truth. </w:t>
      </w:r>
      <w:r>
        <w:rPr>
          <w:rFonts w:ascii="Times New Roman" w:hAnsi="Times New Roman"/>
          <w:b/>
          <w:sz w:val="24"/>
        </w:rPr>
        <w:t>xmlParse.py</w:t>
      </w:r>
      <w:r>
        <w:rPr>
          <w:rFonts w:ascii="Times New Roman" w:hAnsi="Times New Roman"/>
          <w:sz w:val="24"/>
        </w:rPr>
        <w:t xml:space="preserve"> sweeps all parameter combinations, aggregates statistics, and generates visualisations including IQR heatmaps and failure rate matrices.</w:t>
      </w:r>
    </w:p>
    <w:p>
      <w:pPr>
        <w:pStyle w:val="Heading2"/>
        <w:spacing w:before="200" w:after="80"/>
      </w:pPr>
      <w:r>
        <w:rPr>
          <w:rFonts w:ascii="Times New Roman" w:hAnsi="Times New Roman"/>
          <w:b/>
          <w:color w:val="000000"/>
          <w:sz w:val="24"/>
        </w:rPr>
        <w:t>7.2. Why This Work Is Needed</w:t>
      </w:r>
    </w:p>
    <w:p>
      <w:pPr>
        <w:spacing w:after="120"/>
      </w:pPr>
      <w:r>
        <w:rPr>
          <w:rFonts w:ascii="Times New Roman" w:hAnsi="Times New Roman"/>
          <w:sz w:val="24"/>
        </w:rPr>
        <w:t>Prior CERPM research [1][2] assumed complete marker availability. In practice, individual markers may fail due to battery depletion, physical damage, or communication loss, and entire stretches may drop out together due to flooding or road surface damage. Without knowing how each interpolation algorithm responds to these failure modes, a CERPM-based LKA system cannot be designed with confidence in its worst-case behaviour. This simulation provides that characterisation across a full parameter space of spacings and failure severities.</w:t>
      </w:r>
    </w:p>
    <w:p>
      <w:pPr>
        <w:pStyle w:val="Heading2"/>
        <w:spacing w:before="200" w:after="80"/>
      </w:pPr>
      <w:r>
        <w:rPr>
          <w:rFonts w:ascii="Times New Roman" w:hAnsi="Times New Roman"/>
          <w:b/>
          <w:color w:val="000000"/>
          <w:sz w:val="24"/>
        </w:rPr>
        <w:t>7.3. Method Comparison and Justification</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4"/>
              </w:rPr>
              <w:t>Method</w:t>
            </w:r>
          </w:p>
        </w:tc>
        <w:tc>
          <w:tcPr>
            <w:tcW w:type="dxa" w:w="3135"/>
          </w:tcPr>
          <w:p>
            <w:pPr>
              <w:jc w:val="center"/>
            </w:pPr>
            <w:r>
              <w:rPr>
                <w:rFonts w:ascii="Times New Roman" w:hAnsi="Times New Roman"/>
                <w:b/>
                <w:sz w:val="24"/>
              </w:rPr>
              <w:t>Continuity</w:t>
            </w:r>
          </w:p>
        </w:tc>
        <w:tc>
          <w:tcPr>
            <w:tcW w:type="dxa" w:w="3135"/>
          </w:tcPr>
          <w:p>
            <w:pPr>
              <w:jc w:val="center"/>
            </w:pPr>
            <w:r>
              <w:rPr>
                <w:rFonts w:ascii="Times New Roman" w:hAnsi="Times New Roman"/>
                <w:b/>
                <w:sz w:val="24"/>
              </w:rPr>
              <w:t>Justification</w:t>
            </w:r>
          </w:p>
        </w:tc>
      </w:tr>
      <w:tr>
        <w:tc>
          <w:tcPr>
            <w:tcW w:type="dxa" w:w="3135"/>
          </w:tcPr>
          <w:p>
            <w:r>
              <w:rPr>
                <w:rFonts w:ascii="Times New Roman" w:hAnsi="Times New Roman"/>
                <w:sz w:val="24"/>
              </w:rPr>
              <w:t>Linear</w:t>
            </w:r>
          </w:p>
        </w:tc>
        <w:tc>
          <w:tcPr>
            <w:tcW w:type="dxa" w:w="3135"/>
          </w:tcPr>
          <w:p>
            <w:r>
              <w:rPr>
                <w:rFonts w:ascii="Times New Roman" w:hAnsi="Times New Roman"/>
                <w:sz w:val="24"/>
              </w:rPr>
              <w:t>C⁰</w:t>
            </w:r>
          </w:p>
        </w:tc>
        <w:tc>
          <w:tcPr>
            <w:tcW w:type="dxa" w:w="3135"/>
          </w:tcPr>
          <w:p>
            <w:r>
              <w:rPr>
                <w:rFonts w:ascii="Times New Roman" w:hAnsi="Times New Roman"/>
                <w:sz w:val="24"/>
              </w:rPr>
              <w:t>Current implicit default; baseline for comparison</w:t>
            </w:r>
          </w:p>
        </w:tc>
      </w:tr>
      <w:tr>
        <w:tc>
          <w:tcPr>
            <w:tcW w:type="dxa" w:w="3135"/>
          </w:tcPr>
          <w:p>
            <w:r>
              <w:rPr>
                <w:rFonts w:ascii="Times New Roman" w:hAnsi="Times New Roman"/>
                <w:sz w:val="24"/>
              </w:rPr>
              <w:t>Quadratic spline</w:t>
            </w:r>
          </w:p>
        </w:tc>
        <w:tc>
          <w:tcPr>
            <w:tcW w:type="dxa" w:w="3135"/>
          </w:tcPr>
          <w:p>
            <w:r>
              <w:rPr>
                <w:rFonts w:ascii="Times New Roman" w:hAnsi="Times New Roman"/>
                <w:sz w:val="24"/>
              </w:rPr>
              <w:t>C¹</w:t>
            </w:r>
          </w:p>
        </w:tc>
        <w:tc>
          <w:tcPr>
            <w:tcW w:type="dxa" w:w="3135"/>
          </w:tcPr>
          <w:p>
            <w:r>
              <w:rPr>
                <w:rFonts w:ascii="Times New Roman" w:hAnsi="Times New Roman"/>
                <w:sz w:val="24"/>
              </w:rPr>
              <w:t>Smooth first derivative; low computational cost</w:t>
            </w:r>
          </w:p>
        </w:tc>
      </w:tr>
      <w:tr>
        <w:tc>
          <w:tcPr>
            <w:tcW w:type="dxa" w:w="3135"/>
          </w:tcPr>
          <w:p>
            <w:r>
              <w:rPr>
                <w:rFonts w:ascii="Times New Roman" w:hAnsi="Times New Roman"/>
                <w:sz w:val="24"/>
              </w:rPr>
              <w:t>Cubic spline</w:t>
            </w:r>
          </w:p>
        </w:tc>
        <w:tc>
          <w:tcPr>
            <w:tcW w:type="dxa" w:w="3135"/>
          </w:tcPr>
          <w:p>
            <w:r>
              <w:rPr>
                <w:rFonts w:ascii="Times New Roman" w:hAnsi="Times New Roman"/>
                <w:sz w:val="24"/>
              </w:rPr>
              <w:t>C²</w:t>
            </w:r>
          </w:p>
        </w:tc>
        <w:tc>
          <w:tcPr>
            <w:tcW w:type="dxa" w:w="3135"/>
          </w:tcPr>
          <w:p>
            <w:r>
              <w:rPr>
                <w:rFonts w:ascii="Times New Roman" w:hAnsi="Times New Roman"/>
                <w:sz w:val="24"/>
              </w:rPr>
              <w:t>Used in prior CERPM work [1][2]; natural benchmark</w:t>
            </w:r>
          </w:p>
        </w:tc>
      </w:tr>
      <w:tr>
        <w:tc>
          <w:tcPr>
            <w:tcW w:type="dxa" w:w="3135"/>
          </w:tcPr>
          <w:p>
            <w:r>
              <w:rPr>
                <w:rFonts w:ascii="Times New Roman" w:hAnsi="Times New Roman"/>
                <w:sz w:val="24"/>
              </w:rPr>
              <w:t>Quartic spline</w:t>
            </w:r>
          </w:p>
        </w:tc>
        <w:tc>
          <w:tcPr>
            <w:tcW w:type="dxa" w:w="3135"/>
          </w:tcPr>
          <w:p>
            <w:r>
              <w:rPr>
                <w:rFonts w:ascii="Times New Roman" w:hAnsi="Times New Roman"/>
                <w:sz w:val="24"/>
              </w:rPr>
              <w:t>C³</w:t>
            </w:r>
          </w:p>
        </w:tc>
        <w:tc>
          <w:tcPr>
            <w:tcW w:type="dxa" w:w="3135"/>
          </w:tcPr>
          <w:p>
            <w:r>
              <w:rPr>
                <w:rFonts w:ascii="Times New Roman" w:hAnsi="Times New Roman"/>
                <w:sz w:val="24"/>
              </w:rPr>
              <w:t>Tests benefit of one additional degree over cubic</w:t>
            </w:r>
          </w:p>
        </w:tc>
      </w:tr>
      <w:tr>
        <w:tc>
          <w:tcPr>
            <w:tcW w:type="dxa" w:w="3135"/>
          </w:tcPr>
          <w:p>
            <w:r>
              <w:rPr>
                <w:rFonts w:ascii="Times New Roman" w:hAnsi="Times New Roman"/>
                <w:sz w:val="24"/>
              </w:rPr>
              <w:t>Quintic spline</w:t>
            </w:r>
          </w:p>
        </w:tc>
        <w:tc>
          <w:tcPr>
            <w:tcW w:type="dxa" w:w="3135"/>
          </w:tcPr>
          <w:p>
            <w:r>
              <w:rPr>
                <w:rFonts w:ascii="Times New Roman" w:hAnsi="Times New Roman"/>
                <w:sz w:val="24"/>
              </w:rPr>
              <w:t>C⁴</w:t>
            </w:r>
          </w:p>
        </w:tc>
        <w:tc>
          <w:tcPr>
            <w:tcW w:type="dxa" w:w="3135"/>
          </w:tcPr>
          <w:p>
            <w:r>
              <w:rPr>
                <w:rFonts w:ascii="Times New Roman" w:hAnsi="Times New Roman"/>
                <w:sz w:val="24"/>
              </w:rPr>
              <w:t>Upper bound on polynomial order tested</w:t>
            </w:r>
          </w:p>
        </w:tc>
      </w:tr>
      <w:tr>
        <w:tc>
          <w:tcPr>
            <w:tcW w:type="dxa" w:w="3135"/>
          </w:tcPr>
          <w:p>
            <w:r>
              <w:rPr>
                <w:rFonts w:ascii="Times New Roman" w:hAnsi="Times New Roman"/>
                <w:sz w:val="24"/>
              </w:rPr>
              <w:t>PCHIP</w:t>
            </w:r>
          </w:p>
        </w:tc>
        <w:tc>
          <w:tcPr>
            <w:tcW w:type="dxa" w:w="3135"/>
          </w:tcPr>
          <w:p>
            <w:r>
              <w:rPr>
                <w:rFonts w:ascii="Times New Roman" w:hAnsi="Times New Roman"/>
                <w:sz w:val="24"/>
              </w:rPr>
              <w:t>C¹</w:t>
            </w:r>
          </w:p>
        </w:tc>
        <w:tc>
          <w:tcPr>
            <w:tcW w:type="dxa" w:w="3135"/>
          </w:tcPr>
          <w:p>
            <w:r>
              <w:rPr>
                <w:rFonts w:ascii="Times New Roman" w:hAnsi="Times New Roman"/>
                <w:sz w:val="24"/>
              </w:rPr>
              <w:t>Designed for sparse uneven data; avoids overshoot</w:t>
            </w:r>
          </w:p>
        </w:tc>
      </w:tr>
      <w:tr>
        <w:tc>
          <w:tcPr>
            <w:tcW w:type="dxa" w:w="3135"/>
          </w:tcPr>
          <w:p>
            <w:r>
              <w:rPr>
                <w:rFonts w:ascii="Times New Roman" w:hAnsi="Times New Roman"/>
                <w:sz w:val="24"/>
              </w:rPr>
              <w:t>Akima</w:t>
            </w:r>
          </w:p>
        </w:tc>
        <w:tc>
          <w:tcPr>
            <w:tcW w:type="dxa" w:w="3135"/>
          </w:tcPr>
          <w:p>
            <w:r>
              <w:rPr>
                <w:rFonts w:ascii="Times New Roman" w:hAnsi="Times New Roman"/>
                <w:sz w:val="24"/>
              </w:rPr>
              <w:t>C¹</w:t>
            </w:r>
          </w:p>
        </w:tc>
        <w:tc>
          <w:tcPr>
            <w:tcW w:type="dxa" w:w="3135"/>
          </w:tcPr>
          <w:p>
            <w:r>
              <w:rPr>
                <w:rFonts w:ascii="Times New Roman" w:hAnsi="Times New Roman"/>
                <w:sz w:val="24"/>
              </w:rPr>
              <w:t>Locally weighted; limits propagation of gap effects</w:t>
            </w:r>
          </w:p>
        </w:tc>
      </w:tr>
    </w:tbl>
    <w:p/>
    <w:p>
      <w:pPr>
        <w:spacing w:after="120"/>
      </w:pPr>
      <w:r>
        <w:rPr>
          <w:rFonts w:ascii="Times New Roman" w:hAnsi="Times New Roman"/>
          <w:sz w:val="24"/>
        </w:rPr>
        <w:t>Monte Carlo simulation (n = 2,000 per condition) was used because the interaction between dropout randomness, road geometry, and interpolation non-linearity has no tractable closed form. Convergence was verified: IQR estimates stabilised within 1% at approximately 1,500 trials, confirming 2,000 as sufficient. The 0.2 m maximum-error failure threshold was chosen to align with the sub-0.2 m positioning accuracy implied by ISO 21448 and SAE J3016 for lane-keeping applications.</w:t>
      </w:r>
    </w:p>
    <w:p>
      <w:pPr>
        <w:pStyle w:val="Heading1"/>
        <w:spacing w:before="200" w:after="80"/>
      </w:pPr>
      <w:r>
        <w:rPr>
          <w:rFonts w:ascii="Times New Roman" w:hAnsi="Times New Roman"/>
          <w:b/>
          <w:color w:val="000000"/>
          <w:sz w:val="24"/>
        </w:rPr>
        <w:t>8. Project Management</w:t>
      </w:r>
    </w:p>
    <w:p>
      <w:pPr>
        <w:pStyle w:val="Heading2"/>
        <w:spacing w:before="200" w:after="80"/>
      </w:pPr>
      <w:r>
        <w:rPr>
          <w:rFonts w:ascii="Times New Roman" w:hAnsi="Times New Roman"/>
          <w:b/>
          <w:color w:val="000000"/>
          <w:sz w:val="24"/>
        </w:rPr>
        <w:t>8.1. Task Phases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4"/>
              </w:rPr>
              <w:t>Phase</w:t>
            </w:r>
          </w:p>
        </w:tc>
        <w:tc>
          <w:tcPr>
            <w:tcW w:type="dxa" w:w="3135"/>
          </w:tcPr>
          <w:p>
            <w:pPr>
              <w:jc w:val="center"/>
            </w:pPr>
            <w:r>
              <w:rPr>
                <w:rFonts w:ascii="Times New Roman" w:hAnsi="Times New Roman"/>
                <w:b/>
                <w:sz w:val="24"/>
              </w:rPr>
              <w:t>Key Tasks</w:t>
            </w:r>
          </w:p>
        </w:tc>
        <w:tc>
          <w:tcPr>
            <w:tcW w:type="dxa" w:w="3135"/>
          </w:tcPr>
          <w:p>
            <w:pPr>
              <w:jc w:val="center"/>
            </w:pPr>
            <w:r>
              <w:rPr>
                <w:rFonts w:ascii="Times New Roman" w:hAnsi="Times New Roman"/>
                <w:b/>
                <w:sz w:val="24"/>
              </w:rPr>
              <w:t>Deliverable</w:t>
            </w:r>
          </w:p>
        </w:tc>
      </w:tr>
      <w:tr>
        <w:tc>
          <w:tcPr>
            <w:tcW w:type="dxa" w:w="3135"/>
          </w:tcPr>
          <w:p>
            <w:r>
              <w:rPr>
                <w:rFonts w:ascii="Times New Roman" w:hAnsi="Times New Roman"/>
                <w:sz w:val="24"/>
              </w:rPr>
              <w:t>1 — Scoping</w:t>
            </w:r>
          </w:p>
        </w:tc>
        <w:tc>
          <w:tcPr>
            <w:tcW w:type="dxa" w:w="3135"/>
          </w:tcPr>
          <w:p>
            <w:r>
              <w:rPr>
                <w:rFonts w:ascii="Times New Roman" w:hAnsi="Times New Roman"/>
                <w:sz w:val="24"/>
              </w:rPr>
              <w:t>Literature review; identify gap in CERPM research; define failure modes and method shortlist</w:t>
            </w:r>
          </w:p>
        </w:tc>
        <w:tc>
          <w:tcPr>
            <w:tcW w:type="dxa" w:w="3135"/>
          </w:tcPr>
          <w:p>
            <w:r>
              <w:rPr>
                <w:rFonts w:ascii="Times New Roman" w:hAnsi="Times New Roman"/>
                <w:sz w:val="24"/>
              </w:rPr>
              <w:t>Research questions; confirmed scope</w:t>
            </w:r>
          </w:p>
        </w:tc>
      </w:tr>
      <w:tr>
        <w:tc>
          <w:tcPr>
            <w:tcW w:type="dxa" w:w="3135"/>
          </w:tcPr>
          <w:p>
            <w:r>
              <w:rPr>
                <w:rFonts w:ascii="Times New Roman" w:hAnsi="Times New Roman"/>
                <w:sz w:val="24"/>
              </w:rPr>
              <w:t>2 — Development</w:t>
            </w:r>
          </w:p>
        </w:tc>
        <w:tc>
          <w:tcPr>
            <w:tcW w:type="dxa" w:w="3135"/>
          </w:tcPr>
          <w:p>
            <w:r>
              <w:rPr>
                <w:rFonts w:ascii="Times New Roman" w:hAnsi="Times New Roman"/>
                <w:sz w:val="24"/>
              </w:rPr>
              <w:t>Implement Lanelet2 parser; interpolation module; Monte Carlo simulation engine</w:t>
            </w:r>
          </w:p>
        </w:tc>
        <w:tc>
          <w:tcPr>
            <w:tcW w:type="dxa" w:w="3135"/>
          </w:tcPr>
          <w:p>
            <w:r>
              <w:rPr>
                <w:rFonts w:ascii="Times New Roman" w:hAnsi="Times New Roman"/>
                <w:sz w:val="24"/>
              </w:rPr>
              <w:t>Working, tested codebase</w:t>
            </w:r>
          </w:p>
        </w:tc>
      </w:tr>
      <w:tr>
        <w:tc>
          <w:tcPr>
            <w:tcW w:type="dxa" w:w="3135"/>
          </w:tcPr>
          <w:p>
            <w:r>
              <w:rPr>
                <w:rFonts w:ascii="Times New Roman" w:hAnsi="Times New Roman"/>
                <w:sz w:val="24"/>
              </w:rPr>
              <w:t>3 — Simulation</w:t>
            </w:r>
          </w:p>
        </w:tc>
        <w:tc>
          <w:tcPr>
            <w:tcW w:type="dxa" w:w="3135"/>
          </w:tcPr>
          <w:p>
            <w:r>
              <w:rPr>
                <w:rFonts w:ascii="Times New Roman" w:hAnsi="Times New Roman"/>
                <w:sz w:val="24"/>
              </w:rPr>
              <w:t>Execute full parameter sweep; validate convergence at n = 2,000</w:t>
            </w:r>
          </w:p>
        </w:tc>
        <w:tc>
          <w:tcPr>
            <w:tcW w:type="dxa" w:w="3135"/>
          </w:tcPr>
          <w:p>
            <w:r>
              <w:rPr>
                <w:rFonts w:ascii="Times New Roman" w:hAnsi="Times New Roman"/>
                <w:sz w:val="24"/>
              </w:rPr>
              <w:t>Complete results dataset</w:t>
            </w:r>
          </w:p>
        </w:tc>
      </w:tr>
      <w:tr>
        <w:tc>
          <w:tcPr>
            <w:tcW w:type="dxa" w:w="3135"/>
          </w:tcPr>
          <w:p>
            <w:r>
              <w:rPr>
                <w:rFonts w:ascii="Times New Roman" w:hAnsi="Times New Roman"/>
                <w:sz w:val="24"/>
              </w:rPr>
              <w:t>4 — Analysis &amp; Reporting</w:t>
            </w:r>
          </w:p>
        </w:tc>
        <w:tc>
          <w:tcPr>
            <w:tcW w:type="dxa" w:w="3135"/>
          </w:tcPr>
          <w:p>
            <w:r>
              <w:rPr>
                <w:rFonts w:ascii="Times New Roman" w:hAnsi="Times New Roman"/>
                <w:sz w:val="24"/>
              </w:rPr>
              <w:t>Statistical aggregation; IQR and failure rate visualisation; report writing</w:t>
            </w:r>
          </w:p>
        </w:tc>
        <w:tc>
          <w:tcPr>
            <w:tcW w:type="dxa" w:w="3135"/>
          </w:tcPr>
          <w:p>
            <w:r>
              <w:rPr>
                <w:rFonts w:ascii="Times New Roman" w:hAnsi="Times New Roman"/>
                <w:sz w:val="24"/>
              </w:rPr>
              <w:t>This report and all figures</w:t>
            </w:r>
          </w:p>
        </w:tc>
      </w:tr>
    </w:tbl>
    <w:p/>
    <w:p>
      <w:pPr>
        <w:pStyle w:val="Heading2"/>
        <w:spacing w:before="200" w:after="80"/>
      </w:pPr>
      <w:r>
        <w:rPr>
          <w:rFonts w:ascii="Times New Roman" w:hAnsi="Times New Roman"/>
          <w:b/>
          <w:color w:val="000000"/>
          <w:sz w:val="24"/>
        </w:rPr>
        <w:t>8.2. Responsibilities</w:t>
      </w:r>
    </w:p>
    <w:p>
      <w:pPr>
        <w:spacing w:after="120"/>
      </w:pPr>
      <w:r>
        <w:rPr>
          <w:rFonts w:ascii="Times New Roman" w:hAnsi="Times New Roman"/>
          <w:sz w:val="24"/>
        </w:rPr>
        <w:t>This is an individual sub-project within a group ADAS effort. All components — literature review, software development, simulation execution, statistical analysis, and report writing — were completed by the sole author. Results feed into the group's broader ADAS integration, providing the centreline estimate required by the LKA control sub-system.</w:t>
      </w:r>
    </w:p>
    <w:p>
      <w:pPr>
        <w:pStyle w:val="Heading2"/>
        <w:spacing w:before="200" w:after="80"/>
      </w:pPr>
      <w:r>
        <w:rPr>
          <w:rFonts w:ascii="Times New Roman" w:hAnsi="Times New Roman"/>
          <w:b/>
          <w:color w:val="000000"/>
          <w:sz w:val="24"/>
        </w:rPr>
        <w:t>8.3. Timeline and Risk Management</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b/>
                <w:sz w:val="24"/>
              </w:rPr>
              <w:t>Week</w:t>
            </w:r>
          </w:p>
        </w:tc>
        <w:tc>
          <w:tcPr>
            <w:tcW w:type="dxa" w:w="4703"/>
          </w:tcPr>
          <w:p>
            <w:pPr>
              <w:jc w:val="center"/>
            </w:pPr>
            <w:r>
              <w:rPr>
                <w:rFonts w:ascii="Times New Roman" w:hAnsi="Times New Roman"/>
                <w:b/>
                <w:sz w:val="24"/>
              </w:rPr>
              <w:t>Milestone</w:t>
            </w:r>
          </w:p>
        </w:tc>
      </w:tr>
      <w:tr>
        <w:tc>
          <w:tcPr>
            <w:tcW w:type="dxa" w:w="4703"/>
          </w:tcPr>
          <w:p>
            <w:r>
              <w:rPr>
                <w:rFonts w:ascii="Times New Roman" w:hAnsi="Times New Roman"/>
                <w:sz w:val="24"/>
              </w:rPr>
              <w:t>1–2</w:t>
            </w:r>
          </w:p>
        </w:tc>
        <w:tc>
          <w:tcPr>
            <w:tcW w:type="dxa" w:w="4703"/>
          </w:tcPr>
          <w:p>
            <w:r>
              <w:rPr>
                <w:rFonts w:ascii="Times New Roman" w:hAnsi="Times New Roman"/>
                <w:sz w:val="24"/>
              </w:rPr>
              <w:t>Literature review complete; research gap confirmed; supervisor sign-off on scope</w:t>
            </w:r>
          </w:p>
        </w:tc>
      </w:tr>
      <w:tr>
        <w:tc>
          <w:tcPr>
            <w:tcW w:type="dxa" w:w="4703"/>
          </w:tcPr>
          <w:p>
            <w:r>
              <w:rPr>
                <w:rFonts w:ascii="Times New Roman" w:hAnsi="Times New Roman"/>
                <w:sz w:val="24"/>
              </w:rPr>
              <w:t>3–5</w:t>
            </w:r>
          </w:p>
        </w:tc>
        <w:tc>
          <w:tcPr>
            <w:tcW w:type="dxa" w:w="4703"/>
          </w:tcPr>
          <w:p>
            <w:r>
              <w:rPr>
                <w:rFonts w:ascii="Times New Roman" w:hAnsi="Times New Roman"/>
                <w:sz w:val="24"/>
              </w:rPr>
              <w:t>Lanelet2 parser and interpolation module implemented and unit-tested</w:t>
            </w:r>
          </w:p>
        </w:tc>
      </w:tr>
      <w:tr>
        <w:tc>
          <w:tcPr>
            <w:tcW w:type="dxa" w:w="4703"/>
          </w:tcPr>
          <w:p>
            <w:r>
              <w:rPr>
                <w:rFonts w:ascii="Times New Roman" w:hAnsi="Times New Roman"/>
                <w:sz w:val="24"/>
              </w:rPr>
              <w:t>6–7</w:t>
            </w:r>
          </w:p>
        </w:tc>
        <w:tc>
          <w:tcPr>
            <w:tcW w:type="dxa" w:w="4703"/>
          </w:tcPr>
          <w:p>
            <w:r>
              <w:rPr>
                <w:rFonts w:ascii="Times New Roman" w:hAnsi="Times New Roman"/>
                <w:sz w:val="24"/>
              </w:rPr>
              <w:t>Monte Carlo engine complete; single-condition validation runs completed</w:t>
            </w:r>
          </w:p>
        </w:tc>
      </w:tr>
      <w:tr>
        <w:tc>
          <w:tcPr>
            <w:tcW w:type="dxa" w:w="4703"/>
          </w:tcPr>
          <w:p>
            <w:r>
              <w:rPr>
                <w:rFonts w:ascii="Times New Roman" w:hAnsi="Times New Roman"/>
                <w:sz w:val="24"/>
              </w:rPr>
              <w:t>8–10</w:t>
            </w:r>
          </w:p>
        </w:tc>
        <w:tc>
          <w:tcPr>
            <w:tcW w:type="dxa" w:w="4703"/>
          </w:tcPr>
          <w:p>
            <w:r>
              <w:rPr>
                <w:rFonts w:ascii="Times New Roman" w:hAnsi="Times New Roman"/>
                <w:sz w:val="24"/>
              </w:rPr>
              <w:t>Full parameter sweep executed (all conditions, n = 2,000 per condition)</w:t>
            </w:r>
          </w:p>
        </w:tc>
      </w:tr>
      <w:tr>
        <w:tc>
          <w:tcPr>
            <w:tcW w:type="dxa" w:w="4703"/>
          </w:tcPr>
          <w:p>
            <w:r>
              <w:rPr>
                <w:rFonts w:ascii="Times New Roman" w:hAnsi="Times New Roman"/>
                <w:sz w:val="24"/>
              </w:rPr>
              <w:t>11–12</w:t>
            </w:r>
          </w:p>
        </w:tc>
        <w:tc>
          <w:tcPr>
            <w:tcW w:type="dxa" w:w="4703"/>
          </w:tcPr>
          <w:p>
            <w:r>
              <w:rPr>
                <w:rFonts w:ascii="Times New Roman" w:hAnsi="Times New Roman"/>
                <w:sz w:val="24"/>
              </w:rPr>
              <w:t>Results analysis, IQR heatmaps, and failure rate matrices generated</w:t>
            </w:r>
          </w:p>
        </w:tc>
      </w:tr>
      <w:tr>
        <w:tc>
          <w:tcPr>
            <w:tcW w:type="dxa" w:w="4703"/>
          </w:tcPr>
          <w:p>
            <w:r>
              <w:rPr>
                <w:rFonts w:ascii="Times New Roman" w:hAnsi="Times New Roman"/>
                <w:sz w:val="24"/>
              </w:rPr>
              <w:t>13–14</w:t>
            </w:r>
          </w:p>
        </w:tc>
        <w:tc>
          <w:tcPr>
            <w:tcW w:type="dxa" w:w="4703"/>
          </w:tcPr>
          <w:p>
            <w:r>
              <w:rPr>
                <w:rFonts w:ascii="Times New Roman" w:hAnsi="Times New Roman"/>
                <w:sz w:val="24"/>
              </w:rPr>
              <w:t>Report finalised and submitted</w:t>
            </w:r>
          </w:p>
        </w:tc>
      </w:tr>
    </w:tbl>
    <w:p/>
    <w:p>
      <w:pPr>
        <w:spacing w:after="120"/>
      </w:pPr>
      <w:r>
        <w:rPr>
          <w:rFonts w:ascii="Times New Roman" w:hAnsi="Times New Roman"/>
          <w:sz w:val="24"/>
        </w:rPr>
        <w:t>Key risks and mitigations: numerical instability in high-order spline fitting with very few surviving points was addressed by implementing graceful fallbacks — Akima and cubic spline revert to linear when fewer than three points survive dropout. Computational runtime was managed by parallelising trials across all CPU cores using Python's ProcessPoolExecutor, reducing total sweep time from an estimated 18 hours serial to under 3 hours. Full reproducibility was ensured by deriving each trial seed from a master generator with a fixed base seed. All development was tracked in Git.</w:t>
      </w:r>
    </w:p>
    <w:p>
      <w:pPr>
        <w:pStyle w:val="Heading1"/>
        <w:spacing w:before="200" w:after="80"/>
      </w:pPr>
      <w:r>
        <w:rPr>
          <w:rFonts w:ascii="Times New Roman" w:hAnsi="Times New Roman"/>
          <w:b/>
          <w:color w:val="000000"/>
          <w:sz w:val="24"/>
        </w:rPr>
        <w:t>9. Deliverable Outcomes</w:t>
      </w:r>
    </w:p>
    <w:p>
      <w:pPr>
        <w:pStyle w:val="Heading2"/>
        <w:spacing w:before="200" w:after="80"/>
      </w:pPr>
      <w:r>
        <w:rPr>
          <w:rFonts w:ascii="Times New Roman" w:hAnsi="Times New Roman"/>
          <w:b/>
          <w:color w:val="000000"/>
          <w:sz w:val="24"/>
        </w:rPr>
        <w:t>9.1. Analysis Program</w:t>
      </w:r>
    </w:p>
    <w:p>
      <w:pPr>
        <w:spacing w:after="120"/>
      </w:pPr>
      <w:r>
        <w:rPr>
          <w:rFonts w:ascii="Times New Roman" w:hAnsi="Times New Roman"/>
          <w:sz w:val="24"/>
        </w:rPr>
        <w:t>A complete Python simulation program that: imports real road geometry from Lanelet2 OSM files; places CERPM positions along left and right road edges at configurable spacing, converting GPS/map coordinates to local metric x/y; applies configurable random or clustered dropout; runs seven interpolation algorithms on surviving markers; computes the reconstructed centreline; and measures error against the ground-truth centreline. Results are exported as structured datasets and visualisations.</w:t>
      </w:r>
    </w:p>
    <w:p>
      <w:pPr>
        <w:pStyle w:val="Heading2"/>
        <w:spacing w:before="200" w:after="80"/>
      </w:pPr>
      <w:r>
        <w:rPr>
          <w:rFonts w:ascii="Times New Roman" w:hAnsi="Times New Roman"/>
          <w:b/>
          <w:color w:val="000000"/>
          <w:sz w:val="24"/>
        </w:rPr>
        <w:t>9.2. Interpolation Algorithm Comparison</w:t>
      </w:r>
    </w:p>
    <w:p>
      <w:pPr>
        <w:spacing w:after="120"/>
      </w:pPr>
      <w:r>
        <w:rPr>
          <w:rFonts w:ascii="Times New Roman" w:hAnsi="Times New Roman"/>
          <w:sz w:val="24"/>
        </w:rPr>
        <w:t>Key findings from the Monte Carlo sweep:</w:t>
      </w:r>
    </w:p>
    <w:p>
      <w:pPr>
        <w:pStyle w:val="ListBullet"/>
        <w:spacing w:after="60"/>
      </w:pPr>
      <w:r>
        <w:rPr>
          <w:rFonts w:ascii="Times New Roman" w:hAnsi="Times New Roman"/>
          <w:sz w:val="24"/>
        </w:rPr>
      </w:r>
      <w:r>
        <w:rPr>
          <w:rFonts w:ascii="Times New Roman" w:hAnsi="Times New Roman"/>
          <w:b/>
          <w:sz w:val="24"/>
        </w:rPr>
        <w:t>Quintic and quartic B-splines</w:t>
      </w:r>
      <w:r>
        <w:rPr>
          <w:rFonts w:ascii="Times New Roman" w:hAnsi="Times New Roman"/>
          <w:sz w:val="24"/>
        </w:rPr>
        <w:t xml:space="preserve"> achieved the lowest IQR and failure rates across all conditions, with near-zero failure rates under random dropout at ≤ 3 m spacing.</w:t>
      </w:r>
    </w:p>
    <w:p>
      <w:pPr>
        <w:pStyle w:val="ListBullet"/>
        <w:spacing w:after="60"/>
      </w:pPr>
      <w:r>
        <w:rPr>
          <w:rFonts w:ascii="Times New Roman" w:hAnsi="Times New Roman"/>
          <w:sz w:val="24"/>
        </w:rPr>
      </w:r>
      <w:r>
        <w:rPr>
          <w:rFonts w:ascii="Times New Roman" w:hAnsi="Times New Roman"/>
          <w:b/>
          <w:sz w:val="24"/>
        </w:rPr>
        <w:t>Cubic spline</w:t>
      </w:r>
      <w:r>
        <w:rPr>
          <w:rFonts w:ascii="Times New Roman" w:hAnsi="Times New Roman"/>
          <w:sz w:val="24"/>
        </w:rPr>
        <w:t xml:space="preserve"> — the method used in prior CERPM work [1][2] — performed well under random dropout but was outperformed by quartic and quintic at clustered dropout with large cluster sizes.</w:t>
      </w:r>
    </w:p>
    <w:p>
      <w:pPr>
        <w:pStyle w:val="ListBullet"/>
        <w:spacing w:after="60"/>
      </w:pPr>
      <w:r>
        <w:rPr>
          <w:rFonts w:ascii="Times New Roman" w:hAnsi="Times New Roman"/>
          <w:sz w:val="24"/>
        </w:rPr>
      </w:r>
      <w:r>
        <w:rPr>
          <w:rFonts w:ascii="Times New Roman" w:hAnsi="Times New Roman"/>
          <w:b/>
          <w:sz w:val="24"/>
        </w:rPr>
        <w:t>Linear interpolation</w:t>
      </w:r>
      <w:r>
        <w:rPr>
          <w:rFonts w:ascii="Times New Roman" w:hAnsi="Times New Roman"/>
          <w:sz w:val="24"/>
        </w:rPr>
        <w:t xml:space="preserve"> failed at rates of 93–100% (max error &gt; 0.2 m) under clustered dropout at 5 m spacing, even for a cluster of just 2 consecutive markers.</w:t>
      </w:r>
    </w:p>
    <w:p>
      <w:pPr>
        <w:pStyle w:val="ListBullet"/>
        <w:spacing w:after="60"/>
      </w:pPr>
      <w:r>
        <w:rPr>
          <w:rFonts w:ascii="Times New Roman" w:hAnsi="Times New Roman"/>
          <w:sz w:val="24"/>
        </w:rPr>
      </w:r>
      <w:r>
        <w:rPr>
          <w:rFonts w:ascii="Times New Roman" w:hAnsi="Times New Roman"/>
          <w:b/>
          <w:sz w:val="24"/>
        </w:rPr>
        <w:t>PCHIP</w:t>
      </w:r>
      <w:r>
        <w:rPr>
          <w:rFonts w:ascii="Times New Roman" w:hAnsi="Times New Roman"/>
          <w:sz w:val="24"/>
        </w:rPr>
        <w:t xml:space="preserve"> showed intermediate performance; its monotonicity constraint, beneficial in other applications, produced flat reconstructions across large gaps in smooth road geometry, increasing error.</w:t>
      </w:r>
    </w:p>
    <w:p>
      <w:pPr>
        <w:pStyle w:val="Heading2"/>
        <w:spacing w:before="200" w:after="80"/>
      </w:pPr>
      <w:r>
        <w:rPr>
          <w:rFonts w:ascii="Times New Roman" w:hAnsi="Times New Roman"/>
          <w:b/>
          <w:color w:val="000000"/>
          <w:sz w:val="24"/>
        </w:rPr>
        <w:t>9.3. CERPM Dropout Analysis</w:t>
      </w:r>
    </w:p>
    <w:p>
      <w:pPr>
        <w:pStyle w:val="ListBullet"/>
        <w:spacing w:after="60"/>
      </w:pPr>
      <w:r>
        <w:rPr>
          <w:rFonts w:ascii="Times New Roman" w:hAnsi="Times New Roman"/>
          <w:sz w:val="24"/>
        </w:rPr>
      </w:r>
      <w:r>
        <w:rPr>
          <w:rFonts w:ascii="Times New Roman" w:hAnsi="Times New Roman"/>
          <w:b/>
          <w:sz w:val="24"/>
        </w:rPr>
        <w:t>Clustered dropout is significantly more damaging</w:t>
      </w:r>
      <w:r>
        <w:rPr>
          <w:rFonts w:ascii="Times New Roman" w:hAnsi="Times New Roman"/>
          <w:sz w:val="24"/>
        </w:rPr>
        <w:t xml:space="preserve"> than random dropout at equivalent average dropout fractions. Removing 10 contiguous markers leaves a reconstruction gap across a continuous road section; the same 10 markers removed randomly leave local geometric information intact at most locations.</w:t>
      </w:r>
    </w:p>
    <w:p>
      <w:pPr>
        <w:pStyle w:val="ListBullet"/>
        <w:spacing w:after="60"/>
      </w:pPr>
      <w:r>
        <w:rPr>
          <w:rFonts w:ascii="Times New Roman" w:hAnsi="Times New Roman"/>
          <w:sz w:val="24"/>
        </w:rPr>
      </w:r>
      <w:r>
        <w:rPr>
          <w:rFonts w:ascii="Times New Roman" w:hAnsi="Times New Roman"/>
          <w:b/>
          <w:sz w:val="24"/>
        </w:rPr>
        <w:t>CERPM spacing is the dominant design variable.</w:t>
      </w:r>
      <w:r>
        <w:rPr>
          <w:rFonts w:ascii="Times New Roman" w:hAnsi="Times New Roman"/>
          <w:sz w:val="24"/>
        </w:rPr>
        <w:t xml:space="preserve"> Reducing spacing from 5 m to 2 m improves resilience across all methods and failure modes. At 1 m spacing, even linear interpolation is acceptable under random dropout up to 20%.</w:t>
      </w:r>
    </w:p>
    <w:p>
      <w:pPr>
        <w:pStyle w:val="ListBullet"/>
        <w:spacing w:after="60"/>
      </w:pPr>
      <w:r>
        <w:rPr>
          <w:rFonts w:ascii="Times New Roman" w:hAnsi="Times New Roman"/>
          <w:sz w:val="24"/>
        </w:rPr>
      </w:r>
      <w:r>
        <w:rPr>
          <w:rFonts w:ascii="Times New Roman" w:hAnsi="Times New Roman"/>
          <w:b/>
          <w:sz w:val="24"/>
        </w:rPr>
        <w:t>Recommended system design:</w:t>
      </w:r>
      <w:r>
        <w:rPr>
          <w:rFonts w:ascii="Times New Roman" w:hAnsi="Times New Roman"/>
          <w:sz w:val="24"/>
        </w:rPr>
        <w:t xml:space="preserve"> deploy CERPMs at ≤ 2 m on curved sections; use quintic or quartic B-spline interpolation; trigger fallback to camera sensing when clustered gaps of more than 10 consecutive markers are detected.</w:t>
      </w:r>
    </w:p>
    <w:p>
      <w:pPr>
        <w:pStyle w:val="Heading1"/>
        <w:spacing w:before="200" w:after="80"/>
      </w:pPr>
      <w:r>
        <w:rPr>
          <w:rFonts w:ascii="Times New Roman" w:hAnsi="Times New Roman"/>
          <w:b/>
          <w:color w:val="000000"/>
          <w:sz w:val="24"/>
        </w:rPr>
        <w:t>10. References</w:t>
      </w:r>
    </w:p>
    <w:p>
      <w:pPr>
        <w:spacing w:after="80"/>
        <w:ind w:left="567" w:hanging="567"/>
      </w:pPr>
      <w:r>
        <w:rPr>
          <w:rFonts w:ascii="Times New Roman" w:hAnsi="Times New Roman"/>
          <w:sz w:val="24"/>
        </w:rPr>
        <w:t>[1] S. Sharma, J. Rojas, A. R. Ekti, R. Wang, Z. Asher, and R. Meyer, "Vehicle Lateral Offset Estimation Using Infrastructure Information for Reduced Compute Load," SAE Technical Paper 2023-01-0800, Apr. 2023, doi: 10.4271/2023-01-0800.</w:t>
      </w:r>
    </w:p>
    <w:p>
      <w:pPr>
        <w:spacing w:after="80"/>
        <w:ind w:left="567" w:hanging="567"/>
      </w:pPr>
      <w:r>
        <w:rPr>
          <w:rFonts w:ascii="Times New Roman" w:hAnsi="Times New Roman"/>
          <w:sz w:val="24"/>
        </w:rPr>
        <w:t>[2] P. Kadav et al., "Automated Lane Centering: An Off-the-Shelf Computer Vision Product vs. Infrastructure-Based Chip-Enabled Raised Pavement Markers," Sensors, vol. 24, no. 7, pp. 2327–2327, Apr. 2024, doi: 10.3390/s24072327.</w:t>
      </w:r>
    </w:p>
    <w:p>
      <w:pPr>
        <w:spacing w:after="80"/>
        <w:ind w:left="567" w:hanging="567"/>
      </w:pPr>
      <w:r>
        <w:rPr>
          <w:rFonts w:ascii="Times New Roman" w:hAnsi="Times New Roman"/>
          <w:sz w:val="24"/>
        </w:rPr>
        <w:t>[3] Department of Infrastructure, Transport, Cities and Regional Development, "Fact sheet: Evidence supporting the priority focus areas," National Road Safety Strategy, 2021. [Online]. Available: https://www.roadsafety.gov.au/nrss/fact-sheets/priority-focus-areas</w:t>
      </w:r>
    </w:p>
    <w:p>
      <w:pPr>
        <w:spacing w:after="80"/>
        <w:ind w:left="567" w:hanging="567"/>
      </w:pPr>
      <w:r>
        <w:rPr>
          <w:rFonts w:ascii="Times New Roman" w:hAnsi="Times New Roman"/>
          <w:sz w:val="24"/>
        </w:rPr>
        <w:t>[4] National Highway Traffic Safety Administration, "Estimating Effectiveness of Lane Keeping Assist Systems in Fatal Road Departure Crashes," NHTSA Report 813663, 2024.</w:t>
      </w:r>
    </w:p>
    <w:p>
      <w:pPr>
        <w:spacing w:after="80"/>
        <w:ind w:left="567" w:hanging="567"/>
      </w:pPr>
      <w:r>
        <w:rPr>
          <w:rFonts w:ascii="Times New Roman" w:hAnsi="Times New Roman"/>
          <w:sz w:val="24"/>
        </w:rPr>
        <w:t>[5] European Commission, "Mandatory drivers assistance systems expected to help save over 25,000 lives by 2038," Internal Market, Industry, Entrepreneurship and SMEs, Jul. 2024.</w:t>
      </w:r>
    </w:p>
    <w:p>
      <w:pPr>
        <w:spacing w:after="80"/>
        <w:ind w:left="567" w:hanging="567"/>
      </w:pPr>
      <w:r>
        <w:rPr>
          <w:rFonts w:ascii="Times New Roman" w:hAnsi="Times New Roman"/>
          <w:sz w:val="24"/>
        </w:rPr>
        <w:t>[6] Y. Wang, A. Alhuraish, S. Yuan, and H. Zhou, "OpenLKA: Open Source Multimodal LKA Dataset," GitHub, 2025. [Online]. Available: https://github.com/OpenLKA/OpenLKA</w:t>
      </w:r>
    </w:p>
    <w:p>
      <w:pPr>
        <w:spacing w:after="80"/>
        <w:ind w:left="567" w:hanging="567"/>
      </w:pPr>
      <w:r>
        <w:rPr>
          <w:rFonts w:ascii="Times New Roman" w:hAnsi="Times New Roman"/>
          <w:sz w:val="24"/>
        </w:rPr>
        <w:t>[7] I. Fakhari and S. Anwar, "A Multiple Model Estimation Approach to Robust Lane Detection via Computer Vision Based Models," in Proc. IEEE ISIE, 2022, pp. 576–581, doi: 10.1109/isie51582.2022.9831692.</w:t>
      </w:r>
    </w:p>
    <w:p>
      <w:pPr>
        <w:spacing w:after="80"/>
        <w:ind w:left="567" w:hanging="567"/>
      </w:pPr>
      <w:r>
        <w:rPr>
          <w:rFonts w:ascii="Times New Roman" w:hAnsi="Times New Roman"/>
          <w:sz w:val="24"/>
        </w:rPr>
        <w:t>[8] I. Fakhari and S. Anwar, "Computer vision model based robust lane detection using multiple model adaptive estimation methodology," Frontiers in Mechanical Engineering, vol. 11, Feb. 2025, doi: 10.3389/fmech.2025.1436338.</w:t>
      </w:r>
    </w:p>
    <w:p>
      <w:pPr>
        <w:spacing w:after="80"/>
        <w:ind w:left="567" w:hanging="567"/>
      </w:pPr>
      <w:r>
        <w:rPr>
          <w:rFonts w:ascii="Times New Roman" w:hAnsi="Times New Roman"/>
          <w:sz w:val="24"/>
        </w:rPr>
        <w:t>[9] G. Perozzi, J. J. Rath, C. Sentouh, J. Floris, and J.-C. Popieul, "Lateral Shared Sliding Mode Control for Lane Keeping Assist System in Steer-by-Wire Vehicles," IEEE Trans. Intelligent Vehicles, vol. 8, no. 4, pp. 3073–3082, Apr. 2023, doi: 10.1109/tiv.2021.3097352.</w:t>
      </w:r>
    </w:p>
    <w:p>
      <w:pPr>
        <w:spacing w:after="80"/>
        <w:ind w:left="567" w:hanging="567"/>
      </w:pPr>
      <w:r>
        <w:rPr>
          <w:rFonts w:ascii="Times New Roman" w:hAnsi="Times New Roman"/>
          <w:sz w:val="24"/>
        </w:rPr>
        <w:t>[10] S. Wei, P. E. Pfeffer, and J. Edelmann, "State of the Art: Ongoing Research in Assessment Methods for Lane Keeping Assistance Systems," IEEE Trans. Intelligent Vehicles, vol. 9, no. 9, pp. 5853–5875, Sep. 2024, doi: 10.1109/tiv.2023.3269156.</w:t>
      </w:r>
    </w:p>
    <w:p>
      <w:pPr>
        <w:spacing w:after="80"/>
        <w:ind w:left="567" w:hanging="567"/>
      </w:pPr>
      <w:r>
        <w:rPr>
          <w:rFonts w:ascii="Times New Roman" w:hAnsi="Times New Roman"/>
          <w:sz w:val="24"/>
        </w:rPr>
        <w:t>[11] F. Poggenhans et al., "Lanelet2: A high-definition map framework for the future of automated driving," in Proc. IEEE ITSC, 2018, pp. 1672–1679.</w:t>
      </w:r>
    </w:p>
    <w:p>
      <w:pPr>
        <w:spacing w:after="80"/>
        <w:ind w:left="567" w:hanging="567"/>
      </w:pPr>
      <w:r>
        <w:rPr>
          <w:rFonts w:ascii="Times New Roman" w:hAnsi="Times New Roman"/>
          <w:sz w:val="24"/>
        </w:rPr>
        <w:t>[12] F. N. Fritsch and R. E. Carlson, "Monotone piecewise cubic interpolation," SIAM J. Numerical Analysis, vol. 17, no. 2, pp. 238–246, 1980.</w:t>
      </w:r>
    </w:p>
    <w:p>
      <w:pPr>
        <w:spacing w:after="80"/>
        <w:ind w:left="567" w:hanging="567"/>
      </w:pPr>
      <w:r>
        <w:rPr>
          <w:rFonts w:ascii="Times New Roman" w:hAnsi="Times New Roman"/>
          <w:sz w:val="24"/>
        </w:rPr>
        <w:t>[13] H. Akima, "A new method of interpolation and smooth curve fitting based on local procedures," J. ACM, vol. 17, no. 4, pp. 589–602, 1970.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