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sz w:val="32"/>
        </w:rPr>
        <w:t>Lane Keep Assist Using Chip Enabled Raised Pavement Markers:</w:t>
        <w:br/>
        <w:t>Interpolation Algorithm Robustness Under CERPM Dropout Conditions</w:t>
      </w:r>
    </w:p>
    <w:p/>
    <w:p>
      <w:pPr>
        <w:jc w:val="center"/>
      </w:pPr>
      <w:r>
        <w:rPr>
          <w:rFonts w:ascii="Times New Roman" w:hAnsi="Times New Roman"/>
          <w:b/>
          <w:sz w:val="26"/>
        </w:rPr>
        <w:t>Final Research Report — Advanced Driver Assistance Systems</w:t>
      </w:r>
    </w:p>
    <w:p/>
    <w:p>
      <w:pPr>
        <w:jc w:val="center"/>
      </w:pPr>
      <w:r>
        <w:rPr>
          <w:rFonts w:ascii="Times New Roman" w:hAnsi="Times New Roman"/>
          <w:b/>
          <w:sz w:val="24"/>
        </w:rPr>
        <w:t xml:space="preserve">Author:  </w:t>
      </w:r>
      <w:r>
        <w:rPr>
          <w:rFonts w:ascii="Times New Roman" w:hAnsi="Times New Roman"/>
          <w:sz w:val="24"/>
        </w:rPr>
        <w:t>Alexander Bruce</w:t>
      </w:r>
    </w:p>
    <w:p>
      <w:pPr>
        <w:jc w:val="center"/>
      </w:pPr>
      <w:r>
        <w:rPr>
          <w:rFonts w:ascii="Times New Roman" w:hAnsi="Times New Roman"/>
          <w:b/>
          <w:sz w:val="24"/>
        </w:rPr>
        <w:t xml:space="preserve">Date:  </w:t>
      </w:r>
      <w:r>
        <w:rPr>
          <w:rFonts w:ascii="Times New Roman" w:hAnsi="Times New Roman"/>
          <w:sz w:val="24"/>
        </w:rPr>
        <w:t>June 2026</w:t>
      </w:r>
    </w:p>
    <w:p/>
    <w:p>
      <w:pPr>
        <w:jc w:val="center"/>
      </w:pPr>
      <w:r>
        <w:rPr>
          <w:rFonts w:ascii="Times New Roman" w:hAnsi="Times New Roman"/>
          <w:b/>
          <w:sz w:val="24"/>
        </w:rPr>
        <w:t>Student Contributions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b/>
                <w:sz w:val="24"/>
              </w:rPr>
              <w:t>Student</w:t>
            </w:r>
          </w:p>
        </w:tc>
        <w:tc>
          <w:tcPr>
            <w:tcW w:type="dxa" w:w="3135"/>
          </w:tcPr>
          <w:p>
            <w:pPr>
              <w:jc w:val="center"/>
            </w:pPr>
            <w:r>
              <w:rPr>
                <w:rFonts w:ascii="Times New Roman" w:hAnsi="Times New Roman"/>
                <w:b/>
                <w:sz w:val="24"/>
              </w:rPr>
              <w:t>Role</w:t>
            </w:r>
          </w:p>
        </w:tc>
        <w:tc>
          <w:tcPr>
            <w:tcW w:type="dxa" w:w="3135"/>
          </w:tcPr>
          <w:p>
            <w:pPr>
              <w:jc w:val="center"/>
            </w:pPr>
            <w:r>
              <w:rPr>
                <w:rFonts w:ascii="Times New Roman" w:hAnsi="Times New Roman"/>
                <w:b/>
                <w:sz w:val="24"/>
              </w:rPr>
              <w:t>Contribution</w:t>
            </w:r>
          </w:p>
        </w:tc>
      </w:tr>
      <w:tr>
        <w:tc>
          <w:tcPr>
            <w:tcW w:type="dxa" w:w="3135"/>
          </w:tcPr>
          <w:p>
            <w:r>
              <w:rPr>
                <w:rFonts w:ascii="Times New Roman" w:hAnsi="Times New Roman"/>
                <w:sz w:val="24"/>
              </w:rPr>
              <w:t>Alexander Bruce</w:t>
            </w:r>
          </w:p>
        </w:tc>
        <w:tc>
          <w:tcPr>
            <w:tcW w:type="dxa" w:w="3135"/>
          </w:tcPr>
          <w:p>
            <w:r>
              <w:rPr>
                <w:rFonts w:ascii="Times New Roman" w:hAnsi="Times New Roman"/>
                <w:sz w:val="24"/>
              </w:rPr>
              <w:t>Sole author</w:t>
            </w:r>
          </w:p>
        </w:tc>
        <w:tc>
          <w:tcPr>
            <w:tcW w:type="dxa" w:w="3135"/>
          </w:tcPr>
          <w:p>
            <w:r>
              <w:rPr>
                <w:rFonts w:ascii="Times New Roman" w:hAnsi="Times New Roman"/>
                <w:sz w:val="24"/>
              </w:rPr>
              <w:t>Literature review; simulation framework; Monte Carlo execution; analysis; report</w:t>
            </w:r>
          </w:p>
        </w:tc>
      </w:tr>
    </w:tbl>
    <w:p/>
    <w:p>
      <w:r>
        <w:br w:type="page"/>
      </w:r>
    </w:p>
    <w:p>
      <w:pPr>
        <w:pStyle w:val="Heading1"/>
        <w:spacing w:before="200" w:after="80"/>
      </w:pPr>
      <w:r>
        <w:rPr>
          <w:rFonts w:ascii="Times New Roman" w:hAnsi="Times New Roman"/>
          <w:b/>
          <w:color w:val="000000"/>
          <w:sz w:val="24"/>
        </w:rPr>
        <w:t>Abstract</w:t>
      </w:r>
    </w:p>
    <w:p>
      <w:pPr>
        <w:spacing w:after="120"/>
      </w:pPr>
      <w:r>
        <w:rPr>
          <w:rFonts w:ascii="Times New Roman" w:hAnsi="Times New Roman"/>
          <w:sz w:val="24"/>
        </w:rPr>
        <w:t>This report presents the Lane Keep Assist (LKA) sub-system of a group Advanced Driver Assistance Systems (ADAS) project. Current camera-based LKA degrades under poor lane markings and adverse weather [6] — conditions associated with the highest crash risk. A Vehicle-to-Infrastructure (V2I) alternative using Chip Enabled Raised Pavement Markers (CERPMs) has been shown to outperform commercial vision systems [1][2], but prior work used only cubic spline interpolation and assumed complete marker availability. This project fills that gap: seven interpolation algorithms were evaluated via Monte Carlo simulation (n = 2,000 runs per condition) under random dropout (1–20%) and clustered contiguous dropout (cluster sizes 2–20) at six CERPM spacings (0.5–12.0 m), where 12 m reflects the real-world deployment interval used in the foundational literature [2]. Quintic and quartic B-splines with arc-length parameterisation consistently achieved the lowest error and failure rates. At the literature deployment spacing of 12 m, all methods reach 100% failure under clustered dropout, demonstrating that finer spacing is necessary for robust real-world deployment.</w:t>
      </w:r>
    </w:p>
    <w:p>
      <w:r>
        <w:br w:type="page"/>
      </w:r>
    </w:p>
    <w:p>
      <w:pPr>
        <w:pStyle w:val="Heading1"/>
        <w:spacing w:before="200" w:after="80"/>
      </w:pPr>
      <w:r>
        <w:rPr>
          <w:rFonts w:ascii="Times New Roman" w:hAnsi="Times New Roman"/>
          <w:b/>
          <w:color w:val="000000"/>
          <w:sz w:val="24"/>
        </w:rPr>
        <w:t>1. Introduction</w:t>
      </w:r>
    </w:p>
    <w:p>
      <w:pPr>
        <w:spacing w:after="120"/>
      </w:pPr>
      <w:r>
        <w:rPr>
          <w:rFonts w:ascii="Times New Roman" w:hAnsi="Times New Roman"/>
          <w:sz w:val="24"/>
        </w:rPr>
        <w:t>Lane departure is a leading cause of road fatalities. In Australia, 62% of all road deaths nationally are attributable to lane departure events — rising to 73% in regional and 71% in remote areas [3]. The NHTSA estimates LKA-equipped vehicles are 24% less likely to be involved in fatal road departure crashes [4], and the EU has mandated LKA on all new vehicles sold after July 2024 [5]. LKA applies corrective steering when a vehicle drifts toward a lane boundary without signalling, and forms the foundation of higher-level ADAS functionality.</w:t>
      </w:r>
    </w:p>
    <w:p>
      <w:pPr>
        <w:spacing w:after="120"/>
      </w:pPr>
      <w:r>
        <w:rPr>
          <w:rFonts w:ascii="Times New Roman" w:hAnsi="Times New Roman"/>
          <w:sz w:val="24"/>
        </w:rPr>
        <w:t>Current LKA systems use front-facing cameras, but field benchmarking via the OpenLKA dataset [6] confirmed substantial degradation under poor lane markings and adverse weather — precisely the conditions most associated with fatal crashes on regional roads. Sharma et al. [1] and Kadav et al. [2] demonstrated that CERPMs — GPS-transmitting road studs — outperform the Mobileye 630 vision system across all tested conditions, with an effective sensing range of 350 m versus 31 m for the camera. Their experiments physically deployed CERPMs at 40-foot (~12 m) intervals. However, both studies applied cubic spline interpolation without evaluating alternatives and did not investigate the impact of missing markers on reconstruction accuracy.</w:t>
      </w:r>
    </w:p>
    <w:p>
      <w:pPr>
        <w:spacing w:after="120"/>
      </w:pPr>
      <w:r>
        <w:rPr>
          <w:rFonts w:ascii="Times New Roman" w:hAnsi="Times New Roman"/>
          <w:sz w:val="24"/>
        </w:rPr>
        <w:t>This project addresses that gap. Three research questions are investigated: (RQ1) Which algorithm provides the most accurate centreline reconstruction under CERPM dropout? (RQ2) At what spacing and dropout severity does reconstruction error exceed the 0.2 m safety threshold? (RQ3) Is clustered dropout more damaging than random dropout at equivalent effective loss rates?</w:t>
      </w:r>
    </w:p>
    <w:p>
      <w:pPr>
        <w:pStyle w:val="Heading1"/>
        <w:spacing w:before="200" w:after="80"/>
      </w:pPr>
      <w:r>
        <w:rPr>
          <w:rFonts w:ascii="Times New Roman" w:hAnsi="Times New Roman"/>
          <w:b/>
          <w:color w:val="000000"/>
          <w:sz w:val="24"/>
        </w:rPr>
        <w:t>2. Literature Review</w:t>
      </w:r>
    </w:p>
    <w:p>
      <w:pPr>
        <w:spacing w:after="120"/>
      </w:pPr>
      <w:r>
        <w:rPr>
          <w:rFonts w:ascii="Times New Roman" w:hAnsi="Times New Roman"/>
          <w:sz w:val="24"/>
        </w:rPr>
        <w:t>LKA technology has advanced from simple threshold-based detection to deep learning lane detection combined with Kalman filtering. Fakhari and Anwar [7][8] proposed a Multiple Model Adaptive Estimation (MMAE) approach fusing front and rear cameras with a Kalman filter, improving detection under night and adverse weather conditions. Perozzi et al. [9] demonstrated a shared sliding-mode controller for steer-by-wire LKA that smoothly transitions authority between driver and automated system. Wei et al. [10] reviewed LKA assessment methodologies and identified standardisation gaps across performance, safety, and driver interaction dimensions.</w:t>
      </w:r>
    </w:p>
    <w:p>
      <w:pPr>
        <w:spacing w:after="120"/>
      </w:pPr>
      <w:r>
        <w:rPr>
          <w:rFonts w:ascii="Times New Roman" w:hAnsi="Times New Roman"/>
          <w:sz w:val="24"/>
        </w:rPr>
        <w:t>On the infrastructure sensing side, Sharma et al. [1] introduced CERPMs as an energy-efficient IIS achieving at least 90% energy savings over commercial camera solutions. Kadav et al. [2] extended this to lane centering and lane change, deploying CERPMs at 40 ft (~12 m) spacing. Where the Mobileye failed to detect lane markings for 93.3% of a sharp-curve route, the CERPM system maintained reconstruction throughout. Critically, both studies used cubic spline interpolation — the method originally proposed for road centreline fitting by Burden and Faires [11] — without exploring alternatives or simulating marker failures.</w:t>
      </w:r>
    </w:p>
    <w:p>
      <w:pPr>
        <w:spacing w:after="120"/>
      </w:pPr>
      <w:r>
        <w:rPr>
          <w:rFonts w:ascii="Times New Roman" w:hAnsi="Times New Roman"/>
          <w:sz w:val="24"/>
        </w:rPr>
        <w:t>Higher-order B-splines (de Boor [12]), PCHIP (Fritsch and Carlson [13]), and Akima splines [14] each address different limitations of cubic spline in sparse data scenarios. Arc-length parameterisation (Hartley and Zisserman [15]) is essential for all these methods when marker spacing becomes irregular after dropout. No prior work has applied these alternatives to the CERPM lane reconstruction problem, nor characterised accuracy under marker failure — establishing the clear need for this research.</w:t>
      </w:r>
    </w:p>
    <w:p>
      <w:pPr>
        <w:pStyle w:val="Heading1"/>
        <w:spacing w:before="200" w:after="80"/>
      </w:pPr>
      <w:r>
        <w:rPr>
          <w:rFonts w:ascii="Times New Roman" w:hAnsi="Times New Roman"/>
          <w:b/>
          <w:color w:val="000000"/>
          <w:sz w:val="24"/>
        </w:rPr>
        <w:t>3. Methodology</w:t>
      </w:r>
    </w:p>
    <w:p>
      <w:pPr>
        <w:spacing w:after="120"/>
      </w:pPr>
      <w:r>
        <w:rPr>
          <w:rFonts w:ascii="Times New Roman" w:hAnsi="Times New Roman"/>
          <w:sz w:val="24"/>
        </w:rPr>
        <w:t xml:space="preserve">A Python simulation framework was developed across four modules: </w:t>
      </w:r>
      <w:r>
        <w:rPr>
          <w:rFonts w:ascii="Times New Roman" w:hAnsi="Times New Roman"/>
          <w:b/>
          <w:sz w:val="24"/>
        </w:rPr>
        <w:t>test.py</w:t>
      </w:r>
      <w:r>
        <w:rPr>
          <w:rFonts w:ascii="Times New Roman" w:hAnsi="Times New Roman"/>
          <w:sz w:val="24"/>
        </w:rPr>
        <w:t xml:space="preserve"> (Lanelet2 OSM parser, CERPM placement, ground-truth centreline computation); </w:t>
      </w:r>
      <w:r>
        <w:rPr>
          <w:rFonts w:ascii="Times New Roman" w:hAnsi="Times New Roman"/>
          <w:b/>
          <w:sz w:val="24"/>
        </w:rPr>
        <w:t>Interpolations.py</w:t>
      </w:r>
      <w:r>
        <w:rPr>
          <w:rFonts w:ascii="Times New Roman" w:hAnsi="Times New Roman"/>
          <w:sz w:val="24"/>
        </w:rPr>
        <w:t xml:space="preserve"> (seven interpolation methods with arc-length parameterisation); </w:t>
      </w:r>
      <w:r>
        <w:rPr>
          <w:rFonts w:ascii="Times New Roman" w:hAnsi="Times New Roman"/>
          <w:b/>
          <w:sz w:val="24"/>
        </w:rPr>
        <w:t>Simulation.py</w:t>
      </w:r>
      <w:r>
        <w:rPr>
          <w:rFonts w:ascii="Times New Roman" w:hAnsi="Times New Roman"/>
          <w:sz w:val="24"/>
        </w:rPr>
        <w:t xml:space="preserve"> (parallelised Monte Carlo engine with random and clustered dropout); and </w:t>
      </w:r>
      <w:r>
        <w:rPr>
          <w:rFonts w:ascii="Times New Roman" w:hAnsi="Times New Roman"/>
          <w:b/>
          <w:sz w:val="24"/>
        </w:rPr>
        <w:t>xmlParse.py</w:t>
      </w:r>
      <w:r>
        <w:rPr>
          <w:rFonts w:ascii="Times New Roman" w:hAnsi="Times New Roman"/>
          <w:sz w:val="24"/>
        </w:rPr>
        <w:t xml:space="preserve"> (full parameter sweep, statistical aggregation, and visualisation).</w:t>
      </w:r>
    </w:p>
    <w:p>
      <w:pPr>
        <w:spacing w:after="120"/>
      </w:pPr>
      <w:r>
        <w:rPr>
          <w:rFonts w:ascii="Times New Roman" w:hAnsi="Times New Roman"/>
          <w:sz w:val="24"/>
        </w:rPr>
        <w:t>Road geometry was sourced from the Town07 Lanelet2 map — a standardised autonomous driving environment with varied curve types. The ground-truth centreline was computed by resampling both boundary linestrings to 500 arc-length fractions and averaging paired points. CERPM positions were simulated at six uniform spacings: 0.5, 1, 2, 4, 6, and 12 m, where 12 m corresponds to the ~40 ft deployment in Kadav et al. [2].</w:t>
      </w:r>
    </w:p>
    <w:p>
      <w:pPr>
        <w:spacing w:after="120"/>
      </w:pPr>
      <w:r>
        <w:rPr>
          <w:rFonts w:ascii="Times New Roman" w:hAnsi="Times New Roman"/>
          <w:sz w:val="24"/>
        </w:rPr>
        <w:t xml:space="preserve">Two dropout models were applied. </w:t>
      </w:r>
      <w:r>
        <w:rPr>
          <w:rFonts w:ascii="Times New Roman" w:hAnsi="Times New Roman"/>
          <w:b/>
          <w:sz w:val="24"/>
        </w:rPr>
        <w:t>Random dropout</w:t>
      </w:r>
      <w:r>
        <w:rPr>
          <w:rFonts w:ascii="Times New Roman" w:hAnsi="Times New Roman"/>
          <w:sz w:val="24"/>
        </w:rPr>
        <w:t xml:space="preserve"> removed each marker independently at rates of 1%, 5%, 10%, 15%, and 20%, modelling uncorrelated faults. </w:t>
      </w:r>
      <w:r>
        <w:rPr>
          <w:rFonts w:ascii="Times New Roman" w:hAnsi="Times New Roman"/>
          <w:b/>
          <w:sz w:val="24"/>
        </w:rPr>
        <w:t>Clustered dropout</w:t>
      </w:r>
      <w:r>
        <w:rPr>
          <w:rFonts w:ascii="Times New Roman" w:hAnsi="Times New Roman"/>
          <w:sz w:val="24"/>
        </w:rPr>
        <w:t xml:space="preserve"> removed a single contiguous run of 2, 5, 10, 15, or 20 markers from one boundary per trial, modelling localised failure (flooding, surface damage). Seven interpolation algorithms were tested:</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b/>
                <w:sz w:val="24"/>
              </w:rPr>
              <w:t>Method</w:t>
            </w:r>
          </w:p>
        </w:tc>
        <w:tc>
          <w:tcPr>
            <w:tcW w:type="dxa" w:w="3135"/>
          </w:tcPr>
          <w:p>
            <w:pPr>
              <w:jc w:val="center"/>
            </w:pPr>
            <w:r>
              <w:rPr>
                <w:rFonts w:ascii="Times New Roman" w:hAnsi="Times New Roman"/>
                <w:b/>
                <w:sz w:val="24"/>
              </w:rPr>
              <w:t>Continuity</w:t>
            </w:r>
          </w:p>
        </w:tc>
        <w:tc>
          <w:tcPr>
            <w:tcW w:type="dxa" w:w="3135"/>
          </w:tcPr>
          <w:p>
            <w:pPr>
              <w:jc w:val="center"/>
            </w:pPr>
            <w:r>
              <w:rPr>
                <w:rFonts w:ascii="Times New Roman" w:hAnsi="Times New Roman"/>
                <w:b/>
                <w:sz w:val="24"/>
              </w:rPr>
              <w:t>Key property</w:t>
            </w:r>
          </w:p>
        </w:tc>
      </w:tr>
      <w:tr>
        <w:tc>
          <w:tcPr>
            <w:tcW w:type="dxa" w:w="3135"/>
          </w:tcPr>
          <w:p>
            <w:r>
              <w:rPr>
                <w:rFonts w:ascii="Times New Roman" w:hAnsi="Times New Roman"/>
                <w:sz w:val="24"/>
              </w:rPr>
              <w:t>Linear</w:t>
            </w:r>
          </w:p>
        </w:tc>
        <w:tc>
          <w:tcPr>
            <w:tcW w:type="dxa" w:w="3135"/>
          </w:tcPr>
          <w:p>
            <w:r>
              <w:rPr>
                <w:rFonts w:ascii="Times New Roman" w:hAnsi="Times New Roman"/>
                <w:sz w:val="24"/>
              </w:rPr>
              <w:t>C⁰</w:t>
            </w:r>
          </w:p>
        </w:tc>
        <w:tc>
          <w:tcPr>
            <w:tcW w:type="dxa" w:w="3135"/>
          </w:tcPr>
          <w:p>
            <w:r>
              <w:rPr>
                <w:rFonts w:ascii="Times New Roman" w:hAnsi="Times New Roman"/>
                <w:sz w:val="24"/>
              </w:rPr>
              <w:t>Piecewise straight; baseline comparison</w:t>
            </w:r>
          </w:p>
        </w:tc>
      </w:tr>
      <w:tr>
        <w:tc>
          <w:tcPr>
            <w:tcW w:type="dxa" w:w="3135"/>
          </w:tcPr>
          <w:p>
            <w:r>
              <w:rPr>
                <w:rFonts w:ascii="Times New Roman" w:hAnsi="Times New Roman"/>
                <w:sz w:val="24"/>
              </w:rPr>
              <w:t>Quadratic spline</w:t>
            </w:r>
          </w:p>
        </w:tc>
        <w:tc>
          <w:tcPr>
            <w:tcW w:type="dxa" w:w="3135"/>
          </w:tcPr>
          <w:p>
            <w:r>
              <w:rPr>
                <w:rFonts w:ascii="Times New Roman" w:hAnsi="Times New Roman"/>
                <w:sz w:val="24"/>
              </w:rPr>
              <w:t>C¹</w:t>
            </w:r>
          </w:p>
        </w:tc>
        <w:tc>
          <w:tcPr>
            <w:tcW w:type="dxa" w:w="3135"/>
          </w:tcPr>
          <w:p>
            <w:r>
              <w:rPr>
                <w:rFonts w:ascii="Times New Roman" w:hAnsi="Times New Roman"/>
                <w:sz w:val="24"/>
              </w:rPr>
              <w:t>Smooth; low computational cost</w:t>
            </w:r>
          </w:p>
        </w:tc>
      </w:tr>
      <w:tr>
        <w:tc>
          <w:tcPr>
            <w:tcW w:type="dxa" w:w="3135"/>
          </w:tcPr>
          <w:p>
            <w:r>
              <w:rPr>
                <w:rFonts w:ascii="Times New Roman" w:hAnsi="Times New Roman"/>
                <w:sz w:val="24"/>
              </w:rPr>
              <w:t>Cubic spline</w:t>
            </w:r>
          </w:p>
        </w:tc>
        <w:tc>
          <w:tcPr>
            <w:tcW w:type="dxa" w:w="3135"/>
          </w:tcPr>
          <w:p>
            <w:r>
              <w:rPr>
                <w:rFonts w:ascii="Times New Roman" w:hAnsi="Times New Roman"/>
                <w:sz w:val="24"/>
              </w:rPr>
              <w:t>C²</w:t>
            </w:r>
          </w:p>
        </w:tc>
        <w:tc>
          <w:tcPr>
            <w:tcW w:type="dxa" w:w="3135"/>
          </w:tcPr>
          <w:p>
            <w:r>
              <w:rPr>
                <w:rFonts w:ascii="Times New Roman" w:hAnsi="Times New Roman"/>
                <w:sz w:val="24"/>
              </w:rPr>
              <w:t>Used in prior CERPM work [1][2]</w:t>
            </w:r>
          </w:p>
        </w:tc>
      </w:tr>
      <w:tr>
        <w:tc>
          <w:tcPr>
            <w:tcW w:type="dxa" w:w="3135"/>
          </w:tcPr>
          <w:p>
            <w:r>
              <w:rPr>
                <w:rFonts w:ascii="Times New Roman" w:hAnsi="Times New Roman"/>
                <w:sz w:val="24"/>
              </w:rPr>
              <w:t>Quartic spline</w:t>
            </w:r>
          </w:p>
        </w:tc>
        <w:tc>
          <w:tcPr>
            <w:tcW w:type="dxa" w:w="3135"/>
          </w:tcPr>
          <w:p>
            <w:r>
              <w:rPr>
                <w:rFonts w:ascii="Times New Roman" w:hAnsi="Times New Roman"/>
                <w:sz w:val="24"/>
              </w:rPr>
              <w:t>C³</w:t>
            </w:r>
          </w:p>
        </w:tc>
        <w:tc>
          <w:tcPr>
            <w:tcW w:type="dxa" w:w="3135"/>
          </w:tcPr>
          <w:p>
            <w:r>
              <w:rPr>
                <w:rFonts w:ascii="Times New Roman" w:hAnsi="Times New Roman"/>
                <w:sz w:val="24"/>
              </w:rPr>
              <w:t>Higher-order curvature flexibility</w:t>
            </w:r>
          </w:p>
        </w:tc>
      </w:tr>
      <w:tr>
        <w:tc>
          <w:tcPr>
            <w:tcW w:type="dxa" w:w="3135"/>
          </w:tcPr>
          <w:p>
            <w:r>
              <w:rPr>
                <w:rFonts w:ascii="Times New Roman" w:hAnsi="Times New Roman"/>
                <w:sz w:val="24"/>
              </w:rPr>
              <w:t>Quintic spline</w:t>
            </w:r>
          </w:p>
        </w:tc>
        <w:tc>
          <w:tcPr>
            <w:tcW w:type="dxa" w:w="3135"/>
          </w:tcPr>
          <w:p>
            <w:r>
              <w:rPr>
                <w:rFonts w:ascii="Times New Roman" w:hAnsi="Times New Roman"/>
                <w:sz w:val="24"/>
              </w:rPr>
              <w:t>C⁴</w:t>
            </w:r>
          </w:p>
        </w:tc>
        <w:tc>
          <w:tcPr>
            <w:tcW w:type="dxa" w:w="3135"/>
          </w:tcPr>
          <w:p>
            <w:r>
              <w:rPr>
                <w:rFonts w:ascii="Times New Roman" w:hAnsi="Times New Roman"/>
                <w:sz w:val="24"/>
              </w:rPr>
              <w:t>Highest order tested; very smooth</w:t>
            </w:r>
          </w:p>
        </w:tc>
      </w:tr>
      <w:tr>
        <w:tc>
          <w:tcPr>
            <w:tcW w:type="dxa" w:w="3135"/>
          </w:tcPr>
          <w:p>
            <w:r>
              <w:rPr>
                <w:rFonts w:ascii="Times New Roman" w:hAnsi="Times New Roman"/>
                <w:sz w:val="24"/>
              </w:rPr>
              <w:t>PCHIP</w:t>
            </w:r>
          </w:p>
        </w:tc>
        <w:tc>
          <w:tcPr>
            <w:tcW w:type="dxa" w:w="3135"/>
          </w:tcPr>
          <w:p>
            <w:r>
              <w:rPr>
                <w:rFonts w:ascii="Times New Roman" w:hAnsi="Times New Roman"/>
                <w:sz w:val="24"/>
              </w:rPr>
              <w:t>C¹</w:t>
            </w:r>
          </w:p>
        </w:tc>
        <w:tc>
          <w:tcPr>
            <w:tcW w:type="dxa" w:w="3135"/>
          </w:tcPr>
          <w:p>
            <w:r>
              <w:rPr>
                <w:rFonts w:ascii="Times New Roman" w:hAnsi="Times New Roman"/>
                <w:sz w:val="24"/>
              </w:rPr>
              <w:t>Monotone; no overshoot between knots</w:t>
            </w:r>
          </w:p>
        </w:tc>
      </w:tr>
      <w:tr>
        <w:tc>
          <w:tcPr>
            <w:tcW w:type="dxa" w:w="3135"/>
          </w:tcPr>
          <w:p>
            <w:r>
              <w:rPr>
                <w:rFonts w:ascii="Times New Roman" w:hAnsi="Times New Roman"/>
                <w:sz w:val="24"/>
              </w:rPr>
              <w:t>Akima</w:t>
            </w:r>
          </w:p>
        </w:tc>
        <w:tc>
          <w:tcPr>
            <w:tcW w:type="dxa" w:w="3135"/>
          </w:tcPr>
          <w:p>
            <w:r>
              <w:rPr>
                <w:rFonts w:ascii="Times New Roman" w:hAnsi="Times New Roman"/>
                <w:sz w:val="24"/>
              </w:rPr>
              <w:t>C¹</w:t>
            </w:r>
          </w:p>
        </w:tc>
        <w:tc>
          <w:tcPr>
            <w:tcW w:type="dxa" w:w="3135"/>
          </w:tcPr>
          <w:p>
            <w:r>
              <w:rPr>
                <w:rFonts w:ascii="Times New Roman" w:hAnsi="Times New Roman"/>
                <w:sz w:val="24"/>
              </w:rPr>
              <w:t>Locally weighted; limits gap propagation</w:t>
            </w:r>
          </w:p>
        </w:tc>
      </w:tr>
    </w:tbl>
    <w:p/>
    <w:p>
      <w:pPr>
        <w:spacing w:after="120"/>
      </w:pPr>
      <w:r>
        <w:rPr>
          <w:rFonts w:ascii="Times New Roman" w:hAnsi="Times New Roman"/>
          <w:sz w:val="24"/>
        </w:rPr>
        <w:t>All methods use arc-length parameterisation. Methods requiring ≥ 3 points (cubic spline, Akima) fall back to linear when fewer points survive dropout. For each of the 420 parameter combinations, 2,000 independent seeded Monte Carlo trials were executed in parallel using ProcessPoolExecutor. Per trial, perpendicular distance from the reconstructed centreline to the ground truth was measured via Shapely geometry, yielding mean error and max error. Statistics reported are: IQR (P75 − P25 of mean error) as the primary robustness metric, and failure rate (proportion of trials where max error &gt; 0.2 m) as the safety-relevant threshold, aligned to ISO 21448 and SAE J3016 positioning accuracy requirements.</w:t>
      </w:r>
    </w:p>
    <w:p>
      <w:pPr>
        <w:pStyle w:val="Heading1"/>
        <w:spacing w:before="200" w:after="80"/>
      </w:pPr>
      <w:r>
        <w:rPr>
          <w:rFonts w:ascii="Times New Roman" w:hAnsi="Times New Roman"/>
          <w:b/>
          <w:color w:val="000000"/>
          <w:sz w:val="24"/>
        </w:rPr>
        <w:t>4. Results and Analysis</w:t>
      </w:r>
    </w:p>
    <w:p>
      <w:pPr>
        <w:pStyle w:val="Heading2"/>
        <w:spacing w:before="200" w:after="80"/>
      </w:pPr>
      <w:r>
        <w:rPr>
          <w:rFonts w:ascii="Times New Roman" w:hAnsi="Times New Roman"/>
          <w:b/>
          <w:color w:val="000000"/>
          <w:sz w:val="24"/>
        </w:rPr>
        <w:t>4.1. Random Dropout</w:t>
      </w:r>
    </w:p>
    <w:p>
      <w:pPr>
        <w:spacing w:after="120"/>
      </w:pPr>
      <w:r>
        <w:rPr>
          <w:rFonts w:ascii="Times New Roman" w:hAnsi="Times New Roman"/>
          <w:sz w:val="24"/>
        </w:rPr>
        <w:t>Under random dropout, higher-order polynomial B-splines (quadratic through quintic) maintain near-zero IQR at spacings up to 4 m across all dropout rates. Linear interpolation diverges markedly beyond 2 m spacing: at 4 m and 20% dropout, linear reaches failure rates of 100%, while quadratic through quintic remain below 65% and cubic spline below 76%. At 6 m spacing the polynomial splines show failure rates of 54–82% at 20% dropout, while linear reaches 100% even at 1% dropout.</w:t>
      </w:r>
    </w:p>
    <w:p>
      <w:pPr>
        <w:spacing w:after="120"/>
      </w:pPr>
      <w:r>
        <w:rPr>
          <w:rFonts w:ascii="Times New Roman" w:hAnsi="Times New Roman"/>
          <w:sz w:val="24"/>
        </w:rPr>
        <w:t xml:space="preserve">At the literature deployment spacing of </w:t>
      </w:r>
      <w:r>
        <w:rPr>
          <w:rFonts w:ascii="Times New Roman" w:hAnsi="Times New Roman"/>
          <w:b/>
          <w:sz w:val="24"/>
        </w:rPr>
        <w:t>12 m</w:t>
      </w:r>
      <w:r>
        <w:rPr>
          <w:rFonts w:ascii="Times New Roman" w:hAnsi="Times New Roman"/>
          <w:sz w:val="24"/>
        </w:rPr>
        <w:t>, all methods fail at rates of 100% under random dropout of 9% or above. Even at 1% random dropout and 12 m spacing, linear interpolation fails at 100%. Quadratic through quintic reach 100% failure by 5% random dropout at 12 m. This confirms that 12 m spacing is fundamentally insufficient for any algorithm under realistic random dropout rates, directly challenging the viability of the deployment interval used in the foundational literature [2].</w:t>
      </w:r>
    </w:p>
    <w:p>
      <w:pPr>
        <w:pStyle w:val="Heading2"/>
        <w:spacing w:before="200" w:after="80"/>
      </w:pPr>
      <w:r>
        <w:rPr>
          <w:rFonts w:ascii="Times New Roman" w:hAnsi="Times New Roman"/>
          <w:b/>
          <w:color w:val="000000"/>
          <w:sz w:val="24"/>
        </w:rPr>
        <w:t>4.2. Clustered Dropout</w:t>
      </w:r>
    </w:p>
    <w:p>
      <w:pPr>
        <w:spacing w:after="120"/>
      </w:pPr>
      <w:r>
        <w:rPr>
          <w:rFonts w:ascii="Times New Roman" w:hAnsi="Times New Roman"/>
          <w:sz w:val="24"/>
        </w:rPr>
        <w:t>Clustered dropout produces more severe degradation. The IQR band plots (exhaustive enumeration) show linear interpolation reaching median IQR values exceeding 8 m at cluster size 20 and 12 m spacing — far larger than a lane width. Even quintic and quartic B-splines show IQR values of several metres at these extreme conditions, though their advantage over linear remains clear at moderate conditions.</w:t>
      </w:r>
    </w:p>
    <w:p>
      <w:pPr>
        <w:spacing w:after="120"/>
      </w:pPr>
      <w:r>
        <w:rPr>
          <w:rFonts w:ascii="Times New Roman" w:hAnsi="Times New Roman"/>
          <w:sz w:val="24"/>
        </w:rPr>
        <w:t xml:space="preserve">The clustered failure rate heatmap reveals the critical finding: at 12 m spacing, </w:t>
      </w:r>
      <w:r>
        <w:rPr>
          <w:rFonts w:ascii="Times New Roman" w:hAnsi="Times New Roman"/>
          <w:b/>
          <w:sz w:val="24"/>
        </w:rPr>
        <w:t>all methods reach 100% failure for every tested cluster size.</w:t>
      </w:r>
      <w:r>
        <w:rPr>
          <w:rFonts w:ascii="Times New Roman" w:hAnsi="Times New Roman"/>
          <w:sz w:val="24"/>
        </w:rPr>
        <w:t xml:space="preserve"> At 6 m spacing, linear interpolation reaches 100% failure at cluster size 2, while quartic and quintic reach 29% failure at cluster size 2, rising to 100% at cluster size 10. At 4 m spacing, polynomial splines maintain below 10% failure for cluster sizes of 2, but exceed 80% at cluster size 10. PCHIP consistently underperforms the polynomial methods at larger cluster sizes — at cluster size 20, 6 m spacing, PCHIP reaches 100% failure while cubic spline reaches 66% and quartic/quintic reach 70–76%.</w:t>
      </w:r>
    </w:p>
    <w:p>
      <w:pPr>
        <w:spacing w:after="120"/>
      </w:pPr>
      <w:r>
        <w:rPr>
          <w:rFonts w:ascii="Times New Roman" w:hAnsi="Times New Roman"/>
          <w:sz w:val="24"/>
        </w:rPr>
        <w:t>At moderate conditions (cluster size ≤ 5, spacing ≤ 2 m), quartic and quintic B-splines maintain below 4% failure, compared to 53% for linear at the same conditions. This confirms the practical operating envelope: CERPM-based LKA with polynomial spline reconstruction is robust only at spacings of 2 m or finer with small cluster sizes.</w:t>
      </w:r>
    </w:p>
    <w:p>
      <w:pPr>
        <w:pStyle w:val="Heading2"/>
        <w:spacing w:before="200" w:after="80"/>
      </w:pPr>
      <w:r>
        <w:rPr>
          <w:rFonts w:ascii="Times New Roman" w:hAnsi="Times New Roman"/>
          <w:b/>
          <w:color w:val="000000"/>
          <w:sz w:val="24"/>
        </w:rPr>
        <w:t>4.3. Method Rankings and Key Findings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rFonts w:ascii="Times New Roman" w:hAnsi="Times New Roman"/>
                <w:b/>
                <w:sz w:val="24"/>
              </w:rPr>
              <w:t>Rank</w:t>
            </w:r>
          </w:p>
        </w:tc>
        <w:tc>
          <w:tcPr>
            <w:tcW w:type="dxa" w:w="1881"/>
          </w:tcPr>
          <w:p>
            <w:pPr>
              <w:jc w:val="center"/>
            </w:pPr>
            <w:r>
              <w:rPr>
                <w:rFonts w:ascii="Times New Roman" w:hAnsi="Times New Roman"/>
                <w:b/>
                <w:sz w:val="24"/>
              </w:rPr>
              <w:t>Method</w:t>
            </w:r>
          </w:p>
        </w:tc>
        <w:tc>
          <w:tcPr>
            <w:tcW w:type="dxa" w:w="1881"/>
          </w:tcPr>
          <w:p>
            <w:pPr>
              <w:jc w:val="center"/>
            </w:pPr>
            <w:r>
              <w:rPr>
                <w:rFonts w:ascii="Times New Roman" w:hAnsi="Times New Roman"/>
                <w:b/>
                <w:sz w:val="24"/>
              </w:rPr>
              <w:t>Clustered (cs=5, 4m)</w:t>
            </w:r>
          </w:p>
        </w:tc>
        <w:tc>
          <w:tcPr>
            <w:tcW w:type="dxa" w:w="1881"/>
          </w:tcPr>
          <w:p>
            <w:pPr>
              <w:jc w:val="center"/>
            </w:pPr>
            <w:r>
              <w:rPr>
                <w:rFonts w:ascii="Times New Roman" w:hAnsi="Times New Roman"/>
                <w:b/>
                <w:sz w:val="24"/>
              </w:rPr>
              <w:t>Random (20%, 4m)</w:t>
            </w:r>
          </w:p>
        </w:tc>
        <w:tc>
          <w:tcPr>
            <w:tcW w:type="dxa" w:w="1881"/>
          </w:tcPr>
          <w:p>
            <w:pPr>
              <w:jc w:val="center"/>
            </w:pPr>
            <w:r>
              <w:rPr>
                <w:rFonts w:ascii="Times New Roman" w:hAnsi="Times New Roman"/>
                <w:b/>
                <w:sz w:val="24"/>
              </w:rPr>
              <w:t>Notes</w:t>
            </w:r>
          </w:p>
        </w:tc>
      </w:tr>
      <w:tr>
        <w:tc>
          <w:tcPr>
            <w:tcW w:type="dxa" w:w="1881"/>
          </w:tcPr>
          <w:p>
            <w:r>
              <w:rPr>
                <w:rFonts w:ascii="Times New Roman" w:hAnsi="Times New Roman"/>
                <w:sz w:val="24"/>
              </w:rPr>
              <w:t>1</w:t>
            </w:r>
          </w:p>
        </w:tc>
        <w:tc>
          <w:tcPr>
            <w:tcW w:type="dxa" w:w="1881"/>
          </w:tcPr>
          <w:p>
            <w:r>
              <w:rPr>
                <w:rFonts w:ascii="Times New Roman" w:hAnsi="Times New Roman"/>
                <w:sz w:val="24"/>
              </w:rPr>
              <w:t>Quintic B-spline</w:t>
            </w:r>
          </w:p>
        </w:tc>
        <w:tc>
          <w:tcPr>
            <w:tcW w:type="dxa" w:w="1881"/>
          </w:tcPr>
          <w:p>
            <w:r>
              <w:rPr>
                <w:rFonts w:ascii="Times New Roman" w:hAnsi="Times New Roman"/>
                <w:sz w:val="24"/>
              </w:rPr>
              <w:t>36%</w:t>
            </w:r>
          </w:p>
        </w:tc>
        <w:tc>
          <w:tcPr>
            <w:tcW w:type="dxa" w:w="1881"/>
          </w:tcPr>
          <w:p>
            <w:r>
              <w:rPr>
                <w:rFonts w:ascii="Times New Roman" w:hAnsi="Times New Roman"/>
                <w:sz w:val="24"/>
              </w:rPr>
              <w:t>65%</w:t>
            </w:r>
          </w:p>
        </w:tc>
        <w:tc>
          <w:tcPr>
            <w:tcW w:type="dxa" w:w="1881"/>
          </w:tcPr>
          <w:p>
            <w:r>
              <w:rPr>
                <w:rFonts w:ascii="Times New Roman" w:hAnsi="Times New Roman"/>
                <w:sz w:val="24"/>
              </w:rPr>
              <w:t>Best or tied-best across all conditions</w:t>
            </w:r>
          </w:p>
        </w:tc>
      </w:tr>
      <w:tr>
        <w:tc>
          <w:tcPr>
            <w:tcW w:type="dxa" w:w="1881"/>
          </w:tcPr>
          <w:p>
            <w:r>
              <w:rPr>
                <w:rFonts w:ascii="Times New Roman" w:hAnsi="Times New Roman"/>
                <w:sz w:val="24"/>
              </w:rPr>
              <w:t>2</w:t>
            </w:r>
          </w:p>
        </w:tc>
        <w:tc>
          <w:tcPr>
            <w:tcW w:type="dxa" w:w="1881"/>
          </w:tcPr>
          <w:p>
            <w:r>
              <w:rPr>
                <w:rFonts w:ascii="Times New Roman" w:hAnsi="Times New Roman"/>
                <w:sz w:val="24"/>
              </w:rPr>
              <w:t>Quartic B-spline</w:t>
            </w:r>
          </w:p>
        </w:tc>
        <w:tc>
          <w:tcPr>
            <w:tcW w:type="dxa" w:w="1881"/>
          </w:tcPr>
          <w:p>
            <w:r>
              <w:rPr>
                <w:rFonts w:ascii="Times New Roman" w:hAnsi="Times New Roman"/>
                <w:sz w:val="24"/>
              </w:rPr>
              <w:t>35%</w:t>
            </w:r>
          </w:p>
        </w:tc>
        <w:tc>
          <w:tcPr>
            <w:tcW w:type="dxa" w:w="1881"/>
          </w:tcPr>
          <w:p>
            <w:r>
              <w:rPr>
                <w:rFonts w:ascii="Times New Roman" w:hAnsi="Times New Roman"/>
                <w:sz w:val="24"/>
              </w:rPr>
              <w:t>65%</w:t>
            </w:r>
          </w:p>
        </w:tc>
        <w:tc>
          <w:tcPr>
            <w:tcW w:type="dxa" w:w="1881"/>
          </w:tcPr>
          <w:p>
            <w:r>
              <w:rPr>
                <w:rFonts w:ascii="Times New Roman" w:hAnsi="Times New Roman"/>
                <w:sz w:val="24"/>
              </w:rPr>
              <w:t>Effectively equal to quintic</w:t>
            </w:r>
          </w:p>
        </w:tc>
      </w:tr>
      <w:tr>
        <w:tc>
          <w:tcPr>
            <w:tcW w:type="dxa" w:w="1881"/>
          </w:tcPr>
          <w:p>
            <w:r>
              <w:rPr>
                <w:rFonts w:ascii="Times New Roman" w:hAnsi="Times New Roman"/>
                <w:sz w:val="24"/>
              </w:rPr>
              <w:t>3</w:t>
            </w:r>
          </w:p>
        </w:tc>
        <w:tc>
          <w:tcPr>
            <w:tcW w:type="dxa" w:w="1881"/>
          </w:tcPr>
          <w:p>
            <w:r>
              <w:rPr>
                <w:rFonts w:ascii="Times New Roman" w:hAnsi="Times New Roman"/>
                <w:sz w:val="24"/>
              </w:rPr>
              <w:t>Cubic spline</w:t>
            </w:r>
          </w:p>
        </w:tc>
        <w:tc>
          <w:tcPr>
            <w:tcW w:type="dxa" w:w="1881"/>
          </w:tcPr>
          <w:p>
            <w:r>
              <w:rPr>
                <w:rFonts w:ascii="Times New Roman" w:hAnsi="Times New Roman"/>
                <w:sz w:val="24"/>
              </w:rPr>
              <w:t>39%</w:t>
            </w:r>
          </w:p>
        </w:tc>
        <w:tc>
          <w:tcPr>
            <w:tcW w:type="dxa" w:w="1881"/>
          </w:tcPr>
          <w:p>
            <w:r>
              <w:rPr>
                <w:rFonts w:ascii="Times New Roman" w:hAnsi="Times New Roman"/>
                <w:sz w:val="24"/>
              </w:rPr>
              <w:t>76%</w:t>
            </w:r>
          </w:p>
        </w:tc>
        <w:tc>
          <w:tcPr>
            <w:tcW w:type="dxa" w:w="1881"/>
          </w:tcPr>
          <w:p>
            <w:r>
              <w:rPr>
                <w:rFonts w:ascii="Times New Roman" w:hAnsi="Times New Roman"/>
                <w:sz w:val="24"/>
              </w:rPr>
              <w:t>Prior CERPM baseline; outperformed at large gaps</w:t>
            </w:r>
          </w:p>
        </w:tc>
      </w:tr>
      <w:tr>
        <w:tc>
          <w:tcPr>
            <w:tcW w:type="dxa" w:w="1881"/>
          </w:tcPr>
          <w:p>
            <w:r>
              <w:rPr>
                <w:rFonts w:ascii="Times New Roman" w:hAnsi="Times New Roman"/>
                <w:sz w:val="24"/>
              </w:rPr>
              <w:t>4</w:t>
            </w:r>
          </w:p>
        </w:tc>
        <w:tc>
          <w:tcPr>
            <w:tcW w:type="dxa" w:w="1881"/>
          </w:tcPr>
          <w:p>
            <w:r>
              <w:rPr>
                <w:rFonts w:ascii="Times New Roman" w:hAnsi="Times New Roman"/>
                <w:sz w:val="24"/>
              </w:rPr>
              <w:t>Quadratic spline</w:t>
            </w:r>
          </w:p>
        </w:tc>
        <w:tc>
          <w:tcPr>
            <w:tcW w:type="dxa" w:w="1881"/>
          </w:tcPr>
          <w:p>
            <w:r>
              <w:rPr>
                <w:rFonts w:ascii="Times New Roman" w:hAnsi="Times New Roman"/>
                <w:sz w:val="24"/>
              </w:rPr>
              <w:t>40%</w:t>
            </w:r>
          </w:p>
        </w:tc>
        <w:tc>
          <w:tcPr>
            <w:tcW w:type="dxa" w:w="1881"/>
          </w:tcPr>
          <w:p>
            <w:r>
              <w:rPr>
                <w:rFonts w:ascii="Times New Roman" w:hAnsi="Times New Roman"/>
                <w:sz w:val="24"/>
              </w:rPr>
              <w:t>71%</w:t>
            </w:r>
          </w:p>
        </w:tc>
        <w:tc>
          <w:tcPr>
            <w:tcW w:type="dxa" w:w="1881"/>
          </w:tcPr>
          <w:p>
            <w:r>
              <w:rPr>
                <w:rFonts w:ascii="Times New Roman" w:hAnsi="Times New Roman"/>
                <w:sz w:val="24"/>
              </w:rPr>
              <w:t>Robust; minimal gap vs cubic</w:t>
            </w:r>
          </w:p>
        </w:tc>
      </w:tr>
      <w:tr>
        <w:tc>
          <w:tcPr>
            <w:tcW w:type="dxa" w:w="1881"/>
          </w:tcPr>
          <w:p>
            <w:r>
              <w:rPr>
                <w:rFonts w:ascii="Times New Roman" w:hAnsi="Times New Roman"/>
                <w:sz w:val="24"/>
              </w:rPr>
              <w:t>5</w:t>
            </w:r>
          </w:p>
        </w:tc>
        <w:tc>
          <w:tcPr>
            <w:tcW w:type="dxa" w:w="1881"/>
          </w:tcPr>
          <w:p>
            <w:r>
              <w:rPr>
                <w:rFonts w:ascii="Times New Roman" w:hAnsi="Times New Roman"/>
                <w:sz w:val="24"/>
              </w:rPr>
              <w:t>Akima</w:t>
            </w:r>
          </w:p>
        </w:tc>
        <w:tc>
          <w:tcPr>
            <w:tcW w:type="dxa" w:w="1881"/>
          </w:tcPr>
          <w:p>
            <w:r>
              <w:rPr>
                <w:rFonts w:ascii="Times New Roman" w:hAnsi="Times New Roman"/>
                <w:sz w:val="24"/>
              </w:rPr>
              <w:t>50%</w:t>
            </w:r>
          </w:p>
        </w:tc>
        <w:tc>
          <w:tcPr>
            <w:tcW w:type="dxa" w:w="1881"/>
          </w:tcPr>
          <w:p>
            <w:r>
              <w:rPr>
                <w:rFonts w:ascii="Times New Roman" w:hAnsi="Times New Roman"/>
                <w:sz w:val="24"/>
              </w:rPr>
              <w:t>77%</w:t>
            </w:r>
          </w:p>
        </w:tc>
        <w:tc>
          <w:tcPr>
            <w:tcW w:type="dxa" w:w="1881"/>
          </w:tcPr>
          <w:p>
            <w:r>
              <w:rPr>
                <w:rFonts w:ascii="Times New Roman" w:hAnsi="Times New Roman"/>
                <w:sz w:val="24"/>
              </w:rPr>
              <w:t>Moderate; falls back to linear below 3 points</w:t>
            </w:r>
          </w:p>
        </w:tc>
      </w:tr>
      <w:tr>
        <w:tc>
          <w:tcPr>
            <w:tcW w:type="dxa" w:w="1881"/>
          </w:tcPr>
          <w:p>
            <w:r>
              <w:rPr>
                <w:rFonts w:ascii="Times New Roman" w:hAnsi="Times New Roman"/>
                <w:sz w:val="24"/>
              </w:rPr>
              <w:t>6</w:t>
            </w:r>
          </w:p>
        </w:tc>
        <w:tc>
          <w:tcPr>
            <w:tcW w:type="dxa" w:w="1881"/>
          </w:tcPr>
          <w:p>
            <w:r>
              <w:rPr>
                <w:rFonts w:ascii="Times New Roman" w:hAnsi="Times New Roman"/>
                <w:sz w:val="24"/>
              </w:rPr>
              <w:t>PCHIP</w:t>
            </w:r>
          </w:p>
        </w:tc>
        <w:tc>
          <w:tcPr>
            <w:tcW w:type="dxa" w:w="1881"/>
          </w:tcPr>
          <w:p>
            <w:r>
              <w:rPr>
                <w:rFonts w:ascii="Times New Roman" w:hAnsi="Times New Roman"/>
                <w:sz w:val="24"/>
              </w:rPr>
              <w:t>60%</w:t>
            </w:r>
          </w:p>
        </w:tc>
        <w:tc>
          <w:tcPr>
            <w:tcW w:type="dxa" w:w="1881"/>
          </w:tcPr>
          <w:p>
            <w:r>
              <w:rPr>
                <w:rFonts w:ascii="Times New Roman" w:hAnsi="Times New Roman"/>
                <w:sz w:val="24"/>
              </w:rPr>
              <w:t>80%</w:t>
            </w:r>
          </w:p>
        </w:tc>
        <w:tc>
          <w:tcPr>
            <w:tcW w:type="dxa" w:w="1881"/>
          </w:tcPr>
          <w:p>
            <w:r>
              <w:rPr>
                <w:rFonts w:ascii="Times New Roman" w:hAnsi="Times New Roman"/>
                <w:sz w:val="24"/>
              </w:rPr>
              <w:t>Monotonicity constraint harmful for curved gaps</w:t>
            </w:r>
          </w:p>
        </w:tc>
      </w:tr>
      <w:tr>
        <w:tc>
          <w:tcPr>
            <w:tcW w:type="dxa" w:w="1881"/>
          </w:tcPr>
          <w:p>
            <w:r>
              <w:rPr>
                <w:rFonts w:ascii="Times New Roman" w:hAnsi="Times New Roman"/>
                <w:sz w:val="24"/>
              </w:rPr>
              <w:t>7</w:t>
            </w:r>
          </w:p>
        </w:tc>
        <w:tc>
          <w:tcPr>
            <w:tcW w:type="dxa" w:w="1881"/>
          </w:tcPr>
          <w:p>
            <w:r>
              <w:rPr>
                <w:rFonts w:ascii="Times New Roman" w:hAnsi="Times New Roman"/>
                <w:sz w:val="24"/>
              </w:rPr>
              <w:t>Linear</w:t>
            </w:r>
          </w:p>
        </w:tc>
        <w:tc>
          <w:tcPr>
            <w:tcW w:type="dxa" w:w="1881"/>
          </w:tcPr>
          <w:p>
            <w:r>
              <w:rPr>
                <w:rFonts w:ascii="Times New Roman" w:hAnsi="Times New Roman"/>
                <w:sz w:val="24"/>
              </w:rPr>
              <w:t>100%</w:t>
            </w:r>
          </w:p>
        </w:tc>
        <w:tc>
          <w:tcPr>
            <w:tcW w:type="dxa" w:w="1881"/>
          </w:tcPr>
          <w:p>
            <w:r>
              <w:rPr>
                <w:rFonts w:ascii="Times New Roman" w:hAnsi="Times New Roman"/>
                <w:sz w:val="24"/>
              </w:rPr>
              <w:t>100%</w:t>
            </w:r>
          </w:p>
        </w:tc>
        <w:tc>
          <w:tcPr>
            <w:tcW w:type="dxa" w:w="1881"/>
          </w:tcPr>
          <w:p>
            <w:r>
              <w:rPr>
                <w:rFonts w:ascii="Times New Roman" w:hAnsi="Times New Roman"/>
                <w:sz w:val="24"/>
              </w:rPr>
              <w:t>Unsafe at any spacing ≥ 2 m with dropout</w:t>
            </w:r>
          </w:p>
        </w:tc>
      </w:tr>
    </w:tbl>
    <w:p/>
    <w:p>
      <w:pPr>
        <w:spacing w:after="120"/>
      </w:pPr>
      <w:r>
        <w:rPr>
          <w:rFonts w:ascii="Times New Roman" w:hAnsi="Times New Roman"/>
          <w:sz w:val="24"/>
        </w:rPr>
      </w:r>
      <w:r>
        <w:rPr>
          <w:rFonts w:ascii="Times New Roman" w:hAnsi="Times New Roman"/>
          <w:b/>
          <w:sz w:val="24"/>
        </w:rPr>
        <w:t>RQ1:</w:t>
      </w:r>
      <w:r>
        <w:rPr>
          <w:rFonts w:ascii="Times New Roman" w:hAnsi="Times New Roman"/>
          <w:sz w:val="24"/>
        </w:rPr>
        <w:t xml:space="preserve"> Quintic and quartic B-splines are the best-performing methods across all conditions. Cubic spline — the prior CERPM standard — is outperformed at larger cluster sizes and coarser spacings.</w:t>
      </w:r>
    </w:p>
    <w:p>
      <w:pPr>
        <w:spacing w:after="120"/>
      </w:pPr>
      <w:r>
        <w:rPr>
          <w:rFonts w:ascii="Times New Roman" w:hAnsi="Times New Roman"/>
          <w:sz w:val="24"/>
        </w:rPr>
      </w:r>
      <w:r>
        <w:rPr>
          <w:rFonts w:ascii="Times New Roman" w:hAnsi="Times New Roman"/>
          <w:b/>
          <w:sz w:val="24"/>
        </w:rPr>
        <w:t>RQ2:</w:t>
      </w:r>
      <w:r>
        <w:rPr>
          <w:rFonts w:ascii="Times New Roman" w:hAnsi="Times New Roman"/>
          <w:sz w:val="24"/>
        </w:rPr>
        <w:t xml:space="preserve"> The 0.2 m safety threshold is exceeded by linear interpolation at any clustered gap ≥ 2 markers with spacing ≥ 4 m (100% failure). Polynomial splines begin significant failure at cluster size 10+ and spacing ≥ 4 m. At 12 m spacing all methods fail under any dropout.</w:t>
      </w:r>
    </w:p>
    <w:p>
      <w:pPr>
        <w:spacing w:after="120"/>
      </w:pPr>
      <w:r>
        <w:rPr>
          <w:rFonts w:ascii="Times New Roman" w:hAnsi="Times New Roman"/>
          <w:sz w:val="24"/>
        </w:rPr>
      </w:r>
      <w:r>
        <w:rPr>
          <w:rFonts w:ascii="Times New Roman" w:hAnsi="Times New Roman"/>
          <w:b/>
          <w:sz w:val="24"/>
        </w:rPr>
        <w:t>RQ3:</w:t>
      </w:r>
      <w:r>
        <w:rPr>
          <w:rFonts w:ascii="Times New Roman" w:hAnsi="Times New Roman"/>
          <w:sz w:val="24"/>
        </w:rPr>
        <w:t xml:space="preserve"> Clustered dropout is substantially more damaging than random dropout at equivalent average loss fractions. Removing 10 contiguous markers eliminates all geometric information across a continuous road section; the same 10 markers removed randomly leave local context intact at most points.</w:t>
      </w:r>
    </w:p>
    <w:p>
      <w:pPr>
        <w:pStyle w:val="Heading2"/>
        <w:spacing w:before="200" w:after="80"/>
      </w:pPr>
      <w:r>
        <w:rPr>
          <w:rFonts w:ascii="Times New Roman" w:hAnsi="Times New Roman"/>
          <w:b/>
          <w:color w:val="000000"/>
          <w:sz w:val="24"/>
        </w:rPr>
        <w:t>4.4. Deviations from Initial Research Plan</w:t>
      </w:r>
    </w:p>
    <w:p>
      <w:pPr>
        <w:spacing w:after="120"/>
      </w:pPr>
      <w:r>
        <w:rPr>
          <w:rFonts w:ascii="Times New Roman" w:hAnsi="Times New Roman"/>
          <w:sz w:val="24"/>
        </w:rPr>
        <w:t>The initial plan proposed testing at 5 m and 12 m spacings among others. The simulation was implemented at 0.5, 1, 2, 4, 6, and 12 m — the 12 m condition was included to directly match the real-world deployment in [2]. A smoothing spline (scipy UnivariateSpline) was implemented but excluded from the sweep as it does not pass through known CERPM coordinates exactly, which is unacceptable when marker positions are precisely known. Testing across multiple road maps remains a limitation and is recommended for future work.</w:t>
      </w:r>
    </w:p>
    <w:p>
      <w:pPr>
        <w:pStyle w:val="Heading1"/>
        <w:spacing w:before="200" w:after="80"/>
      </w:pPr>
      <w:r>
        <w:rPr>
          <w:rFonts w:ascii="Times New Roman" w:hAnsi="Times New Roman"/>
          <w:b/>
          <w:color w:val="000000"/>
          <w:sz w:val="24"/>
        </w:rPr>
        <w:t>5. Conclusions and Recommendations</w:t>
      </w:r>
    </w:p>
    <w:p>
      <w:pPr>
        <w:spacing w:after="120"/>
      </w:pPr>
      <w:r>
        <w:rPr>
          <w:rFonts w:ascii="Times New Roman" w:hAnsi="Times New Roman"/>
          <w:sz w:val="24"/>
        </w:rPr>
        <w:t>This project provides the first systematic evaluation of interpolation algorithm robustness for CERPM-based lane centreline reconstruction. Five conclusions are drawn:</w:t>
      </w:r>
    </w:p>
    <w:p>
      <w:pPr>
        <w:pStyle w:val="ListNumber"/>
        <w:spacing w:after="60"/>
      </w:pPr>
      <w:r>
        <w:rPr>
          <w:rFonts w:ascii="Times New Roman" w:hAnsi="Times New Roman"/>
          <w:sz w:val="24"/>
        </w:rPr>
      </w:r>
      <w:r>
        <w:rPr>
          <w:rFonts w:ascii="Times New Roman" w:hAnsi="Times New Roman"/>
          <w:b/>
          <w:sz w:val="24"/>
        </w:rPr>
        <w:t>Quintic and quartic B-splines with arc-length parameterisation are the recommended algorithms</w:t>
      </w:r>
      <w:r>
        <w:rPr>
          <w:rFonts w:ascii="Times New Roman" w:hAnsi="Times New Roman"/>
          <w:sz w:val="24"/>
        </w:rPr>
        <w:t>, outperforming cubic spline — the current literature default — particularly under clustered dropout with large gap sizes.</w:t>
      </w:r>
    </w:p>
    <w:p>
      <w:pPr>
        <w:pStyle w:val="ListNumber"/>
        <w:spacing w:after="60"/>
      </w:pPr>
      <w:r>
        <w:rPr>
          <w:rFonts w:ascii="Times New Roman" w:hAnsi="Times New Roman"/>
          <w:sz w:val="24"/>
        </w:rPr>
      </w:r>
      <w:r>
        <w:rPr>
          <w:rFonts w:ascii="Times New Roman" w:hAnsi="Times New Roman"/>
          <w:b/>
          <w:sz w:val="24"/>
        </w:rPr>
        <w:t>Linear interpolation is unsafe at spacings above 1 m</w:t>
      </w:r>
      <w:r>
        <w:rPr>
          <w:rFonts w:ascii="Times New Roman" w:hAnsi="Times New Roman"/>
          <w:sz w:val="24"/>
        </w:rPr>
        <w:t xml:space="preserve"> under any realistic dropout. It reaches 100% failure at 4 m spacing even with cluster size 2, and must not be used in any deployed CERPM-based LKA system.</w:t>
      </w:r>
    </w:p>
    <w:p>
      <w:pPr>
        <w:pStyle w:val="ListNumber"/>
        <w:spacing w:after="60"/>
      </w:pPr>
      <w:r>
        <w:rPr>
          <w:rFonts w:ascii="Times New Roman" w:hAnsi="Times New Roman"/>
          <w:sz w:val="24"/>
        </w:rPr>
      </w:r>
      <w:r>
        <w:rPr>
          <w:rFonts w:ascii="Times New Roman" w:hAnsi="Times New Roman"/>
          <w:b/>
          <w:sz w:val="24"/>
        </w:rPr>
        <w:t>The 12 m (~40 ft) real-world deployment spacing from Kadav et al. [2] is insufficient</w:t>
      </w:r>
      <w:r>
        <w:rPr>
          <w:rFonts w:ascii="Times New Roman" w:hAnsi="Times New Roman"/>
          <w:sz w:val="24"/>
        </w:rPr>
        <w:t xml:space="preserve"> for robust reconstruction under any tested failure mode. All methods reach 100% failure at this spacing under clustered dropout of any tested size, and under random dropout above approximately 5%.</w:t>
      </w:r>
    </w:p>
    <w:p>
      <w:pPr>
        <w:pStyle w:val="ListNumber"/>
        <w:spacing w:after="60"/>
      </w:pPr>
      <w:r>
        <w:rPr>
          <w:rFonts w:ascii="Times New Roman" w:hAnsi="Times New Roman"/>
          <w:sz w:val="24"/>
        </w:rPr>
      </w:r>
      <w:r>
        <w:rPr>
          <w:rFonts w:ascii="Times New Roman" w:hAnsi="Times New Roman"/>
          <w:b/>
          <w:sz w:val="24"/>
        </w:rPr>
        <w:t>Clustered dropout is the more dangerous failure mode.</w:t>
      </w:r>
      <w:r>
        <w:rPr>
          <w:rFonts w:ascii="Times New Roman" w:hAnsi="Times New Roman"/>
          <w:sz w:val="24"/>
        </w:rPr>
        <w:t xml:space="preserve"> Spatially correlated marker loss destroys geometric information across an extended road section, producing larger errors than equivalent-rate random loss.</w:t>
      </w:r>
    </w:p>
    <w:p>
      <w:pPr>
        <w:pStyle w:val="ListNumber"/>
        <w:spacing w:after="60"/>
      </w:pPr>
      <w:r>
        <w:rPr>
          <w:rFonts w:ascii="Times New Roman" w:hAnsi="Times New Roman"/>
          <w:sz w:val="24"/>
        </w:rPr>
      </w:r>
      <w:r>
        <w:rPr>
          <w:rFonts w:ascii="Times New Roman" w:hAnsi="Times New Roman"/>
          <w:b/>
          <w:sz w:val="24"/>
        </w:rPr>
        <w:t>2 m spacing is the recommended minimum</w:t>
      </w:r>
      <w:r>
        <w:rPr>
          <w:rFonts w:ascii="Times New Roman" w:hAnsi="Times New Roman"/>
          <w:sz w:val="24"/>
        </w:rPr>
        <w:t xml:space="preserve"> for CERPM deployment on curved road sections when using polynomial spline reconstruction, with robust performance achieved at cluster sizes up to 5 and random dropout up to 20%.</w:t>
      </w:r>
    </w:p>
    <w:p/>
    <w:p>
      <w:pPr>
        <w:spacing w:after="120"/>
      </w:pPr>
      <w:r>
        <w:rPr>
          <w:rFonts w:ascii="Times New Roman" w:hAnsi="Times New Roman"/>
          <w:sz w:val="24"/>
        </w:rPr>
        <w:t>Recommendations for practitioners:</w:t>
      </w:r>
    </w:p>
    <w:p>
      <w:pPr>
        <w:pStyle w:val="ListBullet"/>
        <w:spacing w:after="60"/>
      </w:pPr>
      <w:r>
        <w:rPr>
          <w:rFonts w:ascii="Times New Roman" w:hAnsi="Times New Roman"/>
          <w:sz w:val="24"/>
        </w:rPr>
        <w:t xml:space="preserve">Use </w:t>
      </w:r>
      <w:r>
        <w:rPr>
          <w:rFonts w:ascii="Times New Roman" w:hAnsi="Times New Roman"/>
          <w:b/>
          <w:sz w:val="24"/>
        </w:rPr>
        <w:t>quintic or quartic B-spline</w:t>
      </w:r>
      <w:r>
        <w:rPr>
          <w:rFonts w:ascii="Times New Roman" w:hAnsi="Times New Roman"/>
          <w:sz w:val="24"/>
        </w:rPr>
        <w:t xml:space="preserve"> interpolation with arc-length parameterisation as the default reconstruction algorithm; cubic spline is an acceptable fallback.</w:t>
      </w:r>
    </w:p>
    <w:p>
      <w:pPr>
        <w:pStyle w:val="ListBullet"/>
        <w:spacing w:after="60"/>
      </w:pPr>
      <w:r>
        <w:rPr>
          <w:rFonts w:ascii="Times New Roman" w:hAnsi="Times New Roman"/>
          <w:sz w:val="24"/>
        </w:rPr>
        <w:t xml:space="preserve">Deploy CERPMs at </w:t>
      </w:r>
      <w:r>
        <w:rPr>
          <w:rFonts w:ascii="Times New Roman" w:hAnsi="Times New Roman"/>
          <w:b/>
          <w:sz w:val="24"/>
        </w:rPr>
        <w:t>≤ 2 m spacing</w:t>
      </w:r>
      <w:r>
        <w:rPr>
          <w:rFonts w:ascii="Times New Roman" w:hAnsi="Times New Roman"/>
          <w:sz w:val="24"/>
        </w:rPr>
        <w:t xml:space="preserve"> on curved sections. The 40 ft spacing used in [2] requires revision given the results presented here.</w:t>
      </w:r>
    </w:p>
    <w:p>
      <w:pPr>
        <w:pStyle w:val="ListBullet"/>
        <w:spacing w:after="60"/>
      </w:pPr>
      <w:r>
        <w:rPr>
          <w:rFonts w:ascii="Times New Roman" w:hAnsi="Times New Roman"/>
          <w:sz w:val="24"/>
        </w:rPr>
        <w:t xml:space="preserve">Implement </w:t>
      </w:r>
      <w:r>
        <w:rPr>
          <w:rFonts w:ascii="Times New Roman" w:hAnsi="Times New Roman"/>
          <w:b/>
          <w:sz w:val="24"/>
        </w:rPr>
        <w:t>clustered-gap detection</w:t>
      </w:r>
      <w:r>
        <w:rPr>
          <w:rFonts w:ascii="Times New Roman" w:hAnsi="Times New Roman"/>
          <w:sz w:val="24"/>
        </w:rPr>
        <w:t>: when &gt; 10 consecutive markers fail to report on either boundary, trigger fallback to camera sensing or raise a driver alert.</w:t>
      </w:r>
    </w:p>
    <w:p>
      <w:pPr>
        <w:pStyle w:val="ListBullet"/>
        <w:spacing w:after="60"/>
      </w:pPr>
      <w:r>
        <w:rPr>
          <w:rFonts w:ascii="Times New Roman" w:hAnsi="Times New Roman"/>
          <w:sz w:val="24"/>
        </w:rPr>
      </w:r>
      <w:r>
        <w:rPr>
          <w:rFonts w:ascii="Times New Roman" w:hAnsi="Times New Roman"/>
          <w:b/>
          <w:sz w:val="24"/>
        </w:rPr>
        <w:t>Future work</w:t>
      </w:r>
      <w:r>
        <w:rPr>
          <w:rFonts w:ascii="Times New Roman" w:hAnsi="Times New Roman"/>
          <w:sz w:val="24"/>
        </w:rPr>
        <w:t xml:space="preserve"> should validate across multiple road maps, test GPS positioning uncertainty, and evaluate fusion of CERPM and camera inputs under combined failure modes.</w:t>
      </w:r>
    </w:p>
    <w:p>
      <w:r>
        <w:br w:type="page"/>
      </w:r>
    </w:p>
    <w:p>
      <w:pPr>
        <w:pStyle w:val="Heading1"/>
        <w:spacing w:before="200" w:after="80"/>
      </w:pPr>
      <w:r>
        <w:rPr>
          <w:rFonts w:ascii="Times New Roman" w:hAnsi="Times New Roman"/>
          <w:b/>
          <w:color w:val="000000"/>
          <w:sz w:val="24"/>
        </w:rPr>
        <w:t>References</w:t>
      </w:r>
    </w:p>
    <w:p>
      <w:pPr>
        <w:spacing w:after="80"/>
        <w:ind w:left="680" w:hanging="680"/>
      </w:pPr>
      <w:r>
        <w:rPr>
          <w:rFonts w:ascii="Times New Roman" w:hAnsi="Times New Roman"/>
          <w:sz w:val="24"/>
        </w:rPr>
        <w:t>[1]  S. Sharma et al., "Vehicle Lateral Offset Estimation Using Infrastructure Information for Reduced Compute Load," SAE Technical Paper 2023-01-0800, Apr. 2023.</w:t>
      </w:r>
    </w:p>
    <w:p>
      <w:pPr>
        <w:spacing w:after="80"/>
        <w:ind w:left="680" w:hanging="680"/>
      </w:pPr>
      <w:r>
        <w:rPr>
          <w:rFonts w:ascii="Times New Roman" w:hAnsi="Times New Roman"/>
          <w:sz w:val="24"/>
        </w:rPr>
        <w:t>[2]  P. Kadav et al., "Automated Lane Centering: An Off-the-Shelf Computer Vision Product vs. Infrastructure-Based Chip-Enabled Raised Pavement Markers," Sensors, vol. 24, no. 7, p. 2327, Apr. 2024.</w:t>
      </w:r>
    </w:p>
    <w:p>
      <w:pPr>
        <w:spacing w:after="80"/>
        <w:ind w:left="680" w:hanging="680"/>
      </w:pPr>
      <w:r>
        <w:rPr>
          <w:rFonts w:ascii="Times New Roman" w:hAnsi="Times New Roman"/>
          <w:sz w:val="24"/>
        </w:rPr>
        <w:t>[3]  Dept. of Infrastructure, Transport, Cities and Regional Development, "Fact sheet: Evidence supporting the priority focus areas," National Road Safety Strategy, 2021.</w:t>
      </w:r>
    </w:p>
    <w:p>
      <w:pPr>
        <w:spacing w:after="80"/>
        <w:ind w:left="680" w:hanging="680"/>
      </w:pPr>
      <w:r>
        <w:rPr>
          <w:rFonts w:ascii="Times New Roman" w:hAnsi="Times New Roman"/>
          <w:sz w:val="24"/>
        </w:rPr>
        <w:t>[4]  NHTSA, "Estimating Effectiveness of Lane Keeping Assist Systems in Fatal Road Departure Crashes," Report 813663, 2024.</w:t>
      </w:r>
    </w:p>
    <w:p>
      <w:pPr>
        <w:spacing w:after="80"/>
        <w:ind w:left="680" w:hanging="680"/>
      </w:pPr>
      <w:r>
        <w:rPr>
          <w:rFonts w:ascii="Times New Roman" w:hAnsi="Times New Roman"/>
          <w:sz w:val="24"/>
        </w:rPr>
        <w:t>[5]  European Commission, "Mandatory drivers assistance systems expected to help save over 25,000 lives by 2038," Jul. 2024.</w:t>
      </w:r>
    </w:p>
    <w:p>
      <w:pPr>
        <w:spacing w:after="80"/>
        <w:ind w:left="680" w:hanging="680"/>
      </w:pPr>
      <w:r>
        <w:rPr>
          <w:rFonts w:ascii="Times New Roman" w:hAnsi="Times New Roman"/>
          <w:sz w:val="24"/>
        </w:rPr>
        <w:t>[6]  Y. Wang et al., "OpenLKA: Open Source Multimodal LKA Dataset," GitHub, 2025.</w:t>
      </w:r>
    </w:p>
    <w:p>
      <w:pPr>
        <w:spacing w:after="80"/>
        <w:ind w:left="680" w:hanging="680"/>
      </w:pPr>
      <w:r>
        <w:rPr>
          <w:rFonts w:ascii="Times New Roman" w:hAnsi="Times New Roman"/>
          <w:sz w:val="24"/>
        </w:rPr>
        <w:t>[7]  I. Fakhari and S. Anwar, "A Multiple Model Estimation Approach to Robust Lane Detection via Computer Vision Based Models," in Proc. IEEE ISIE, 2022, pp. 576–581.</w:t>
      </w:r>
    </w:p>
    <w:p>
      <w:pPr>
        <w:spacing w:after="80"/>
        <w:ind w:left="680" w:hanging="680"/>
      </w:pPr>
      <w:r>
        <w:rPr>
          <w:rFonts w:ascii="Times New Roman" w:hAnsi="Times New Roman"/>
          <w:sz w:val="24"/>
        </w:rPr>
        <w:t>[8]  I. Fakhari and S. Anwar, "Computer vision model based robust lane detection using MMAE methodology," Frontiers in Mechanical Engineering, vol. 11, Feb. 2025.</w:t>
      </w:r>
    </w:p>
    <w:p>
      <w:pPr>
        <w:spacing w:after="80"/>
        <w:ind w:left="680" w:hanging="680"/>
      </w:pPr>
      <w:r>
        <w:rPr>
          <w:rFonts w:ascii="Times New Roman" w:hAnsi="Times New Roman"/>
          <w:sz w:val="24"/>
        </w:rPr>
        <w:t>[9]  G. Perozzi et al., "Lateral Shared Sliding Mode Control for LKA in Steer-by-Wire Vehicles," IEEE Trans. Intelligent Vehicles, vol. 8, no. 4, pp. 3073–3082, 2023.</w:t>
      </w:r>
    </w:p>
    <w:p>
      <w:pPr>
        <w:spacing w:after="80"/>
        <w:ind w:left="680" w:hanging="680"/>
      </w:pPr>
      <w:r>
        <w:rPr>
          <w:rFonts w:ascii="Times New Roman" w:hAnsi="Times New Roman"/>
          <w:sz w:val="24"/>
        </w:rPr>
        <w:t>[10] S. Wei et al., "State of the Art: Assessment Methods for Lane Keeping Assistance Systems," IEEE Trans. Intelligent Vehicles, vol. 9, no. 9, pp. 5853–5875, 2024.</w:t>
      </w:r>
    </w:p>
    <w:p>
      <w:pPr>
        <w:spacing w:after="80"/>
        <w:ind w:left="680" w:hanging="680"/>
      </w:pPr>
      <w:r>
        <w:rPr>
          <w:rFonts w:ascii="Times New Roman" w:hAnsi="Times New Roman"/>
          <w:sz w:val="24"/>
        </w:rPr>
        <w:t>[11] R. L. Burden and J. D. Faires, Numerical Analysis, 9th ed. Brooks/Cole, 2011.</w:t>
      </w:r>
    </w:p>
    <w:p>
      <w:pPr>
        <w:spacing w:after="80"/>
        <w:ind w:left="680" w:hanging="680"/>
      </w:pPr>
      <w:r>
        <w:rPr>
          <w:rFonts w:ascii="Times New Roman" w:hAnsi="Times New Roman"/>
          <w:sz w:val="24"/>
        </w:rPr>
        <w:t>[12] C. de Boor, A Practical Guide to Splines, Revised ed. Springer, 2001.</w:t>
      </w:r>
    </w:p>
    <w:p>
      <w:pPr>
        <w:spacing w:after="80"/>
        <w:ind w:left="680" w:hanging="680"/>
      </w:pPr>
      <w:r>
        <w:rPr>
          <w:rFonts w:ascii="Times New Roman" w:hAnsi="Times New Roman"/>
          <w:sz w:val="24"/>
        </w:rPr>
        <w:t>[13] F. N. Fritsch and R. E. Carlson, "Monotone piecewise cubic interpolation," SIAM J. Numerical Analysis, vol. 17, no. 2, pp. 238–246, 1980.</w:t>
      </w:r>
    </w:p>
    <w:p>
      <w:pPr>
        <w:spacing w:after="80"/>
        <w:ind w:left="680" w:hanging="680"/>
      </w:pPr>
      <w:r>
        <w:rPr>
          <w:rFonts w:ascii="Times New Roman" w:hAnsi="Times New Roman"/>
          <w:sz w:val="24"/>
        </w:rPr>
        <w:t>[14] H. Akima, "A new method of interpolation and smooth curve fitting," J. ACM, vol. 17, no. 4, pp. 589–602, 1970.</w:t>
      </w:r>
    </w:p>
    <w:p>
      <w:pPr>
        <w:spacing w:after="80"/>
        <w:ind w:left="680" w:hanging="680"/>
      </w:pPr>
      <w:r>
        <w:rPr>
          <w:rFonts w:ascii="Times New Roman" w:hAnsi="Times New Roman"/>
          <w:sz w:val="24"/>
        </w:rPr>
        <w:t>[15] R. Hartley and A. Zisserman, Multiple View Geometry in Computer Vision, 2nd ed. Cambridge University Press, 2003.</w:t>
      </w:r>
    </w:p>
    <w:p>
      <w:pPr>
        <w:spacing w:after="80"/>
        <w:ind w:left="680" w:hanging="680"/>
      </w:pPr>
      <w:r>
        <w:rPr>
          <w:rFonts w:ascii="Times New Roman" w:hAnsi="Times New Roman"/>
          <w:sz w:val="24"/>
        </w:rPr>
        <w:t>[16] ISO 21448:2022, Road Vehicles — Safety of the Intended Functionality, ISO, 2022.</w:t>
      </w:r>
    </w:p>
    <w:p>
      <w:pPr>
        <w:spacing w:after="80"/>
        <w:ind w:left="680" w:hanging="680"/>
      </w:pPr>
      <w:r>
        <w:rPr>
          <w:rFonts w:ascii="Times New Roman" w:hAnsi="Times New Roman"/>
          <w:sz w:val="24"/>
        </w:rPr>
        <w:t>[17] SAE International, SAE J3016: Taxonomy and Definitions for Driving Automation Systems, 2021.</w:t>
      </w:r>
    </w:p>
    <w:p>
      <w:r>
        <w:br w:type="page"/>
      </w:r>
    </w:p>
    <w:p>
      <w:pPr>
        <w:pStyle w:val="Heading1"/>
        <w:spacing w:before="200" w:after="80"/>
      </w:pPr>
      <w:r>
        <w:rPr>
          <w:rFonts w:ascii="Times New Roman" w:hAnsi="Times New Roman"/>
          <w:b/>
          <w:color w:val="000000"/>
          <w:sz w:val="24"/>
        </w:rPr>
        <w:t>Appendix A: Code Module Descriptions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b/>
                <w:sz w:val="24"/>
              </w:rPr>
              <w:t>Module</w:t>
            </w:r>
          </w:p>
        </w:tc>
        <w:tc>
          <w:tcPr>
            <w:tcW w:type="dxa" w:w="3135"/>
          </w:tcPr>
          <w:p>
            <w:pPr>
              <w:jc w:val="center"/>
            </w:pPr>
            <w:r>
              <w:rPr>
                <w:rFonts w:ascii="Times New Roman" w:hAnsi="Times New Roman"/>
                <w:b/>
                <w:sz w:val="24"/>
              </w:rPr>
              <w:t>Responsibility</w:t>
            </w:r>
          </w:p>
        </w:tc>
        <w:tc>
          <w:tcPr>
            <w:tcW w:type="dxa" w:w="3135"/>
          </w:tcPr>
          <w:p>
            <w:pPr>
              <w:jc w:val="center"/>
            </w:pPr>
            <w:r>
              <w:rPr>
                <w:rFonts w:ascii="Times New Roman" w:hAnsi="Times New Roman"/>
                <w:b/>
                <w:sz w:val="24"/>
              </w:rPr>
              <w:t>Key functions</w:t>
            </w:r>
          </w:p>
        </w:tc>
      </w:tr>
      <w:tr>
        <w:tc>
          <w:tcPr>
            <w:tcW w:type="dxa" w:w="3135"/>
          </w:tcPr>
          <w:p>
            <w:r>
              <w:rPr>
                <w:rFonts w:ascii="Times New Roman" w:hAnsi="Times New Roman"/>
                <w:sz w:val="24"/>
              </w:rPr>
              <w:t>test.py</w:t>
            </w:r>
          </w:p>
        </w:tc>
        <w:tc>
          <w:tcPr>
            <w:tcW w:type="dxa" w:w="3135"/>
          </w:tcPr>
          <w:p>
            <w:r>
              <w:rPr>
                <w:rFonts w:ascii="Times New Roman" w:hAnsi="Times New Roman"/>
                <w:sz w:val="24"/>
              </w:rPr>
              <w:t>Lanelet2 parser; CERPM resampling; centreline computation</w:t>
            </w:r>
          </w:p>
        </w:tc>
        <w:tc>
          <w:tcPr>
            <w:tcW w:type="dxa" w:w="3135"/>
          </w:tcPr>
          <w:p>
            <w:r>
              <w:rPr>
                <w:rFonts w:ascii="Times New Roman" w:hAnsi="Times New Roman"/>
                <w:sz w:val="24"/>
              </w:rPr>
              <w:t>resample(), calCenterline()</w:t>
            </w:r>
          </w:p>
        </w:tc>
      </w:tr>
      <w:tr>
        <w:tc>
          <w:tcPr>
            <w:tcW w:type="dxa" w:w="3135"/>
          </w:tcPr>
          <w:p>
            <w:r>
              <w:rPr>
                <w:rFonts w:ascii="Times New Roman" w:hAnsi="Times New Roman"/>
                <w:sz w:val="24"/>
              </w:rPr>
              <w:t>Interpolations.py</w:t>
            </w:r>
          </w:p>
        </w:tc>
        <w:tc>
          <w:tcPr>
            <w:tcW w:type="dxa" w:w="3135"/>
          </w:tcPr>
          <w:p>
            <w:r>
              <w:rPr>
                <w:rFonts w:ascii="Times New Roman" w:hAnsi="Times New Roman"/>
                <w:sz w:val="24"/>
              </w:rPr>
              <w:t>Seven interpolation methods; arc-length parameterisation</w:t>
            </w:r>
          </w:p>
        </w:tc>
        <w:tc>
          <w:tcPr>
            <w:tcW w:type="dxa" w:w="3135"/>
          </w:tcPr>
          <w:p>
            <w:r>
              <w:rPr>
                <w:rFonts w:ascii="Times New Roman" w:hAnsi="Times New Roman"/>
                <w:sz w:val="24"/>
              </w:rPr>
              <w:t>arcLengthParameter(), interpolate()</w:t>
            </w:r>
          </w:p>
        </w:tc>
      </w:tr>
      <w:tr>
        <w:tc>
          <w:tcPr>
            <w:tcW w:type="dxa" w:w="3135"/>
          </w:tcPr>
          <w:p>
            <w:r>
              <w:rPr>
                <w:rFonts w:ascii="Times New Roman" w:hAnsi="Times New Roman"/>
                <w:sz w:val="24"/>
              </w:rPr>
              <w:t>Simulation.py</w:t>
            </w:r>
          </w:p>
        </w:tc>
        <w:tc>
          <w:tcPr>
            <w:tcW w:type="dxa" w:w="3135"/>
          </w:tcPr>
          <w:p>
            <w:r>
              <w:rPr>
                <w:rFonts w:ascii="Times New Roman" w:hAnsi="Times New Roman"/>
                <w:sz w:val="24"/>
              </w:rPr>
              <w:t>Parallelised Monte Carlo; dropout models; error measurement</w:t>
            </w:r>
          </w:p>
        </w:tc>
        <w:tc>
          <w:tcPr>
            <w:tcW w:type="dxa" w:w="3135"/>
          </w:tcPr>
          <w:p>
            <w:r>
              <w:rPr>
                <w:rFonts w:ascii="Times New Roman" w:hAnsi="Times New Roman"/>
                <w:sz w:val="24"/>
              </w:rPr>
              <w:t>runMonteCarloRandom(), runMonteCarloClusteredSingle()</w:t>
            </w:r>
          </w:p>
        </w:tc>
      </w:tr>
      <w:tr>
        <w:tc>
          <w:tcPr>
            <w:tcW w:type="dxa" w:w="3135"/>
          </w:tcPr>
          <w:p>
            <w:r>
              <w:rPr>
                <w:rFonts w:ascii="Times New Roman" w:hAnsi="Times New Roman"/>
                <w:sz w:val="24"/>
              </w:rPr>
              <w:t>xmlParse.py</w:t>
            </w:r>
          </w:p>
        </w:tc>
        <w:tc>
          <w:tcPr>
            <w:tcW w:type="dxa" w:w="3135"/>
          </w:tcPr>
          <w:p>
            <w:r>
              <w:rPr>
                <w:rFonts w:ascii="Times New Roman" w:hAnsi="Times New Roman"/>
                <w:sz w:val="24"/>
              </w:rPr>
              <w:t>Parameter sweep; IQR/failure stats; visualisation</w:t>
            </w:r>
          </w:p>
        </w:tc>
        <w:tc>
          <w:tcPr>
            <w:tcW w:type="dxa" w:w="3135"/>
          </w:tcPr>
          <w:p>
            <w:r>
              <w:rPr>
                <w:rFonts w:ascii="Times New Roman" w:hAnsi="Times New Roman"/>
                <w:sz w:val="24"/>
              </w:rPr>
              <w:t>fullAnalysis()</w:t>
            </w:r>
          </w:p>
        </w:tc>
      </w:tr>
    </w:tbl>
    <w:p/>
    <w:p>
      <w:pPr>
        <w:spacing w:after="120"/>
      </w:pPr>
      <w:r>
        <w:rPr>
          <w:rFonts w:ascii="Times New Roman" w:hAnsi="Times New Roman"/>
          <w:sz w:val="24"/>
        </w:rPr>
        <w:t>Reproducibility: each trial seed is derived from a master base seed via numpy default_rng(). Re-running with identical base seed produces bit-identical results. Fallback logic: cubic spline and Akima revert to linear when fewer than 3 points survive; B-spline degree is clamped to min(k, n−1) where n is surviving point count.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