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before="0" w:after="40"/>
        <w:jc w:val="left"/>
      </w:pPr>
      <w:r>
        <w:rPr>
          <w:rFonts w:ascii="Aptos Display" w:hAnsi="Aptos Display"/>
          <w:b/>
          <w:color w:val="000000"/>
          <w:sz w:val="48"/>
        </w:rPr>
        <w:t>Azra Clinical Trial Outreach Case</w:t>
      </w:r>
    </w:p>
    <w:p>
      <w:pPr>
        <w:pStyle w:val="Subtitle"/>
        <w:keepNext w:val="0"/>
        <w:widowControl/>
        <w:spacing w:before="0" w:after="120"/>
        <w:jc w:val="left"/>
      </w:pPr>
      <w:r>
        <w:rPr>
          <w:rFonts w:ascii="Aptos Display" w:hAnsi="Aptos Display"/>
          <w:b/>
          <w:color w:val="353535"/>
          <w:sz w:val="30"/>
        </w:rPr>
        <w:t>Team Working Plan V3</w:t>
      </w:r>
    </w:p>
    <w:p>
      <w:pPr>
        <w:keepNext w:val="0"/>
        <w:widowControl/>
        <w:spacing w:before="0" w:after="40"/>
        <w:jc w:val="left"/>
      </w:pPr>
      <w:r>
        <w:rPr>
          <w:rFonts w:ascii="Aptos" w:hAnsi="Aptos"/>
          <w:color w:val="595959"/>
          <w:sz w:val="21"/>
        </w:rPr>
        <w:t>Research informed prototype scope, patient communication rules, responsibilities, and Tuesday through Friday schedule</w:t>
      </w:r>
    </w:p>
    <w:p>
      <w:pPr>
        <w:keepNext w:val="0"/>
        <w:widowControl/>
        <w:spacing w:before="0" w:after="240"/>
        <w:jc w:val="left"/>
      </w:pPr>
      <w:r>
        <w:rPr>
          <w:rFonts w:ascii="Aptos" w:hAnsi="Aptos"/>
          <w:color w:val="353535"/>
          <w:sz w:val="19"/>
        </w:rPr>
        <w:t>Penn State + Hof University Case Competition | September 28-October 2, 2026</w:t>
      </w:r>
    </w:p>
    <w:p>
      <w:pPr>
        <w:keepNext w:val="0"/>
        <w:widowControl/>
        <w:spacing w:before="0" w:after="40"/>
        <w:jc w:val="left"/>
      </w:pPr>
      <w:r>
        <w:rPr>
          <w:rFonts w:ascii="Aptos" w:hAnsi="Aptos"/>
          <w:b/>
          <w:color w:val="000000"/>
          <w:sz w:val="21"/>
        </w:rPr>
        <w:t>Purpose of this plan</w:t>
      </w:r>
      <w:r>
        <w:rPr>
          <w:rFonts w:ascii="Aptos" w:hAnsi="Aptos"/>
          <w:color w:val="000000"/>
          <w:sz w:val="21"/>
        </w:rPr>
      </w:r>
    </w:p>
    <w:p>
      <w:pPr>
        <w:keepNext w:val="0"/>
        <w:widowControl/>
        <w:spacing w:before="0" w:after="160"/>
        <w:jc w:val="left"/>
      </w:pPr>
      <w:r>
        <w:rPr>
          <w:rFonts w:ascii="Aptos" w:hAnsi="Aptos"/>
          <w:color w:val="000000"/>
          <w:sz w:val="21"/>
        </w:rPr>
        <w:t>This version converts the outreach research into specific build decisions. It keeps the post-match Why Me concept from V2, but adds stronger rules for source quality, patient-facing content, clinician review, delivery, governance, and measurable prototype quality.</w:t>
      </w:r>
    </w:p>
    <w:p>
      <w:pPr>
        <w:keepNext w:val="0"/>
        <w:widowControl/>
        <w:spacing w:before="0" w:after="40"/>
        <w:jc w:val="left"/>
      </w:pPr>
      <w:r>
        <w:rPr>
          <w:rFonts w:ascii="Aptos" w:hAnsi="Aptos"/>
          <w:b/>
          <w:color w:val="000000"/>
          <w:sz w:val="21"/>
        </w:rPr>
        <w:t>Decision</w:t>
      </w:r>
      <w:r>
        <w:rPr>
          <w:rFonts w:ascii="Aptos" w:hAnsi="Aptos"/>
          <w:color w:val="000000"/>
          <w:sz w:val="21"/>
        </w:rPr>
      </w:r>
    </w:p>
    <w:p>
      <w:pPr>
        <w:keepNext w:val="0"/>
        <w:widowControl/>
        <w:spacing w:before="0" w:after="80"/>
        <w:jc w:val="left"/>
      </w:pPr>
      <w:r>
        <w:rPr>
          <w:rFonts w:ascii="Aptos" w:hAnsi="Aptos"/>
          <w:color w:val="000000"/>
          <w:sz w:val="21"/>
        </w:rPr>
        <w:t>Keep the core product direction. Revise the implementation so the demo proves a grounded and reviewable communication workflow rather than a generic AI message generator.</w:t>
      </w:r>
    </w:p>
    <w:p>
      <w:pPr>
        <w:pStyle w:val="Heading1"/>
        <w:keepNext/>
        <w:pageBreakBefore/>
        <w:widowControl/>
        <w:jc w:val="left"/>
      </w:pPr>
      <w:r>
        <w:rPr>
          <w:rFonts w:ascii="Aptos Display" w:hAnsi="Aptos Display"/>
          <w:b/>
          <w:color w:val="000000"/>
          <w:sz w:val="29"/>
        </w:rPr>
        <w:t>1 Research Review and Direction</w:t>
      </w:r>
    </w:p>
    <w:p>
      <w:pPr>
        <w:keepNext w:val="0"/>
        <w:widowControl/>
        <w:spacing w:before="0" w:after="80"/>
        <w:jc w:val="left"/>
      </w:pPr>
      <w:r>
        <w:rPr>
          <w:rFonts w:ascii="Aptos" w:hAnsi="Aptos"/>
          <w:color w:val="000000"/>
          <w:sz w:val="21"/>
        </w:rPr>
        <w:t>The research supports the central decision in V2: the prototype should begin after Azra has identified a potential patient-to-trial match. The evidence does not justify expanding the project into matching, consent, or a full recruitment platform. It does justify a more precise patient message and a stricter clinician workflow.</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val="true"/>
        </w:trPr>
        <w:tc>
          <w:tcPr>
            <w:tcW w:type="dxa" w:w="3671"/>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Research finding</w:t>
            </w:r>
          </w:p>
        </w:tc>
        <w:tc>
          <w:tcPr>
            <w:tcW w:type="dxa" w:w="5688"/>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Decision for V3</w:t>
            </w:r>
          </w:p>
        </w:tc>
        <w:tc>
          <w:tcPr>
            <w:tcW w:type="dxa" w:w="864"/>
            <w:vAlign w:val="center"/>
            <w:tcMar>
              <w:top w:w="85" w:type="dxa"/>
              <w:start w:w="95" w:type="dxa"/>
              <w:bottom w:w="85" w:type="dxa"/>
              <w:end w:w="95" w:type="dxa"/>
            </w:tcMar>
            <w:shd w:fill="353535"/>
          </w:tcPr>
          <w:p>
            <w:pPr>
              <w:spacing w:before="0" w:after="0" w:line="240" w:lineRule="auto"/>
              <w:jc w:val="center"/>
            </w:pPr>
            <w:r>
              <w:rPr>
                <w:rFonts w:ascii="Aptos" w:hAnsi="Aptos"/>
                <w:b/>
                <w:color w:val="FFFFFF"/>
                <w:sz w:val="17"/>
              </w:rPr>
              <w:t>Basis</w:t>
            </w:r>
          </w:p>
        </w:tc>
      </w:tr>
      <w:tr>
        <w:trPr>
          <w:cantSplit w:val="true"/>
        </w:trPr>
        <w:tc>
          <w:tcPr>
            <w:tcW w:type="dxa" w:w="3671"/>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Patients want to know why they received a recruitment message and whether the study relates to them.</w:t>
            </w:r>
          </w:p>
        </w:tc>
        <w:tc>
          <w:tcPr>
            <w:tcW w:type="dxa" w:w="568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Lead with personal relevance and connect it to Azra's supplied match evidence.</w:t>
            </w:r>
          </w:p>
        </w:tc>
        <w:tc>
          <w:tcPr>
            <w:tcW w:type="dxa" w:w="864"/>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[R4]</w:t>
            </w:r>
          </w:p>
        </w:tc>
      </w:tr>
      <w:tr>
        <w:trPr>
          <w:cantSplit w:val="true"/>
        </w:trPr>
        <w:tc>
          <w:tcPr>
            <w:tcW w:type="dxa" w:w="3671"/>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Patients also want enough practical information to decide whether to engage.</w:t>
            </w:r>
          </w:p>
        </w:tc>
        <w:tc>
          <w:tcPr>
            <w:tcW w:type="dxa" w:w="568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Include study purpose, visits, procedures, time, location, compensation when available, and contact details.</w:t>
            </w:r>
          </w:p>
        </w:tc>
        <w:tc>
          <w:tcPr>
            <w:tcW w:type="dxa" w:w="864"/>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[R4][R5]</w:t>
            </w:r>
          </w:p>
        </w:tc>
      </w:tr>
      <w:tr>
        <w:trPr>
          <w:cantSplit w:val="true"/>
        </w:trPr>
        <w:tc>
          <w:tcPr>
            <w:tcW w:type="dxa" w:w="3671"/>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LLMs can simplify medical language but may introduce errors.</w:t>
            </w:r>
          </w:p>
        </w:tc>
        <w:tc>
          <w:tcPr>
            <w:tcW w:type="dxa" w:w="568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Require source grounding, structured output, clinician review, and approval before simulated delivery.</w:t>
            </w:r>
          </w:p>
        </w:tc>
        <w:tc>
          <w:tcPr>
            <w:tcW w:type="dxa" w:w="864"/>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[R18][R19]</w:t>
            </w:r>
          </w:p>
        </w:tc>
      </w:tr>
      <w:tr>
        <w:trPr>
          <w:cantSplit w:val="true"/>
        </w:trPr>
        <w:tc>
          <w:tcPr>
            <w:tcW w:type="dxa" w:w="3671"/>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Recruitment content and delivery rules vary by institution and study.</w:t>
            </w:r>
          </w:p>
        </w:tc>
        <w:tc>
          <w:tcPr>
            <w:tcW w:type="dxa" w:w="568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Use approved source material, keep delivery configurable, and treat IRB review as a production requirement rather than a feature to build this week.</w:t>
            </w:r>
          </w:p>
        </w:tc>
        <w:tc>
          <w:tcPr>
            <w:tcW w:type="dxa" w:w="864"/>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[R7][R9][R10]</w:t>
            </w:r>
          </w:p>
        </w:tc>
      </w:tr>
      <w:tr>
        <w:trPr>
          <w:cantSplit w:val="true"/>
        </w:trPr>
        <w:tc>
          <w:tcPr>
            <w:tcW w:type="dxa" w:w="3671"/>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Azra already exposes traceable criterion evidence.</w:t>
            </w:r>
          </w:p>
        </w:tc>
        <w:tc>
          <w:tcPr>
            <w:tcW w:type="dxa" w:w="568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Carry that evidence into the outreach workflow instead of creating a second eligibility model.</w:t>
            </w:r>
          </w:p>
        </w:tc>
        <w:tc>
          <w:tcPr>
            <w:tcW w:type="dxa" w:w="864"/>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[R1]</w:t>
            </w:r>
          </w:p>
        </w:tc>
      </w:tr>
    </w:tbl>
    <w:p>
      <w:pPr>
        <w:widowControl/>
        <w:spacing w:after="20"/>
        <w:jc w:val="left"/>
      </w:pPr>
    </w:p>
    <w:p>
      <w:pPr>
        <w:keepNext w:val="0"/>
        <w:widowControl/>
        <w:spacing w:before="0" w:after="80"/>
        <w:jc w:val="left"/>
      </w:pPr>
      <w:r>
        <w:rPr>
          <w:rFonts w:ascii="Aptos" w:hAnsi="Aptos"/>
          <w:color w:val="000000"/>
          <w:sz w:val="21"/>
        </w:rPr>
        <w:t>The practical result is a narrower and more defensible prototype. V3 adds controls and acceptance tests, but it does not add a larger product surface.</w:t>
      </w:r>
    </w:p>
    <w:p>
      <w:pPr>
        <w:pStyle w:val="Heading1"/>
        <w:keepNext/>
        <w:pageBreakBefore w:val="0"/>
        <w:widowControl/>
        <w:jc w:val="left"/>
      </w:pPr>
      <w:r>
        <w:rPr>
          <w:rFonts w:ascii="Aptos Display" w:hAnsi="Aptos Display"/>
          <w:b/>
          <w:color w:val="000000"/>
          <w:sz w:val="29"/>
        </w:rPr>
        <w:t>2 Product Boundary</w:t>
      </w:r>
    </w:p>
    <w:p>
      <w:pPr>
        <w:keepNext w:val="0"/>
        <w:widowControl/>
        <w:spacing w:before="0" w:after="80"/>
        <w:jc w:val="left"/>
      </w:pPr>
      <w:r>
        <w:rPr>
          <w:rFonts w:ascii="Aptos" w:hAnsi="Aptos"/>
          <w:b/>
          <w:color w:val="000000"/>
          <w:sz w:val="21"/>
        </w:rPr>
        <w:t>Timing:</w:t>
      </w:r>
      <w:r>
        <w:rPr>
          <w:rFonts w:ascii="Aptos" w:hAnsi="Aptos"/>
          <w:color w:val="000000"/>
          <w:sz w:val="21"/>
        </w:rPr>
        <w:t xml:space="preserve"> The feature begins after Azra has surfaced a potential match and before the formal eligibility, consent, or enrollment decision.</w:t>
      </w:r>
    </w:p>
    <w:p>
      <w:pPr>
        <w:keepNext w:val="0"/>
        <w:widowControl/>
        <w:spacing w:before="0" w:after="80"/>
        <w:jc w:val="left"/>
      </w:pPr>
      <w:r>
        <w:rPr>
          <w:rFonts w:ascii="Aptos" w:hAnsi="Aptos"/>
          <w:b/>
          <w:color w:val="000000"/>
          <w:sz w:val="21"/>
        </w:rPr>
        <w:t>Patient:</w:t>
      </w:r>
      <w:r>
        <w:rPr>
          <w:rFonts w:ascii="Aptos" w:hAnsi="Aptos"/>
          <w:color w:val="000000"/>
          <w:sz w:val="21"/>
        </w:rPr>
        <w:t xml:space="preserve"> The patient receives a plain-language invitation that explains the reason for the outreach and provides enough information to decide whether to have a conversation.</w:t>
      </w:r>
    </w:p>
    <w:p>
      <w:pPr>
        <w:keepNext w:val="0"/>
        <w:widowControl/>
        <w:spacing w:before="0" w:after="80"/>
        <w:jc w:val="left"/>
      </w:pPr>
      <w:r>
        <w:rPr>
          <w:rFonts w:ascii="Aptos" w:hAnsi="Aptos"/>
          <w:b/>
          <w:color w:val="000000"/>
          <w:sz w:val="21"/>
        </w:rPr>
        <w:t>Clinical user:</w:t>
      </w:r>
      <w:r>
        <w:rPr>
          <w:rFonts w:ascii="Aptos" w:hAnsi="Aptos"/>
          <w:color w:val="000000"/>
          <w:sz w:val="21"/>
        </w:rPr>
        <w:t xml:space="preserve"> A research coordinator, nurse navigator, physician, or another approved staff member reviews the draft, checks its sources, revises it when necessary, and approves the final version.</w:t>
      </w:r>
    </w:p>
    <w:p>
      <w:pPr>
        <w:keepNext w:val="0"/>
        <w:widowControl/>
        <w:spacing w:before="0" w:after="80"/>
        <w:jc w:val="left"/>
      </w:pPr>
      <w:r>
        <w:rPr>
          <w:rFonts w:ascii="Aptos" w:hAnsi="Aptos"/>
          <w:b/>
          <w:color w:val="000000"/>
          <w:sz w:val="21"/>
        </w:rPr>
        <w:t>Boundary:</w:t>
      </w:r>
      <w:r>
        <w:rPr>
          <w:rFonts w:ascii="Aptos" w:hAnsi="Aptos"/>
          <w:color w:val="000000"/>
          <w:sz w:val="21"/>
        </w:rPr>
        <w:t xml:space="preserve"> The system does not perform a new match, confirm eligibility, provide medical advice, replace informed consent, or send an unreviewed message.</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val="true"/>
        </w:trPr>
        <w:tc>
          <w:tcPr>
            <w:tcW w:type="dxa" w:w="51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t>Azra and approved clinical workflow</w:t>
            </w:r>
          </w:p>
        </w:tc>
        <w:tc>
          <w:tcPr>
            <w:tcW w:type="dxa" w:w="51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8"/>
              </w:rPr>
              <w:t>V3 prototype</w:t>
            </w:r>
          </w:p>
        </w:tc>
      </w:tr>
      <w:tr>
        <w:trPr>
          <w:cantSplit w:val="true"/>
        </w:trPr>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8"/>
              </w:rPr>
              <w:t>Supplies the patient facts, trial criteria, prescreening result, and criterion-level evidence.</w:t>
            </w:r>
          </w:p>
        </w:tc>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8"/>
              </w:rPr>
              <w:t>Uses a synthetic representation of those inputs and clearly labels the match as supplied by Azra.</w:t>
            </w:r>
          </w:p>
        </w:tc>
      </w:tr>
      <w:tr>
        <w:trPr>
          <w:cantSplit w:val="true"/>
        </w:trPr>
        <w:tc>
          <w:tcPr>
            <w:tcW w:type="dxa" w:w="51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8"/>
              </w:rPr>
              <w:t>Defines which recruitment template and study materials are approved for patient communication.</w:t>
            </w:r>
          </w:p>
        </w:tc>
        <w:tc>
          <w:tcPr>
            <w:tcW w:type="dxa" w:w="51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8"/>
              </w:rPr>
              <w:t>Uses a bounded source pack and omits details that are not supported by an approved source.</w:t>
            </w:r>
          </w:p>
        </w:tc>
      </w:tr>
      <w:tr>
        <w:trPr>
          <w:cantSplit w:val="true"/>
        </w:trPr>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8"/>
              </w:rPr>
              <w:t>Clinical staff make the final eligibility, consent, and care decisions.</w:t>
            </w:r>
          </w:p>
        </w:tc>
        <w:tc>
          <w:tcPr>
            <w:tcW w:type="dxa" w:w="51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8"/>
              </w:rPr>
              <w:t>Generates a draft and requires clinician review and approval before simulated delivery.</w:t>
            </w:r>
          </w:p>
        </w:tc>
      </w:tr>
      <w:tr>
        <w:trPr>
          <w:cantSplit w:val="true"/>
        </w:trPr>
        <w:tc>
          <w:tcPr>
            <w:tcW w:type="dxa" w:w="51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8"/>
              </w:rPr>
              <w:t>The health system selects an approved delivery channel and honors contact preferences.</w:t>
            </w:r>
          </w:p>
        </w:tc>
        <w:tc>
          <w:tcPr>
            <w:tcW w:type="dxa" w:w="51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8"/>
              </w:rPr>
              <w:t>Creates one approved outreach artifact and simulates routing it through a secure channel.</w:t>
            </w:r>
          </w:p>
        </w:tc>
      </w:tr>
    </w:tbl>
    <w:p>
      <w:pPr>
        <w:widowControl/>
        <w:spacing w:after="20"/>
        <w:jc w:val="left"/>
      </w:pPr>
    </w:p>
    <w:p>
      <w:pPr>
        <w:pStyle w:val="Heading1"/>
        <w:keepNext/>
        <w:pageBreakBefore/>
        <w:widowControl/>
        <w:jc w:val="left"/>
      </w:pPr>
      <w:r>
        <w:rPr>
          <w:rFonts w:ascii="Aptos Display" w:hAnsi="Aptos Display"/>
          <w:b/>
          <w:color w:val="000000"/>
          <w:sz w:val="29"/>
        </w:rPr>
        <w:t>3 Proposed Prototype Flow</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val="true"/>
        </w:trPr>
        <w:tc>
          <w:tcPr>
            <w:tcW w:type="dxa" w:w="576"/>
            <w:vAlign w:val="center"/>
            <w:tcMar>
              <w:top w:w="85" w:type="dxa"/>
              <w:start w:w="95" w:type="dxa"/>
              <w:bottom w:w="85" w:type="dxa"/>
              <w:end w:w="95" w:type="dxa"/>
            </w:tcMar>
            <w:shd w:fill="353535"/>
          </w:tcPr>
          <w:p>
            <w:pPr>
              <w:spacing w:before="0" w:after="0" w:line="240" w:lineRule="auto"/>
              <w:jc w:val="center"/>
            </w:pPr>
            <w:r>
              <w:rPr>
                <w:rFonts w:ascii="Aptos" w:hAnsi="Aptos"/>
                <w:b/>
                <w:color w:val="FFFFFF"/>
                <w:sz w:val="17"/>
              </w:rPr>
              <w:t>No</w:t>
            </w:r>
          </w:p>
        </w:tc>
        <w:tc>
          <w:tcPr>
            <w:tcW w:type="dxa" w:w="2376"/>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Step</w:t>
            </w:r>
          </w:p>
        </w:tc>
        <w:tc>
          <w:tcPr>
            <w:tcW w:type="dxa" w:w="727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What happens</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1</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Start with an existing match</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One synthetic patient is already connected to one real public trial. The interface states that Azra supplied the match evidence.</w:t>
            </w:r>
          </w:p>
        </w:tc>
      </w:tr>
      <w:tr>
        <w:trPr>
          <w:cantSplit w:val="true"/>
        </w:trPr>
        <w:tc>
          <w:tcPr>
            <w:tcW w:type="dxa" w:w="576"/>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2</w:t>
            </w:r>
          </w:p>
        </w:tc>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Open the candidate queue</w:t>
            </w:r>
          </w:p>
        </w:tc>
        <w:tc>
          <w:tcPr>
            <w:tcW w:type="dxa" w:w="727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Three to five mock rows show match and outreach statuses. Only one patient needs a complete working path.</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3</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Review the source pack</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The clinician sees the patient facts, trial facts, criterion-level match evidence, and the source allowed for each patient-facing section.</w:t>
            </w:r>
          </w:p>
        </w:tc>
      </w:tr>
      <w:tr>
        <w:trPr>
          <w:cantSplit w:val="true"/>
        </w:trPr>
        <w:tc>
          <w:tcPr>
            <w:tcW w:type="dxa" w:w="576"/>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4</w:t>
            </w:r>
          </w:p>
        </w:tc>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Generate the outreach</w:t>
            </w:r>
          </w:p>
        </w:tc>
        <w:tc>
          <w:tcPr>
            <w:tcW w:type="dxa" w:w="727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The backend sends only structured source facts and generation rules to the LLM.</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5</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Review the Why Me packet</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The clinician reads the patient-facing draft and checks that every personalized factual statement has a source reference.</w:t>
            </w:r>
          </w:p>
        </w:tc>
      </w:tr>
      <w:tr>
        <w:trPr>
          <w:cantSplit w:val="true"/>
        </w:trPr>
        <w:tc>
          <w:tcPr>
            <w:tcW w:type="dxa" w:w="576"/>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6</w:t>
            </w:r>
          </w:p>
        </w:tc>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Inspect and revise</w:t>
            </w:r>
          </w:p>
        </w:tc>
        <w:tc>
          <w:tcPr>
            <w:tcW w:type="dxa" w:w="727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The clinician opens the evidence behind one statement, then directly edits or regenerates one selected section.</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7</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Approve the version</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Approval records the exact message version used for the simulated send.</w:t>
            </w:r>
          </w:p>
        </w:tc>
      </w:tr>
      <w:tr>
        <w:trPr>
          <w:cantSplit w:val="true"/>
        </w:trPr>
        <w:tc>
          <w:tcPr>
            <w:tcW w:type="dxa" w:w="576"/>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8</w:t>
            </w:r>
          </w:p>
        </w:tc>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Simulate secure delivery</w:t>
            </w:r>
          </w:p>
        </w:tc>
        <w:tc>
          <w:tcPr>
            <w:tcW w:type="dxa" w:w="727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The prototype routes the approved message to a portal or email-style patient view without connecting to a live health system.</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9</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Record the result</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The queue status changes to Approved or Sent. Additional patient response states are optional after the core path works.</w:t>
            </w:r>
          </w:p>
        </w:tc>
      </w:tr>
    </w:tbl>
    <w:p>
      <w:pPr>
        <w:widowControl/>
        <w:spacing w:after="20"/>
        <w:jc w:val="left"/>
      </w:pPr>
    </w:p>
    <w:p>
      <w:pPr>
        <w:pStyle w:val="Heading1"/>
        <w:keepNext/>
        <w:pageBreakBefore w:val="0"/>
        <w:widowControl/>
        <w:jc w:val="left"/>
      </w:pPr>
      <w:r>
        <w:rPr>
          <w:rFonts w:ascii="Aptos Display" w:hAnsi="Aptos Display"/>
          <w:b/>
          <w:color w:val="000000"/>
          <w:sz w:val="29"/>
        </w:rPr>
        <w:t>4 Patient Outreach Specification</w:t>
      </w:r>
    </w:p>
    <w:p>
      <w:pPr>
        <w:keepNext w:val="0"/>
        <w:widowControl/>
        <w:spacing w:before="0" w:after="80"/>
        <w:jc w:val="left"/>
      </w:pPr>
      <w:r>
        <w:rPr>
          <w:rFonts w:ascii="Aptos" w:hAnsi="Aptos"/>
          <w:color w:val="000000"/>
          <w:sz w:val="21"/>
        </w:rPr>
        <w:t>The Duke portal study provides the clearest design evidence for the patient message: patients wanted to understand why the study related to them and wanted enough practical detail to judge whether a follow-up conversation was worthwhile. V3 therefore keeps the message scannable without reducing it to a few generic sentences. [R4][R5]</w:t>
      </w:r>
    </w:p>
    <w:p>
      <w:pPr>
        <w:pStyle w:val="Heading2"/>
        <w:keepNext/>
        <w:pageBreakBefore w:val="0"/>
        <w:widowControl/>
        <w:jc w:val="left"/>
      </w:pPr>
      <w:r>
        <w:rPr>
          <w:rFonts w:ascii="Aptos" w:hAnsi="Aptos"/>
          <w:b/>
          <w:color w:val="000000"/>
          <w:sz w:val="23"/>
        </w:rPr>
        <w:t>Required Structure of the Why Me Packet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val="true"/>
        </w:trPr>
        <w:tc>
          <w:tcPr>
            <w:tcW w:type="dxa" w:w="3024"/>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Section</w:t>
            </w:r>
          </w:p>
        </w:tc>
        <w:tc>
          <w:tcPr>
            <w:tcW w:type="dxa" w:w="7200"/>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What the message must do</w:t>
            </w:r>
          </w:p>
        </w:tc>
      </w:tr>
      <w:tr>
        <w:trPr>
          <w:cantSplit w:val="true"/>
        </w:trPr>
        <w:tc>
          <w:tcPr>
            <w:tcW w:type="dxa" w:w="3024"/>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Specific subject line</w:t>
            </w:r>
          </w:p>
        </w:tc>
        <w:tc>
          <w:tcPr>
            <w:tcW w:type="dxa" w:w="720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Identify the research topic clearly inside the approved channel without placing sensitive personalized detail in an ordinary email or text notification.</w:t>
            </w:r>
          </w:p>
        </w:tc>
      </w:tr>
      <w:tr>
        <w:trPr>
          <w:cantSplit w:val="true"/>
        </w:trPr>
        <w:tc>
          <w:tcPr>
            <w:tcW w:type="dxa" w:w="3024"/>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Why you are receiving this</w:t>
            </w:r>
          </w:p>
        </w:tc>
        <w:tc>
          <w:tcPr>
            <w:tcW w:type="dxa" w:w="720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Explain that the research team identified a study that may be relevant. State that outreach does not confirm eligibility or create an obligation to participate.</w:t>
            </w:r>
          </w:p>
        </w:tc>
      </w:tr>
      <w:tr>
        <w:trPr>
          <w:cantSplit w:val="true"/>
        </w:trPr>
        <w:tc>
          <w:tcPr>
            <w:tcW w:type="dxa" w:w="3024"/>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Why this may be relevant</w:t>
            </w:r>
          </w:p>
        </w:tc>
        <w:tc>
          <w:tcPr>
            <w:tcW w:type="dxa" w:w="720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Translate a small number of Azra-supplied match facts into cautious patient-facing language and attach source references for clinician review.</w:t>
            </w:r>
          </w:p>
        </w:tc>
      </w:tr>
      <w:tr>
        <w:trPr>
          <w:cantSplit w:val="true"/>
        </w:trPr>
        <w:tc>
          <w:tcPr>
            <w:tcW w:type="dxa" w:w="3024"/>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What the study is trying to learn</w:t>
            </w:r>
          </w:p>
        </w:tc>
        <w:tc>
          <w:tcPr>
            <w:tcW w:type="dxa" w:w="720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Explain the research question using authoritative study material rather than improvising from a trial title.</w:t>
            </w:r>
          </w:p>
        </w:tc>
      </w:tr>
      <w:tr>
        <w:trPr>
          <w:cantSplit w:val="true"/>
        </w:trPr>
        <w:tc>
          <w:tcPr>
            <w:tcW w:type="dxa" w:w="3024"/>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What participation may involve</w:t>
            </w:r>
          </w:p>
        </w:tc>
        <w:tc>
          <w:tcPr>
            <w:tcW w:type="dxa" w:w="720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Include supported details about visits, procedures, duration, in-person or virtual participation, location, compensation or reimbursement, and contact information.</w:t>
            </w:r>
          </w:p>
        </w:tc>
      </w:tr>
      <w:tr>
        <w:trPr>
          <w:cantSplit w:val="true"/>
        </w:trPr>
        <w:tc>
          <w:tcPr>
            <w:tcW w:type="dxa" w:w="3024"/>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Important things to know</w:t>
            </w:r>
          </w:p>
        </w:tc>
        <w:tc>
          <w:tcPr>
            <w:tcW w:type="dxa" w:w="720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State that participation is voluntary, declining does not affect normal care, final eligibility is not confirmed, and this message is not informed consent.</w:t>
            </w:r>
          </w:p>
        </w:tc>
      </w:tr>
      <w:tr>
        <w:trPr>
          <w:cantSplit w:val="true"/>
        </w:trPr>
        <w:tc>
          <w:tcPr>
            <w:tcW w:type="dxa" w:w="3024"/>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Questions to ask</w:t>
            </w:r>
          </w:p>
        </w:tc>
        <w:tc>
          <w:tcPr>
            <w:tcW w:type="dxa" w:w="720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Prepare the patient for a human conversation about procedures, visits, risks, alternatives, and who can answer questions.</w:t>
            </w:r>
          </w:p>
        </w:tc>
      </w:tr>
      <w:tr>
        <w:trPr>
          <w:cantSplit w:val="true"/>
        </w:trPr>
        <w:tc>
          <w:tcPr>
            <w:tcW w:type="dxa" w:w="3024"/>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Next step</w:t>
            </w:r>
          </w:p>
        </w:tc>
        <w:tc>
          <w:tcPr>
            <w:tcW w:type="dxa" w:w="720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Provide one approved contact or action for learning more. Interested, Not interested, and Learn more response choices are optional after the core path works.</w:t>
            </w:r>
          </w:p>
        </w:tc>
      </w:tr>
    </w:tbl>
    <w:p>
      <w:pPr>
        <w:widowControl/>
        <w:spacing w:after="20"/>
        <w:jc w:val="left"/>
      </w:pPr>
    </w:p>
    <w:p>
      <w:pPr>
        <w:keepNext w:val="0"/>
        <w:widowControl/>
        <w:spacing w:before="0" w:after="80"/>
        <w:jc w:val="left"/>
      </w:pPr>
      <w:r>
        <w:rPr>
          <w:rFonts w:ascii="Aptos" w:hAnsi="Aptos"/>
          <w:b/>
          <w:color w:val="000000"/>
          <w:sz w:val="21"/>
        </w:rPr>
        <w:t>Source limit:</w:t>
      </w:r>
      <w:r>
        <w:rPr>
          <w:rFonts w:ascii="Aptos" w:hAnsi="Aptos"/>
          <w:color w:val="000000"/>
          <w:sz w:val="21"/>
        </w:rPr>
        <w:t xml:space="preserve"> ClinicalTrials.gov can support purpose, design, eligibility, location, and other public study facts. It should not be treated as the complete source for detailed risk or benefit language. If an approved protocol, recruitment template, or consent material is not available, the prototype should omit that detail and direct the patient to the study team. [R9][R10][R21]</w:t>
      </w:r>
    </w:p>
    <w:p>
      <w:pPr>
        <w:pStyle w:val="Heading2"/>
        <w:keepNext/>
        <w:pageBreakBefore w:val="0"/>
        <w:widowControl/>
        <w:jc w:val="left"/>
      </w:pPr>
      <w:r>
        <w:rPr>
          <w:rFonts w:ascii="Aptos" w:hAnsi="Aptos"/>
          <w:b/>
          <w:color w:val="000000"/>
          <w:sz w:val="23"/>
        </w:rPr>
        <w:t>Plain Language Rules</w:t>
      </w:r>
    </w:p>
    <w:p>
      <w:pPr>
        <w:pStyle w:val="ListBullet"/>
        <w:keepNext w:val="0"/>
        <w:widowControl/>
        <w:spacing w:before="0" w:after="50" w:line="247" w:lineRule="auto"/>
        <w:jc w:val="left"/>
      </w:pPr>
      <w:r>
        <w:rPr>
          <w:rFonts w:ascii="Aptos" w:hAnsi="Aptos"/>
          <w:color w:val="000000"/>
          <w:sz w:val="20"/>
        </w:rPr>
        <w:t>Put the reason for the message first and use short descriptive headings.</w:t>
      </w:r>
    </w:p>
    <w:p>
      <w:pPr>
        <w:pStyle w:val="ListBullet"/>
        <w:keepNext w:val="0"/>
        <w:widowControl/>
        <w:spacing w:before="0" w:after="50" w:line="247" w:lineRule="auto"/>
        <w:jc w:val="left"/>
      </w:pPr>
      <w:r>
        <w:rPr>
          <w:rFonts w:ascii="Aptos" w:hAnsi="Aptos"/>
          <w:color w:val="000000"/>
          <w:sz w:val="20"/>
        </w:rPr>
        <w:t>Use active voice, common words, short paragraphs, and one main idea per sentence.</w:t>
      </w:r>
    </w:p>
    <w:p>
      <w:pPr>
        <w:pStyle w:val="ListBullet"/>
        <w:keepNext w:val="0"/>
        <w:widowControl/>
        <w:spacing w:before="0" w:after="50" w:line="247" w:lineRule="auto"/>
        <w:jc w:val="left"/>
      </w:pPr>
      <w:r>
        <w:rPr>
          <w:rFonts w:ascii="Aptos" w:hAnsi="Aptos"/>
          <w:color w:val="000000"/>
          <w:sz w:val="20"/>
        </w:rPr>
        <w:t>Define a necessary clinical term immediately and speak directly to the patient using you.</w:t>
      </w:r>
    </w:p>
    <w:p>
      <w:pPr>
        <w:pStyle w:val="ListBullet"/>
        <w:keepNext w:val="0"/>
        <w:widowControl/>
        <w:spacing w:before="0" w:after="50" w:line="247" w:lineRule="auto"/>
        <w:jc w:val="left"/>
      </w:pPr>
      <w:r>
        <w:rPr>
          <w:rFonts w:ascii="Aptos" w:hAnsi="Aptos"/>
          <w:color w:val="000000"/>
          <w:sz w:val="20"/>
        </w:rPr>
        <w:t>Never imply guaranteed benefit, final eligibility, or a clinical recommendation.</w:t>
      </w:r>
    </w:p>
    <w:p>
      <w:pPr>
        <w:pStyle w:val="ListBullet"/>
        <w:keepNext w:val="0"/>
        <w:widowControl/>
        <w:spacing w:before="0" w:after="50" w:line="247" w:lineRule="auto"/>
        <w:jc w:val="left"/>
      </w:pPr>
      <w:r>
        <w:rPr>
          <w:rFonts w:ascii="Aptos" w:hAnsi="Aptos"/>
          <w:color w:val="000000"/>
          <w:sz w:val="20"/>
        </w:rPr>
        <w:t>Never invent a risk, procedure, time commitment, diagnosis, treatment history, or benefit.</w:t>
      </w:r>
    </w:p>
    <w:p>
      <w:pPr>
        <w:pStyle w:val="ListBullet"/>
        <w:keepNext w:val="0"/>
        <w:widowControl/>
        <w:spacing w:before="0" w:after="50" w:line="247" w:lineRule="auto"/>
        <w:jc w:val="left"/>
      </w:pPr>
      <w:r>
        <w:rPr>
          <w:rFonts w:ascii="Aptos" w:hAnsi="Aptos"/>
          <w:color w:val="000000"/>
          <w:sz w:val="20"/>
        </w:rPr>
        <w:t>Distinguish research from standard clinical care and end with a clear next step.</w:t>
      </w:r>
    </w:p>
    <w:p>
      <w:pPr>
        <w:keepNext w:val="0"/>
        <w:widowControl/>
        <w:spacing w:before="0" w:after="80"/>
        <w:jc w:val="left"/>
      </w:pPr>
      <w:r>
        <w:rPr>
          <w:rFonts w:ascii="Aptos" w:hAnsi="Aptos"/>
          <w:color w:val="000000"/>
          <w:sz w:val="21"/>
        </w:rPr>
        <w:t>A 6th-8th grade reading estimate can be shown as a supporting check, but the team should not present a grade-level score as proof that a patient understands the message. [R15][R16][R17][R18]</w:t>
      </w:r>
    </w:p>
    <w:p>
      <w:pPr>
        <w:keepNext w:val="0"/>
        <w:widowControl/>
        <w:spacing w:before="0" w:after="80"/>
        <w:jc w:val="left"/>
      </w:pPr>
      <w:r>
        <w:rPr>
          <w:rFonts w:ascii="Aptos" w:hAnsi="Aptos"/>
          <w:color w:val="000000"/>
          <w:sz w:val="21"/>
        </w:rPr>
        <w:t>We should not add a comprehension quiz to the core experience. The useful outcome is a patient who understands why the team reached out and knows what to ask next.</w:t>
      </w:r>
    </w:p>
    <w:p>
      <w:pPr>
        <w:pStyle w:val="Heading1"/>
        <w:keepNext/>
        <w:pageBreakBefore w:val="0"/>
        <w:widowControl/>
        <w:jc w:val="left"/>
      </w:pPr>
      <w:r>
        <w:rPr>
          <w:rFonts w:ascii="Aptos Display" w:hAnsi="Aptos Display"/>
          <w:b/>
          <w:color w:val="000000"/>
          <w:sz w:val="29"/>
        </w:rPr>
        <w:t>5 Grounded Generation and Clinician Control</w:t>
      </w:r>
    </w:p>
    <w:p>
      <w:pPr>
        <w:keepNext w:val="0"/>
        <w:widowControl/>
        <w:spacing w:before="0" w:after="80"/>
        <w:jc w:val="left"/>
      </w:pPr>
      <w:r>
        <w:rPr>
          <w:rFonts w:ascii="Aptos" w:hAnsi="Aptos"/>
          <w:color w:val="000000"/>
          <w:sz w:val="21"/>
        </w:rPr>
        <w:t>The clinician view remains the main product differentiator. Azra already advertises criterion-level traceability, so the outreach feature should preserve that evidence instead of turning the message into an unexplained LLM output. [R1]</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val="true"/>
        </w:trPr>
        <w:tc>
          <w:tcPr>
            <w:tcW w:type="dxa" w:w="2376"/>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Control</w:t>
            </w:r>
          </w:p>
        </w:tc>
        <w:tc>
          <w:tcPr>
            <w:tcW w:type="dxa" w:w="7848"/>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V3 requirement</w:t>
            </w:r>
          </w:p>
        </w:tc>
      </w:tr>
      <w:tr>
        <w:trPr>
          <w:cantSplit w:val="true"/>
        </w:trPr>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Source coverage</w:t>
            </w:r>
          </w:p>
        </w:tc>
        <w:tc>
          <w:tcPr>
            <w:tcW w:type="dxa" w:w="78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Every patient-specific factual statement must return one or more patient, trial, or Azra match source IDs. The prototype target is 100 percent source coverage.</w:t>
            </w:r>
          </w:p>
        </w:tc>
      </w:tr>
      <w:tr>
        <w:trPr>
          <w:cantSplit w:val="true"/>
        </w:trPr>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No new eligibility decision</w:t>
            </w:r>
          </w:p>
        </w:tc>
        <w:tc>
          <w:tcPr>
            <w:tcW w:type="dxa" w:w="784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The prompt and interface must state that Azra supplied the potential match and that final eligibility remains with the study team.</w:t>
            </w:r>
          </w:p>
        </w:tc>
      </w:tr>
      <w:tr>
        <w:trPr>
          <w:cantSplit w:val="true"/>
        </w:trPr>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Bounded source pack</w:t>
            </w:r>
          </w:p>
        </w:tc>
        <w:tc>
          <w:tcPr>
            <w:tcW w:type="dxa" w:w="78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The model receives structured patient facts, trial facts, match evidence, and approved patient-facing material rather than a raw chart and an unrestricted prompt.</w:t>
            </w:r>
          </w:p>
        </w:tc>
      </w:tr>
      <w:tr>
        <w:trPr>
          <w:cantSplit w:val="true"/>
        </w:trPr>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Structured response</w:t>
            </w:r>
          </w:p>
        </w:tc>
        <w:tc>
          <w:tcPr>
            <w:tcW w:type="dxa" w:w="784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Each section returns an ID, heading, patient-facing text, and source references so the interface can validate and display it.</w:t>
            </w:r>
          </w:p>
        </w:tc>
      </w:tr>
      <w:tr>
        <w:trPr>
          <w:cantSplit w:val="true"/>
        </w:trPr>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Focused revision</w:t>
            </w:r>
          </w:p>
        </w:tc>
        <w:tc>
          <w:tcPr>
            <w:tcW w:type="dxa" w:w="78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The clinician can edit directly or regenerate one selected section without changing content that has already been reviewed.</w:t>
            </w:r>
          </w:p>
        </w:tc>
      </w:tr>
      <w:tr>
        <w:trPr>
          <w:cantSplit w:val="true"/>
        </w:trPr>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Approval lock</w:t>
            </w:r>
          </w:p>
        </w:tc>
        <w:tc>
          <w:tcPr>
            <w:tcW w:type="dxa" w:w="784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The system records or marks the exact approved version before simulated delivery.</w:t>
            </w:r>
          </w:p>
        </w:tc>
      </w:tr>
      <w:tr>
        <w:trPr>
          <w:cantSplit w:val="true"/>
        </w:trPr>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Missing information</w:t>
            </w:r>
          </w:p>
        </w:tc>
        <w:tc>
          <w:tcPr>
            <w:tcW w:type="dxa" w:w="78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If a required fact is absent, the model omits it or says that the study team can provide more information.</w:t>
            </w:r>
          </w:p>
        </w:tc>
      </w:tr>
    </w:tbl>
    <w:p>
      <w:pPr>
        <w:widowControl/>
        <w:spacing w:after="20"/>
        <w:jc w:val="left"/>
      </w:pPr>
    </w:p>
    <w:p>
      <w:pPr>
        <w:keepNext w:val="0"/>
        <w:widowControl/>
        <w:spacing w:before="0" w:after="80"/>
        <w:jc w:val="left"/>
      </w:pPr>
      <w:r>
        <w:rPr>
          <w:rFonts w:ascii="Aptos" w:hAnsi="Aptos"/>
          <w:color w:val="000000"/>
          <w:sz w:val="21"/>
        </w:rPr>
        <w:t>The model writes the phrasing. The supplied sources determine the facts. Human review remains mandatory because evidence on LLM simplification shows useful readability gains alongside model variability and occasional inaccuracies. [R18][R19]</w:t>
      </w:r>
    </w:p>
    <w:p>
      <w:pPr>
        <w:pStyle w:val="Heading1"/>
        <w:keepNext/>
        <w:pageBreakBefore w:val="0"/>
        <w:widowControl/>
        <w:jc w:val="left"/>
      </w:pPr>
      <w:r>
        <w:rPr>
          <w:rFonts w:ascii="Aptos Display" w:hAnsi="Aptos Display"/>
          <w:b/>
          <w:color w:val="000000"/>
          <w:sz w:val="29"/>
        </w:rPr>
        <w:t>6 Technical Implementation</w:t>
      </w:r>
    </w:p>
    <w:p>
      <w:pPr>
        <w:keepNext w:val="0"/>
        <w:widowControl/>
        <w:spacing w:before="0" w:after="80"/>
        <w:jc w:val="left"/>
      </w:pPr>
      <w:r>
        <w:rPr>
          <w:rFonts w:ascii="Aptos" w:hAnsi="Aptos"/>
          <w:color w:val="000000"/>
          <w:sz w:val="21"/>
        </w:rPr>
        <w:t>The prototype remains one vertical slice: one synthetic patient, one real public trial, one supplied match object, one clinician review path, and one patient-facing output.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val="true"/>
        </w:trPr>
        <w:tc>
          <w:tcPr>
            <w:tcW w:type="dxa" w:w="233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Component</w:t>
            </w:r>
          </w:p>
        </w:tc>
        <w:tc>
          <w:tcPr>
            <w:tcW w:type="dxa" w:w="7891"/>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Prototype approach</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Patient input</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Use one synthetic FHIR-shaped patient with only the facts needed for the selected trial and match explanation.</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Trial input</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Use one real ClinicalTrials.gov study and save a cached JSON response so Demo Day does not depend on the external API.</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Azra match evidence</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Create a realistic criterion-level object and label it as mock evidence representing Azra's existing prescreening output.</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Approved source pack</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Map each packet section to its allowed source. Use public trial data for supported facts and omit detailed risks or benefits without an approved source.</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Backend</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Use Flask, FastAPI, or Streamlit to load the fixtures, prepare the grounded prompt, call the model, validate the schema, and pass the result to the interface.</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LLM output</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Return structured JSON containing section IDs, headings, patient-facing text, and source references.</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Validation</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Reject or flag a response when a personalized factual statement lacks a source reference, the schema is invalid, or prohibited eligibility language appears.</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Front end</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Build a small clinician view and a clean patient view. Avoid a complex dashboard or document editor.</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Status tracking</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Use local JSON or memory for draft, review, approval, sent, and optional patient-response states.</w:t>
            </w:r>
          </w:p>
        </w:tc>
      </w:tr>
      <w:tr>
        <w:trPr>
          <w:cantSplit w:val="true"/>
        </w:trPr>
        <w:tc>
          <w:tcPr>
            <w:tcW w:type="dxa" w:w="233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Delivery</w:t>
            </w:r>
          </w:p>
        </w:tc>
        <w:tc>
          <w:tcPr>
            <w:tcW w:type="dxa" w:w="7891"/>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Simulate a channel adapter. The approved message can appear in a portal or email-style view without a live EHR or messaging connection.</w:t>
            </w:r>
          </w:p>
        </w:tc>
      </w:tr>
      <w:tr>
        <w:trPr>
          <w:cantSplit w:val="true"/>
        </w:trPr>
        <w:tc>
          <w:tcPr>
            <w:tcW w:type="dxa" w:w="233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FHIR boundary</w:t>
            </w:r>
          </w:p>
        </w:tc>
        <w:tc>
          <w:tcPr>
            <w:tcW w:type="dxa" w:w="7891"/>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Use FHIR-shaped patient data and show FHIR as a data/workflow layer. Do not describe FHIR as the protocol that sends the final patient message.</w:t>
            </w:r>
          </w:p>
        </w:tc>
      </w:tr>
    </w:tbl>
    <w:p>
      <w:pPr>
        <w:widowControl/>
        <w:spacing w:after="20"/>
        <w:jc w:val="left"/>
      </w:pPr>
    </w:p>
    <w:p>
      <w:pPr>
        <w:keepNext w:val="0"/>
        <w:widowControl/>
        <w:spacing w:before="0" w:after="80"/>
        <w:jc w:val="left"/>
      </w:pPr>
      <w:r>
        <w:rPr>
          <w:rFonts w:ascii="Aptos" w:hAnsi="Aptos"/>
          <w:b/>
          <w:color w:val="000000"/>
          <w:sz w:val="21"/>
        </w:rPr>
        <w:t>Delivery decision:</w:t>
      </w:r>
      <w:r>
        <w:rPr>
          <w:rFonts w:ascii="Aptos" w:hAnsi="Aptos"/>
          <w:color w:val="000000"/>
          <w:sz w:val="21"/>
        </w:rPr>
        <w:t xml:space="preserve"> Separate message generation from delivery. A strong production pattern is a generic email or text notification with no sensitive detail, followed by the full message inside an approved secure portal. The prototype should present this as one configurable pattern, not as the only valid channel. [R6][R7][R8][R13][R14][R29][R30]</w:t>
      </w:r>
    </w:p>
    <w:p>
      <w:pPr>
        <w:pStyle w:val="Heading1"/>
        <w:keepNext/>
        <w:pageBreakBefore w:val="0"/>
        <w:widowControl/>
        <w:jc w:val="left"/>
      </w:pPr>
      <w:r>
        <w:rPr>
          <w:rFonts w:ascii="Aptos Display" w:hAnsi="Aptos Display"/>
          <w:b/>
          <w:color w:val="000000"/>
          <w:sz w:val="29"/>
        </w:rPr>
        <w:t>7 Project Scope</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val="true"/>
        </w:trPr>
        <w:tc>
          <w:tcPr>
            <w:tcW w:type="dxa" w:w="34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6"/>
              </w:rPr>
              <w:t>Required by Thursday</w:t>
            </w:r>
          </w:p>
        </w:tc>
        <w:tc>
          <w:tcPr>
            <w:tcW w:type="dxa" w:w="3398"/>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6"/>
              </w:rPr>
              <w:t>Only if the core works</w:t>
            </w:r>
          </w:p>
        </w:tc>
        <w:tc>
          <w:tcPr>
            <w:tcW w:type="dxa" w:w="34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6"/>
              </w:rPr>
              <w:t>Out of scope this week</w:t>
            </w:r>
          </w:p>
        </w:tc>
      </w:tr>
      <w:tr>
        <w:trPr>
          <w:cantSplit w:val="true"/>
        </w:trPr>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One synthetic patient and one real trial</w:t>
            </w:r>
          </w:p>
        </w:tc>
        <w:tc>
          <w:tcPr>
            <w:tcW w:type="dxa" w:w="339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Readability estimate and language warnings</w:t>
            </w:r>
          </w:p>
        </w:tc>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New matching or eligibility model</w:t>
            </w:r>
          </w:p>
        </w:tc>
      </w:tr>
      <w:tr>
        <w:trPr>
          <w:cantSplit w:val="true"/>
        </w:trPr>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Cached trial JSON fallback</w:t>
            </w:r>
          </w:p>
        </w:tc>
        <w:tc>
          <w:tcPr>
            <w:tcW w:type="dxa" w:w="339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External notification preview</w:t>
            </w:r>
          </w:p>
        </w:tc>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Live EHR, FHIR, or portal integration</w:t>
            </w:r>
          </w:p>
        </w:tc>
      </w:tr>
      <w:tr>
        <w:trPr>
          <w:cantSplit w:val="true"/>
        </w:trPr>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Mock Azra criterion-level match evidence</w:t>
            </w:r>
          </w:p>
        </w:tc>
        <w:tc>
          <w:tcPr>
            <w:tcW w:type="dxa" w:w="339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Small version history</w:t>
            </w:r>
          </w:p>
        </w:tc>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Real patient data or PHI</w:t>
            </w:r>
          </w:p>
        </w:tc>
      </w:tr>
      <w:tr>
        <w:trPr>
          <w:cantSplit w:val="true"/>
        </w:trPr>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Structured grounded Why Me packet</w:t>
            </w:r>
          </w:p>
        </w:tc>
        <w:tc>
          <w:tcPr>
            <w:tcW w:type="dxa" w:w="339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Interested, Not interested, and Learn more responses</w:t>
            </w:r>
          </w:p>
        </w:tc>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Real email, text, or portal delivery</w:t>
            </w:r>
          </w:p>
        </w:tc>
      </w:tr>
      <w:tr>
        <w:trPr>
          <w:cantSplit w:val="true"/>
        </w:trPr>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Source links for every personalized fact</w:t>
            </w:r>
          </w:p>
        </w:tc>
        <w:tc>
          <w:tcPr>
            <w:tcW w:type="dxa" w:w="339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Language preference or translation concept</w:t>
            </w:r>
          </w:p>
        </w:tc>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Production HIPAA security infrastructure</w:t>
            </w:r>
          </w:p>
        </w:tc>
      </w:tr>
      <w:tr>
        <w:trPr>
          <w:cantSplit w:val="true"/>
        </w:trPr>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Clinician review, direct editing, and focused revision</w:t>
            </w:r>
          </w:p>
        </w:tc>
        <w:tc>
          <w:tcPr>
            <w:tcW w:type="dxa" w:w="339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Minor responsive interface polish</w:t>
            </w:r>
          </w:p>
        </w:tc>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Autonomous send without clinician approval</w:t>
            </w:r>
          </w:p>
        </w:tc>
      </w:tr>
      <w:tr>
        <w:trPr>
          <w:cantSplit w:val="true"/>
        </w:trPr>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Approval lock and simulated secure send</w:t>
            </w:r>
          </w:p>
        </w:tc>
        <w:tc>
          <w:tcPr>
            <w:tcW w:type="dxa" w:w="339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Second prebuilt mock patient status</w:t>
            </w:r>
          </w:p>
        </w:tc>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Consent replacement or electronic consent</w:t>
            </w:r>
          </w:p>
        </w:tc>
      </w:tr>
      <w:tr>
        <w:trPr>
          <w:cantSplit w:val="true"/>
        </w:trPr>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Patient view with a clear next step</w:t>
            </w:r>
          </w:p>
        </w:tc>
        <w:tc>
          <w:tcPr>
            <w:tcW w:type="dxa" w:w="339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r>
          </w:p>
        </w:tc>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IRB workflow software</w:t>
            </w:r>
          </w:p>
        </w:tc>
      </w:tr>
      <w:tr>
        <w:trPr>
          <w:cantSplit w:val="true"/>
        </w:trPr>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Queue status update and architecture diagram</w:t>
            </w:r>
          </w:p>
        </w:tc>
        <w:tc>
          <w:tcPr>
            <w:tcW w:type="dxa" w:w="339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r>
          </w:p>
        </w:tc>
        <w:tc>
          <w:tcPr>
            <w:tcW w:type="dxa" w:w="34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Risk or benefit generation from incomplete sources</w:t>
            </w:r>
          </w:p>
        </w:tc>
      </w:tr>
      <w:tr>
        <w:trPr>
          <w:cantSplit w:val="true"/>
        </w:trPr>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Synthetic data and final eligibility disclaimer</w:t>
            </w:r>
          </w:p>
        </w:tc>
        <w:tc>
          <w:tcPr>
            <w:tcW w:type="dxa" w:w="339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r>
          </w:p>
        </w:tc>
        <w:tc>
          <w:tcPr>
            <w:tcW w:type="dxa" w:w="34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Patient chatbot, medical advice, full CRM, or analytics dashboard</w:t>
            </w:r>
          </w:p>
        </w:tc>
      </w:tr>
    </w:tbl>
    <w:p>
      <w:pPr>
        <w:widowControl/>
        <w:spacing w:after="20"/>
        <w:jc w:val="left"/>
      </w:pPr>
    </w:p>
    <w:p>
      <w:pPr>
        <w:pStyle w:val="Heading1"/>
        <w:keepNext/>
        <w:pageBreakBefore w:val="0"/>
        <w:widowControl/>
        <w:jc w:val="left"/>
      </w:pPr>
      <w:r>
        <w:rPr>
          <w:rFonts w:ascii="Aptos Display" w:hAnsi="Aptos Display"/>
          <w:b/>
          <w:color w:val="000000"/>
          <w:sz w:val="29"/>
        </w:rPr>
        <w:t>8 Business Case and Success Measures</w:t>
      </w:r>
    </w:p>
    <w:p>
      <w:pPr>
        <w:keepNext w:val="0"/>
        <w:widowControl/>
        <w:spacing w:before="0" w:after="80"/>
        <w:jc w:val="left"/>
      </w:pPr>
      <w:r>
        <w:rPr>
          <w:rFonts w:ascii="Aptos" w:hAnsi="Aptos"/>
          <w:color w:val="000000"/>
          <w:sz w:val="21"/>
        </w:rPr>
        <w:t>The business case should describe what the prototype can demonstrate. It can show a more controlled way to prepare individualized outreach, but it cannot prove higher enrollment, better retention, fewer screen failures, improved consent, or a specific amount of staff time saved.</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val="true"/>
        </w:trPr>
        <w:tc>
          <w:tcPr>
            <w:tcW w:type="dxa" w:w="1655"/>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Stakeholder</w:t>
            </w:r>
          </w:p>
        </w:tc>
        <w:tc>
          <w:tcPr>
            <w:tcW w:type="dxa" w:w="4320"/>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Research supported need</w:t>
            </w:r>
          </w:p>
        </w:tc>
        <w:tc>
          <w:tcPr>
            <w:tcW w:type="dxa" w:w="4248"/>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What V3 demonstrates</w:t>
            </w:r>
          </w:p>
        </w:tc>
      </w:tr>
      <w:tr>
        <w:trPr>
          <w:cantSplit w:val="true"/>
        </w:trPr>
        <w:tc>
          <w:tcPr>
            <w:tcW w:type="dxa" w:w="1655"/>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Patient</w:t>
            </w:r>
          </w:p>
        </w:tc>
        <w:tc>
          <w:tcPr>
            <w:tcW w:type="dxa" w:w="432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Understand why the message was sent and receive enough practical detail to decide whether to engage. [R4][R5]</w:t>
            </w:r>
          </w:p>
        </w:tc>
        <w:tc>
          <w:tcPr>
            <w:tcW w:type="dxa" w:w="42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 structured plain-language invitation with a personal relevance explanation and a clear next step.</w:t>
            </w:r>
          </w:p>
        </w:tc>
      </w:tr>
      <w:tr>
        <w:trPr>
          <w:cantSplit w:val="true"/>
        </w:trPr>
        <w:tc>
          <w:tcPr>
            <w:tcW w:type="dxa" w:w="1655"/>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Clinician or research staff</w:t>
            </w:r>
          </w:p>
        </w:tc>
        <w:tc>
          <w:tcPr>
            <w:tcW w:type="dxa" w:w="432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Review accurate content without losing control of patient communication. [R18][R19]</w:t>
            </w:r>
          </w:p>
        </w:tc>
        <w:tc>
          <w:tcPr>
            <w:tcW w:type="dxa" w:w="424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Source visibility, focused revision, required approval, and an exact approved version.</w:t>
            </w:r>
          </w:p>
        </w:tc>
      </w:tr>
      <w:tr>
        <w:trPr>
          <w:cantSplit w:val="true"/>
        </w:trPr>
        <w:tc>
          <w:tcPr>
            <w:tcW w:type="dxa" w:w="1655"/>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Azra or research organization</w:t>
            </w:r>
          </w:p>
        </w:tc>
        <w:tc>
          <w:tcPr>
            <w:tcW w:type="dxa" w:w="432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Turn existing prescreening evidence into downstream action while working within approved communication workflows. [R1][R7]</w:t>
            </w:r>
          </w:p>
        </w:tc>
        <w:tc>
          <w:tcPr>
            <w:tcW w:type="dxa" w:w="42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 communication layer between the match and the patient conversation.</w:t>
            </w:r>
          </w:p>
        </w:tc>
      </w:tr>
    </w:tbl>
    <w:p>
      <w:pPr>
        <w:widowControl/>
        <w:spacing w:after="20"/>
        <w:jc w:val="left"/>
      </w:pPr>
    </w:p>
    <w:p>
      <w:pPr>
        <w:pStyle w:val="Heading2"/>
        <w:keepNext/>
        <w:pageBreakBefore w:val="0"/>
        <w:widowControl/>
        <w:jc w:val="left"/>
      </w:pPr>
      <w:r>
        <w:rPr>
          <w:rFonts w:ascii="Aptos" w:hAnsi="Aptos"/>
          <w:b/>
          <w:color w:val="000000"/>
          <w:sz w:val="23"/>
        </w:rPr>
        <w:t>Prototype Acceptance Measures</w:t>
      </w:r>
    </w:p>
    <w:p>
      <w:pPr>
        <w:pStyle w:val="ListBullet"/>
        <w:keepNext w:val="0"/>
        <w:widowControl/>
        <w:spacing w:before="0" w:after="50" w:line="247" w:lineRule="auto"/>
        <w:jc w:val="left"/>
      </w:pPr>
      <w:r>
        <w:rPr>
          <w:rFonts w:ascii="Aptos" w:hAnsi="Aptos"/>
          <w:color w:val="000000"/>
          <w:sz w:val="20"/>
        </w:rPr>
        <w:t>100 percent of patient-specific factual statements include one or more source references.</w:t>
      </w:r>
    </w:p>
    <w:p>
      <w:pPr>
        <w:pStyle w:val="ListBullet"/>
        <w:keepNext w:val="0"/>
        <w:widowControl/>
        <w:spacing w:before="0" w:after="50" w:line="247" w:lineRule="auto"/>
        <w:jc w:val="left"/>
      </w:pPr>
      <w:r>
        <w:rPr>
          <w:rFonts w:ascii="Aptos" w:hAnsi="Aptos"/>
          <w:color w:val="000000"/>
          <w:sz w:val="20"/>
        </w:rPr>
        <w:t>The generated message contains the required sections and avoids prohibited eligibility and benefit claims.</w:t>
      </w:r>
    </w:p>
    <w:p>
      <w:pPr>
        <w:pStyle w:val="ListBullet"/>
        <w:keepNext w:val="0"/>
        <w:widowControl/>
        <w:spacing w:before="0" w:after="50" w:line="247" w:lineRule="auto"/>
        <w:jc w:val="left"/>
      </w:pPr>
      <w:r>
        <w:rPr>
          <w:rFonts w:ascii="Aptos" w:hAnsi="Aptos"/>
          <w:color w:val="000000"/>
          <w:sz w:val="20"/>
        </w:rPr>
        <w:t>A clinician can inspect evidence, make one direct or focused revision, approve the exact version, and complete the simulated send.</w:t>
      </w:r>
    </w:p>
    <w:p>
      <w:pPr>
        <w:pStyle w:val="ListBullet"/>
        <w:keepNext w:val="0"/>
        <w:widowControl/>
        <w:spacing w:before="0" w:after="50" w:line="247" w:lineRule="auto"/>
        <w:jc w:val="left"/>
      </w:pPr>
      <w:r>
        <w:rPr>
          <w:rFonts w:ascii="Aptos" w:hAnsi="Aptos"/>
          <w:color w:val="000000"/>
          <w:sz w:val="20"/>
        </w:rPr>
        <w:t>The demo can run from cached patient, trial, match, and message data if an external service fails.</w:t>
      </w:r>
    </w:p>
    <w:p>
      <w:pPr>
        <w:pStyle w:val="Heading2"/>
        <w:keepNext/>
        <w:pageBreakBefore w:val="0"/>
        <w:widowControl/>
        <w:jc w:val="left"/>
      </w:pPr>
      <w:r>
        <w:rPr>
          <w:rFonts w:ascii="Aptos" w:hAnsi="Aptos"/>
          <w:b/>
          <w:color w:val="000000"/>
          <w:sz w:val="23"/>
        </w:rPr>
        <w:t>Future Pilot Measures</w:t>
      </w:r>
    </w:p>
    <w:p>
      <w:pPr>
        <w:pStyle w:val="ListBullet"/>
        <w:keepNext w:val="0"/>
        <w:widowControl/>
        <w:spacing w:before="0" w:after="50" w:line="247" w:lineRule="auto"/>
        <w:jc w:val="left"/>
      </w:pPr>
      <w:r>
        <w:rPr>
          <w:rFonts w:ascii="Aptos" w:hAnsi="Aptos"/>
          <w:color w:val="000000"/>
          <w:sz w:val="20"/>
        </w:rPr>
        <w:t>Clinician time from draft generation to approval, number and type of edits, and share of sections approved as written.</w:t>
      </w:r>
    </w:p>
    <w:p>
      <w:pPr>
        <w:pStyle w:val="ListBullet"/>
        <w:keepNext w:val="0"/>
        <w:widowControl/>
        <w:spacing w:before="0" w:after="50" w:line="247" w:lineRule="auto"/>
        <w:jc w:val="left"/>
      </w:pPr>
      <w:r>
        <w:rPr>
          <w:rFonts w:ascii="Aptos" w:hAnsi="Aptos"/>
          <w:color w:val="000000"/>
          <w:sz w:val="20"/>
        </w:rPr>
        <w:t>Patient-reported clarity and whether the patient understands why the study was sent to them.</w:t>
      </w:r>
    </w:p>
    <w:p>
      <w:pPr>
        <w:pStyle w:val="ListBullet"/>
        <w:keepNext w:val="0"/>
        <w:widowControl/>
        <w:spacing w:before="0" w:after="50" w:line="247" w:lineRule="auto"/>
        <w:jc w:val="left"/>
      </w:pPr>
      <w:r>
        <w:rPr>
          <w:rFonts w:ascii="Aptos" w:hAnsi="Aptos"/>
          <w:color w:val="000000"/>
          <w:sz w:val="20"/>
        </w:rPr>
        <w:t>Usability testing with representative patients, unexplained jargon, and reading complexity as a supporting measure.</w:t>
      </w:r>
    </w:p>
    <w:p>
      <w:pPr>
        <w:pStyle w:val="ListBullet"/>
        <w:keepNext w:val="0"/>
        <w:widowControl/>
        <w:spacing w:before="0" w:after="50" w:line="247" w:lineRule="auto"/>
        <w:jc w:val="left"/>
      </w:pPr>
      <w:r>
        <w:rPr>
          <w:rFonts w:ascii="Aptos" w:hAnsi="Aptos"/>
          <w:color w:val="000000"/>
          <w:sz w:val="20"/>
        </w:rPr>
        <w:t>Engagement by approved delivery channel without assuming that portal or email will perform best in every setting.</w:t>
      </w:r>
    </w:p>
    <w:p>
      <w:pPr>
        <w:keepNext w:val="0"/>
        <w:widowControl/>
        <w:spacing w:before="0" w:after="80"/>
        <w:jc w:val="left"/>
      </w:pPr>
      <w:r>
        <w:rPr>
          <w:rFonts w:ascii="Aptos" w:hAnsi="Aptos"/>
          <w:b/>
          <w:color w:val="000000"/>
          <w:sz w:val="21"/>
        </w:rPr>
        <w:t>Differentiation claim:</w:t>
      </w:r>
      <w:r>
        <w:rPr>
          <w:rFonts w:ascii="Aptos" w:hAnsi="Aptos"/>
          <w:color w:val="000000"/>
          <w:sz w:val="21"/>
        </w:rPr>
        <w:t xml:space="preserve"> Public competitor information supports trial simplification, automated outreach, and recruitment tracking as established patterns. We should describe criterion-level Why Me generation with clinician-visible provenance as a potential Azra differentiator, not claim that no competitor has ever built it.</w:t>
      </w:r>
    </w:p>
    <w:p>
      <w:pPr>
        <w:pStyle w:val="Heading1"/>
        <w:keepNext/>
        <w:pageBreakBefore w:val="0"/>
        <w:widowControl/>
        <w:jc w:val="left"/>
      </w:pPr>
      <w:r>
        <w:rPr>
          <w:rFonts w:ascii="Aptos Display" w:hAnsi="Aptos Display"/>
          <w:b/>
          <w:color w:val="000000"/>
          <w:sz w:val="29"/>
        </w:rPr>
        <w:t>9 Governance and Production Assumptions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val="true"/>
        </w:trPr>
        <w:tc>
          <w:tcPr>
            <w:tcW w:type="dxa" w:w="1800"/>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6"/>
              </w:rPr>
              <w:t>Area</w:t>
            </w:r>
          </w:p>
        </w:tc>
        <w:tc>
          <w:tcPr>
            <w:tcW w:type="dxa" w:w="4680"/>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6"/>
              </w:rPr>
              <w:t>Production direction</w:t>
            </w:r>
          </w:p>
        </w:tc>
        <w:tc>
          <w:tcPr>
            <w:tcW w:type="dxa" w:w="3744"/>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6"/>
              </w:rPr>
              <w:t>What the prototype does</w:t>
            </w:r>
          </w:p>
        </w:tc>
      </w:tr>
      <w:tr>
        <w:trPr>
          <w:cantSplit w:val="true"/>
        </w:trPr>
        <w:tc>
          <w:tcPr>
            <w:tcW w:type="dxa" w:w="180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Recruitment approval</w:t>
            </w:r>
          </w:p>
        </w:tc>
        <w:tc>
          <w:tcPr>
            <w:tcW w:type="dxa" w:w="468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Institution and study teams define approved templates, sources, and any required IRB review. [R7][R9][R10]</w:t>
            </w:r>
          </w:p>
        </w:tc>
        <w:tc>
          <w:tcPr>
            <w:tcW w:type="dxa" w:w="3744"/>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Shows a bounded source pack and an approval step without building IRB software.</w:t>
            </w:r>
          </w:p>
        </w:tc>
      </w:tr>
      <w:tr>
        <w:trPr>
          <w:cantSplit w:val="true"/>
        </w:trPr>
        <w:tc>
          <w:tcPr>
            <w:tcW w:type="dxa" w:w="180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Privacy and security</w:t>
            </w:r>
          </w:p>
        </w:tc>
        <w:tc>
          <w:tcPr>
            <w:tcW w:type="dxa" w:w="468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Azra and the health system would need approved enterprise model deployment, access controls, encryption, logging, retention rules, and vendor agreements where applicable. [R11][R12]</w:t>
            </w:r>
          </w:p>
        </w:tc>
        <w:tc>
          <w:tcPr>
            <w:tcW w:type="dxa" w:w="3744"/>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Uses only synthetic data and makes no HIPAA-compliance claim.</w:t>
            </w:r>
          </w:p>
        </w:tc>
      </w:tr>
      <w:tr>
        <w:trPr>
          <w:cantSplit w:val="true"/>
        </w:trPr>
        <w:tc>
          <w:tcPr>
            <w:tcW w:type="dxa" w:w="180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Delivery channel</w:t>
            </w:r>
          </w:p>
        </w:tc>
        <w:tc>
          <w:tcPr>
            <w:tcW w:type="dxa" w:w="468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The health system selects the allowed portal, email, SMS notification, or other channel and honors patient contact preferences. [R6][R7][R29][R30]</w:t>
            </w:r>
          </w:p>
        </w:tc>
        <w:tc>
          <w:tcPr>
            <w:tcW w:type="dxa" w:w="3744"/>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Simulates routing and keeps sensitive content out of the generic notification preview.</w:t>
            </w:r>
          </w:p>
        </w:tc>
      </w:tr>
      <w:tr>
        <w:trPr>
          <w:cantSplit w:val="true"/>
        </w:trPr>
        <w:tc>
          <w:tcPr>
            <w:tcW w:type="dxa" w:w="180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Clinical responsibility</w:t>
            </w:r>
          </w:p>
        </w:tc>
        <w:tc>
          <w:tcPr>
            <w:tcW w:type="dxa" w:w="468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The study team confirms eligibility, discusses risks and benefits, conducts consent, and makes final decisions.</w:t>
            </w:r>
          </w:p>
        </w:tc>
        <w:tc>
          <w:tcPr>
            <w:tcW w:type="dxa" w:w="3744"/>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Uses cautious language and requires clinician approval.</w:t>
            </w:r>
          </w:p>
        </w:tc>
      </w:tr>
    </w:tbl>
    <w:p>
      <w:pPr>
        <w:widowControl/>
        <w:spacing w:after="20"/>
        <w:jc w:val="left"/>
      </w:pPr>
    </w:p>
    <w:p>
      <w:pPr>
        <w:pStyle w:val="Heading1"/>
        <w:keepNext/>
        <w:pageBreakBefore w:val="0"/>
        <w:widowControl/>
        <w:jc w:val="left"/>
      </w:pPr>
      <w:r>
        <w:rPr>
          <w:rFonts w:ascii="Aptos Display" w:hAnsi="Aptos Display"/>
          <w:b/>
          <w:color w:val="000000"/>
          <w:sz w:val="29"/>
        </w:rPr>
        <w:t>10 Team Responsibilities</w:t>
      </w:r>
    </w:p>
    <w:p>
      <w:pPr>
        <w:keepNext w:val="0"/>
        <w:widowControl/>
        <w:spacing w:before="0" w:after="80"/>
        <w:jc w:val="left"/>
      </w:pPr>
      <w:r>
        <w:rPr>
          <w:rFonts w:ascii="Aptos" w:hAnsi="Aptos"/>
          <w:color w:val="000000"/>
          <w:sz w:val="21"/>
        </w:rPr>
        <w:t>The team still includes four business students and two computer science students. V3 keeps the same ownership model but adds explicit responsibility for source governance, validation, and research-supported claims.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val="true"/>
        </w:trPr>
        <w:tc>
          <w:tcPr>
            <w:tcW w:type="dxa" w:w="1080"/>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6"/>
              </w:rPr>
              <w:t>Owner</w:t>
            </w:r>
          </w:p>
        </w:tc>
        <w:tc>
          <w:tcPr>
            <w:tcW w:type="dxa" w:w="223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6"/>
              </w:rPr>
              <w:t>Primary responsibility</w:t>
            </w:r>
          </w:p>
        </w:tc>
        <w:tc>
          <w:tcPr>
            <w:tcW w:type="dxa" w:w="691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6"/>
              </w:rPr>
              <w:t>V3 tasks and handoff</w:t>
            </w:r>
          </w:p>
        </w:tc>
      </w:tr>
      <w:tr>
        <w:trPr>
          <w:cantSplit w:val="true"/>
        </w:trPr>
        <w:tc>
          <w:tcPr>
            <w:tcW w:type="dxa" w:w="108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Business 1</w:t>
            </w:r>
          </w:p>
        </w:tc>
        <w:tc>
          <w:tcPr>
            <w:tcW w:type="dxa" w:w="223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Problem stakeholders and claims</w:t>
            </w:r>
          </w:p>
        </w:tc>
        <w:tc>
          <w:tcPr>
            <w:tcW w:type="dxa" w:w="69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Maintain the product boundary, stakeholder value, defendable claims, and the distinction between prototype evidence and future outcomes. Coordinate with CS 1 on workflow requirements.</w:t>
            </w:r>
          </w:p>
        </w:tc>
      </w:tr>
      <w:tr>
        <w:trPr>
          <w:cantSplit w:val="true"/>
        </w:trPr>
        <w:tc>
          <w:tcPr>
            <w:tcW w:type="dxa" w:w="108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Business 2</w:t>
            </w:r>
          </w:p>
        </w:tc>
        <w:tc>
          <w:tcPr>
            <w:tcW w:type="dxa" w:w="223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Measures workflow and governance</w:t>
            </w:r>
          </w:p>
        </w:tc>
        <w:tc>
          <w:tcPr>
            <w:tcW w:type="dxa" w:w="69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Define prototype acceptance checks, future pilot measures, approval assumptions, delivery-channel language, and production questions. Coordinate with CS 2 on visible statuses and controls.</w:t>
            </w:r>
          </w:p>
        </w:tc>
      </w:tr>
      <w:tr>
        <w:trPr>
          <w:cantSplit w:val="true"/>
        </w:trPr>
        <w:tc>
          <w:tcPr>
            <w:tcW w:type="dxa" w:w="108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Business 3</w:t>
            </w:r>
          </w:p>
        </w:tc>
        <w:tc>
          <w:tcPr>
            <w:tcW w:type="dxa" w:w="223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Patient communication and source rules</w:t>
            </w:r>
          </w:p>
        </w:tc>
        <w:tc>
          <w:tcPr>
            <w:tcW w:type="dxa" w:w="69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Own the packet, plain-language checklist, example message, approved-source map, missing-information behavior, and final patient-content review. Work directly with CS 1.</w:t>
            </w:r>
          </w:p>
        </w:tc>
      </w:tr>
      <w:tr>
        <w:trPr>
          <w:cantSplit w:val="true"/>
        </w:trPr>
        <w:tc>
          <w:tcPr>
            <w:tcW w:type="dxa" w:w="108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Business 4</w:t>
            </w:r>
          </w:p>
        </w:tc>
        <w:tc>
          <w:tcPr>
            <w:tcW w:type="dxa" w:w="223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Presentation demo and integration</w:t>
            </w:r>
          </w:p>
        </w:tc>
        <w:tc>
          <w:tcPr>
            <w:tcW w:type="dxa" w:w="69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Own the deck, research citations, demo narration, transitions, screenshots, backup flow, and alignment between the presentation and prototype.</w:t>
            </w:r>
          </w:p>
        </w:tc>
      </w:tr>
      <w:tr>
        <w:trPr>
          <w:cantSplit w:val="true"/>
        </w:trPr>
        <w:tc>
          <w:tcPr>
            <w:tcW w:type="dxa" w:w="108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CS 1</w:t>
            </w:r>
          </w:p>
        </w:tc>
        <w:tc>
          <w:tcPr>
            <w:tcW w:type="dxa" w:w="223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Data generation and validation</w:t>
            </w:r>
          </w:p>
        </w:tc>
        <w:tc>
          <w:tcPr>
            <w:tcW w:type="dxa" w:w="691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6"/>
              </w:rPr>
              <w:t>Build synthetic patient data, cached real-trial data, mock Azra evidence, source pack, structured prompt and response, source-coverage validation, and targeted regeneration.</w:t>
            </w:r>
          </w:p>
        </w:tc>
      </w:tr>
      <w:tr>
        <w:trPr>
          <w:cantSplit w:val="true"/>
        </w:trPr>
        <w:tc>
          <w:tcPr>
            <w:tcW w:type="dxa" w:w="108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CS 2</w:t>
            </w:r>
          </w:p>
        </w:tc>
        <w:tc>
          <w:tcPr>
            <w:tcW w:type="dxa" w:w="223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Clinician and patient workflow</w:t>
            </w:r>
          </w:p>
        </w:tc>
        <w:tc>
          <w:tcPr>
            <w:tcW w:type="dxa" w:w="691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6"/>
              </w:rPr>
              <w:t>Build the queue, evidence view, editing and approval controls, approved-version state, simulated channel handoff, patient view, and status updates.</w:t>
            </w:r>
          </w:p>
        </w:tc>
      </w:tr>
    </w:tbl>
    <w:p>
      <w:pPr>
        <w:widowControl/>
        <w:spacing w:after="20"/>
        <w:jc w:val="left"/>
      </w:pPr>
    </w:p>
    <w:p>
      <w:pPr>
        <w:keepNext w:val="0"/>
        <w:widowControl/>
        <w:spacing w:before="0" w:after="80"/>
        <w:jc w:val="left"/>
      </w:pPr>
      <w:r>
        <w:rPr>
          <w:rFonts w:ascii="Aptos" w:hAnsi="Aptos"/>
          <w:b/>
          <w:color w:val="000000"/>
          <w:sz w:val="21"/>
        </w:rPr>
        <w:t>Shared responsibility:</w:t>
      </w:r>
      <w:r>
        <w:rPr>
          <w:rFonts w:ascii="Aptos" w:hAnsi="Aptos"/>
          <w:color w:val="000000"/>
          <w:sz w:val="21"/>
        </w:rPr>
        <w:t xml:space="preserve"> The full team should run a short daily alignment check. Any change to scope, source rules, message structure, or claims must be reflected in the prototype, deck, and demo script on the same day.</w:t>
      </w:r>
    </w:p>
    <w:p>
      <w:pPr>
        <w:pStyle w:val="Heading1"/>
        <w:keepNext/>
        <w:pageBreakBefore w:val="0"/>
        <w:widowControl/>
        <w:jc w:val="left"/>
      </w:pPr>
      <w:r>
        <w:rPr>
          <w:rFonts w:ascii="Aptos Display" w:hAnsi="Aptos Display"/>
          <w:b/>
          <w:color w:val="000000"/>
          <w:sz w:val="29"/>
        </w:rPr>
        <w:t>11 Tuesday Through Friday Plan</w:t>
      </w:r>
    </w:p>
    <w:p>
      <w:pPr>
        <w:pStyle w:val="Heading2"/>
        <w:keepNext/>
        <w:pageBreakBefore w:val="0"/>
        <w:widowControl/>
        <w:jc w:val="left"/>
      </w:pPr>
      <w:r>
        <w:rPr>
          <w:rFonts w:ascii="Aptos" w:hAnsi="Aptos"/>
          <w:b/>
          <w:color w:val="000000"/>
          <w:sz w:val="23"/>
        </w:rPr>
        <w:t>Tuesday Freeze the Design Based on Research</w:t>
      </w:r>
    </w:p>
    <w:p>
      <w:pPr>
        <w:pStyle w:val="ListBullet"/>
        <w:keepNext w:val="0"/>
        <w:widowControl/>
        <w:spacing w:before="0" w:after="50" w:line="247" w:lineRule="auto"/>
        <w:jc w:val="left"/>
      </w:pPr>
      <w:r>
        <w:rPr>
          <w:rFonts w:ascii="Aptos" w:hAnsi="Aptos"/>
          <w:color w:val="000000"/>
          <w:sz w:val="20"/>
        </w:rPr>
        <w:t>Full team: approve the V3 product definition, required packet sections, source hierarchy, claims, required features, and out-of-scope list.</w:t>
      </w:r>
    </w:p>
    <w:p>
      <w:pPr>
        <w:pStyle w:val="ListBullet"/>
        <w:keepNext w:val="0"/>
        <w:widowControl/>
        <w:spacing w:before="0" w:after="50" w:line="247" w:lineRule="auto"/>
        <w:jc w:val="left"/>
      </w:pPr>
      <w:r>
        <w:rPr>
          <w:rFonts w:ascii="Aptos" w:hAnsi="Aptos"/>
          <w:color w:val="000000"/>
          <w:sz w:val="20"/>
        </w:rPr>
        <w:t>Business 1 and 2: finalize the defendable business claims, acceptance measures, governance assumptions, and delivery-channel language.</w:t>
      </w:r>
    </w:p>
    <w:p>
      <w:pPr>
        <w:pStyle w:val="ListBullet"/>
        <w:keepNext w:val="0"/>
        <w:widowControl/>
        <w:spacing w:before="0" w:after="50" w:line="247" w:lineRule="auto"/>
        <w:jc w:val="left"/>
      </w:pPr>
      <w:r>
        <w:rPr>
          <w:rFonts w:ascii="Aptos" w:hAnsi="Aptos"/>
          <w:color w:val="000000"/>
          <w:sz w:val="20"/>
        </w:rPr>
        <w:t>Business 3: select the patient-facing source material and write the target message using the plain-language rules and missing-information limits.</w:t>
      </w:r>
    </w:p>
    <w:p>
      <w:pPr>
        <w:pStyle w:val="ListBullet"/>
        <w:keepNext w:val="0"/>
        <w:widowControl/>
        <w:spacing w:before="0" w:after="50" w:line="247" w:lineRule="auto"/>
        <w:jc w:val="left"/>
      </w:pPr>
      <w:r>
        <w:rPr>
          <w:rFonts w:ascii="Aptos" w:hAnsi="Aptos"/>
          <w:color w:val="000000"/>
          <w:sz w:val="20"/>
        </w:rPr>
        <w:t>Business 4: revise the deck outline so each major recommendation has a research basis and a clear owner.</w:t>
      </w:r>
    </w:p>
    <w:p>
      <w:pPr>
        <w:pStyle w:val="ListBullet"/>
        <w:keepNext w:val="0"/>
        <w:widowControl/>
        <w:spacing w:before="0" w:after="50" w:line="247" w:lineRule="auto"/>
        <w:jc w:val="left"/>
      </w:pPr>
      <w:r>
        <w:rPr>
          <w:rFonts w:ascii="Aptos" w:hAnsi="Aptos"/>
          <w:color w:val="000000"/>
          <w:sz w:val="20"/>
        </w:rPr>
        <w:t>CS 1: select one real ClinicalTrials.gov study, save a cached response, finalize synthetic patient and mock Azra evidence, and define the structured input and output schema.</w:t>
      </w:r>
    </w:p>
    <w:p>
      <w:pPr>
        <w:pStyle w:val="ListBullet"/>
        <w:keepNext w:val="0"/>
        <w:widowControl/>
        <w:spacing w:before="0" w:after="50" w:line="247" w:lineRule="auto"/>
        <w:jc w:val="left"/>
      </w:pPr>
      <w:r>
        <w:rPr>
          <w:rFonts w:ascii="Aptos" w:hAnsi="Aptos"/>
          <w:color w:val="000000"/>
          <w:sz w:val="20"/>
        </w:rPr>
        <w:t>CS 2: build the queue, source review screen, clinician draft view, and patient view with placeholder data.</w:t>
      </w:r>
    </w:p>
    <w:p>
      <w:pPr>
        <w:pStyle w:val="ListBullet"/>
        <w:keepNext w:val="0"/>
        <w:widowControl/>
        <w:spacing w:before="0" w:after="50" w:line="247" w:lineRule="auto"/>
        <w:jc w:val="left"/>
      </w:pPr>
      <w:r>
        <w:rPr>
          <w:rFonts w:ascii="Aptos" w:hAnsi="Aptos"/>
          <w:color w:val="000000"/>
          <w:sz w:val="20"/>
        </w:rPr>
        <w:t>CS team: connect patient selection to a generated structured draft before the end of the day.</w:t>
      </w:r>
    </w:p>
    <w:p>
      <w:pPr>
        <w:keepNext w:val="0"/>
        <w:widowControl/>
        <w:spacing w:before="0" w:after="80"/>
        <w:jc w:val="left"/>
      </w:pPr>
      <w:r>
        <w:rPr>
          <w:rFonts w:ascii="Aptos" w:hAnsi="Aptos"/>
          <w:b/>
          <w:color w:val="000000"/>
          <w:sz w:val="21"/>
        </w:rPr>
        <w:t>Tuesday goal:</w:t>
      </w:r>
      <w:r>
        <w:rPr>
          <w:rFonts w:ascii="Aptos" w:hAnsi="Aptos"/>
          <w:color w:val="000000"/>
          <w:sz w:val="21"/>
        </w:rPr>
        <w:t xml:space="preserve"> The team has one frozen vertical slice, a fixed source hierarchy, and a basic generation path that can run from local fixtures.</w:t>
      </w:r>
    </w:p>
    <w:p>
      <w:pPr>
        <w:pStyle w:val="Heading2"/>
        <w:keepNext/>
        <w:pageBreakBefore w:val="0"/>
        <w:widowControl/>
        <w:jc w:val="left"/>
      </w:pPr>
      <w:r>
        <w:rPr>
          <w:rFonts w:ascii="Aptos" w:hAnsi="Aptos"/>
          <w:b/>
          <w:color w:val="000000"/>
          <w:sz w:val="23"/>
        </w:rPr>
        <w:t>Wednesday Build the Controls and Evidence</w:t>
      </w:r>
    </w:p>
    <w:p>
      <w:pPr>
        <w:pStyle w:val="ListBullet"/>
        <w:keepNext w:val="0"/>
        <w:widowControl/>
        <w:spacing w:before="0" w:after="50" w:line="247" w:lineRule="auto"/>
        <w:jc w:val="left"/>
      </w:pPr>
      <w:r>
        <w:rPr>
          <w:rFonts w:ascii="Aptos" w:hAnsi="Aptos"/>
          <w:color w:val="000000"/>
          <w:sz w:val="20"/>
        </w:rPr>
        <w:t>CS 1: complete source references, schema validation, prohibited-language checks, cached fallback, and focused section regeneration.</w:t>
      </w:r>
    </w:p>
    <w:p>
      <w:pPr>
        <w:pStyle w:val="ListBullet"/>
        <w:keepNext w:val="0"/>
        <w:widowControl/>
        <w:spacing w:before="0" w:after="50" w:line="247" w:lineRule="auto"/>
        <w:jc w:val="left"/>
      </w:pPr>
      <w:r>
        <w:rPr>
          <w:rFonts w:ascii="Aptos" w:hAnsi="Aptos"/>
          <w:color w:val="000000"/>
          <w:sz w:val="20"/>
        </w:rPr>
        <w:t>CS 2: complete evidence-on-demand, direct editing, approval state, approved-version lock, simulated send, and queue status changes.</w:t>
      </w:r>
    </w:p>
    <w:p>
      <w:pPr>
        <w:pStyle w:val="ListBullet"/>
        <w:keepNext w:val="0"/>
        <w:widowControl/>
        <w:spacing w:before="0" w:after="50" w:line="247" w:lineRule="auto"/>
        <w:jc w:val="left"/>
      </w:pPr>
      <w:r>
        <w:rPr>
          <w:rFonts w:ascii="Aptos" w:hAnsi="Aptos"/>
          <w:color w:val="000000"/>
          <w:sz w:val="20"/>
        </w:rPr>
        <w:t>Business 3: test the output against the required packet and language rules, then document any unsupported or unclear wording.</w:t>
      </w:r>
    </w:p>
    <w:p>
      <w:pPr>
        <w:pStyle w:val="ListBullet"/>
        <w:keepNext w:val="0"/>
        <w:widowControl/>
        <w:spacing w:before="0" w:after="50" w:line="247" w:lineRule="auto"/>
        <w:jc w:val="left"/>
      </w:pPr>
      <w:r>
        <w:rPr>
          <w:rFonts w:ascii="Aptos" w:hAnsi="Aptos"/>
          <w:color w:val="000000"/>
          <w:sz w:val="20"/>
        </w:rPr>
        <w:t>Business 1 and 2: verify every presentation claim against the research findings and separate prototype evidence from future pilot outcomes.</w:t>
      </w:r>
    </w:p>
    <w:p>
      <w:pPr>
        <w:pStyle w:val="ListBullet"/>
        <w:keepNext w:val="0"/>
        <w:widowControl/>
        <w:spacing w:before="0" w:after="50" w:line="247" w:lineRule="auto"/>
        <w:jc w:val="left"/>
      </w:pPr>
      <w:r>
        <w:rPr>
          <w:rFonts w:ascii="Aptos" w:hAnsi="Aptos"/>
          <w:color w:val="000000"/>
          <w:sz w:val="20"/>
        </w:rPr>
        <w:t>Business 4: add real screenshots, the research-backed architecture, and the exact clinician-to-patient demo sequence to the deck.</w:t>
      </w:r>
    </w:p>
    <w:p>
      <w:pPr>
        <w:pStyle w:val="ListBullet"/>
        <w:keepNext w:val="0"/>
        <w:widowControl/>
        <w:spacing w:before="0" w:after="50" w:line="247" w:lineRule="auto"/>
        <w:jc w:val="left"/>
      </w:pPr>
      <w:r>
        <w:rPr>
          <w:rFonts w:ascii="Aptos" w:hAnsi="Aptos"/>
          <w:color w:val="000000"/>
          <w:sz w:val="20"/>
        </w:rPr>
        <w:t>Full team: confirm that every patient-specific fact is traceable and that the patient view contains no clinician-only source metadata.</w:t>
      </w:r>
    </w:p>
    <w:p>
      <w:pPr>
        <w:keepNext w:val="0"/>
        <w:widowControl/>
        <w:spacing w:before="0" w:after="80"/>
        <w:jc w:val="left"/>
      </w:pPr>
      <w:r>
        <w:rPr>
          <w:rFonts w:ascii="Aptos" w:hAnsi="Aptos"/>
          <w:b/>
          <w:color w:val="000000"/>
          <w:sz w:val="21"/>
        </w:rPr>
        <w:t>Wednesday goal:</w:t>
      </w:r>
      <w:r>
        <w:rPr>
          <w:rFonts w:ascii="Aptos" w:hAnsi="Aptos"/>
          <w:color w:val="000000"/>
          <w:sz w:val="21"/>
        </w:rPr>
        <w:t xml:space="preserve"> Every required control works in some form, the source-coverage check passes, and the prototype and business story make the same claims.</w:t>
      </w:r>
    </w:p>
    <w:p>
      <w:pPr>
        <w:pStyle w:val="Heading2"/>
        <w:keepNext/>
        <w:pageBreakBefore w:val="0"/>
        <w:widowControl/>
        <w:jc w:val="left"/>
      </w:pPr>
      <w:r>
        <w:rPr>
          <w:rFonts w:ascii="Aptos" w:hAnsi="Aptos"/>
          <w:b/>
          <w:color w:val="000000"/>
          <w:sz w:val="23"/>
        </w:rPr>
        <w:t>Thursday Freeze Test and Rehearse</w:t>
      </w:r>
    </w:p>
    <w:p>
      <w:pPr>
        <w:pStyle w:val="ListBullet"/>
        <w:keepNext w:val="0"/>
        <w:widowControl/>
        <w:spacing w:before="0" w:after="50" w:line="247" w:lineRule="auto"/>
        <w:jc w:val="left"/>
      </w:pPr>
      <w:r>
        <w:rPr>
          <w:rFonts w:ascii="Aptos" w:hAnsi="Aptos"/>
          <w:color w:val="000000"/>
          <w:sz w:val="20"/>
        </w:rPr>
        <w:t>Freeze features in the morning. Add no new subsystem after the freeze.</w:t>
      </w:r>
    </w:p>
    <w:p>
      <w:pPr>
        <w:pStyle w:val="ListBullet"/>
        <w:keepNext w:val="0"/>
        <w:widowControl/>
        <w:spacing w:before="0" w:after="50" w:line="247" w:lineRule="auto"/>
        <w:jc w:val="left"/>
      </w:pPr>
      <w:r>
        <w:rPr>
          <w:rFonts w:ascii="Aptos" w:hAnsi="Aptos"/>
          <w:color w:val="000000"/>
          <w:sz w:val="20"/>
        </w:rPr>
        <w:t>CS team: harden the main path, error states, cached fallback, and backup demo. Fix only defects that affect clarity, reliability, or evidence.</w:t>
      </w:r>
    </w:p>
    <w:p>
      <w:pPr>
        <w:pStyle w:val="ListBullet"/>
        <w:keepNext w:val="0"/>
        <w:widowControl/>
        <w:spacing w:before="0" w:after="50" w:line="247" w:lineRule="auto"/>
        <w:jc w:val="left"/>
      </w:pPr>
      <w:r>
        <w:rPr>
          <w:rFonts w:ascii="Aptos" w:hAnsi="Aptos"/>
          <w:color w:val="000000"/>
          <w:sz w:val="20"/>
        </w:rPr>
        <w:t>Business team: finish the slides, remove unsupported claims, confirm citation labels, and reduce dense text.</w:t>
      </w:r>
    </w:p>
    <w:p>
      <w:pPr>
        <w:pStyle w:val="ListBullet"/>
        <w:keepNext w:val="0"/>
        <w:widowControl/>
        <w:spacing w:before="0" w:after="50" w:line="247" w:lineRule="auto"/>
        <w:jc w:val="left"/>
      </w:pPr>
      <w:r>
        <w:rPr>
          <w:rFonts w:ascii="Aptos" w:hAnsi="Aptos"/>
          <w:color w:val="000000"/>
          <w:sz w:val="20"/>
        </w:rPr>
        <w:t>Business 3 and CS 1: complete the final patient-message and source-link review.</w:t>
      </w:r>
    </w:p>
    <w:p>
      <w:pPr>
        <w:pStyle w:val="ListBullet"/>
        <w:keepNext w:val="0"/>
        <w:widowControl/>
        <w:spacing w:before="0" w:after="50" w:line="247" w:lineRule="auto"/>
        <w:jc w:val="left"/>
      </w:pPr>
      <w:r>
        <w:rPr>
          <w:rFonts w:ascii="Aptos" w:hAnsi="Aptos"/>
          <w:color w:val="000000"/>
          <w:sz w:val="20"/>
        </w:rPr>
        <w:t>Business 2 and CS 2: verify approval, version state, delivery language, and queue status behavior.</w:t>
      </w:r>
    </w:p>
    <w:p>
      <w:pPr>
        <w:pStyle w:val="ListBullet"/>
        <w:keepNext w:val="0"/>
        <w:widowControl/>
        <w:spacing w:before="0" w:after="50" w:line="247" w:lineRule="auto"/>
        <w:jc w:val="left"/>
      </w:pPr>
      <w:r>
        <w:rPr>
          <w:rFonts w:ascii="Aptos" w:hAnsi="Aptos"/>
          <w:color w:val="000000"/>
          <w:sz w:val="20"/>
        </w:rPr>
        <w:t>Full team: run at least two timed rehearsals and record every confusing statement or failure point.</w:t>
      </w:r>
    </w:p>
    <w:p>
      <w:pPr>
        <w:keepNext w:val="0"/>
        <w:widowControl/>
        <w:spacing w:before="0" w:after="80"/>
        <w:jc w:val="left"/>
      </w:pPr>
      <w:r>
        <w:rPr>
          <w:rFonts w:ascii="Aptos" w:hAnsi="Aptos"/>
          <w:b/>
          <w:color w:val="000000"/>
          <w:sz w:val="21"/>
        </w:rPr>
        <w:t>Thursday goal:</w:t>
      </w:r>
      <w:r>
        <w:rPr>
          <w:rFonts w:ascii="Aptos" w:hAnsi="Aptos"/>
          <w:color w:val="000000"/>
          <w:sz w:val="21"/>
        </w:rPr>
        <w:t xml:space="preserve"> The prototype, slides, cached fallback, and backup visuals are complete, and the team can finish the presentation within the allotted time.</w:t>
      </w:r>
    </w:p>
    <w:p>
      <w:pPr>
        <w:pStyle w:val="Heading2"/>
        <w:keepNext/>
        <w:pageBreakBefore w:val="0"/>
        <w:widowControl/>
        <w:jc w:val="left"/>
      </w:pPr>
      <w:r>
        <w:rPr>
          <w:rFonts w:ascii="Aptos" w:hAnsi="Aptos"/>
          <w:b/>
          <w:color w:val="000000"/>
          <w:sz w:val="23"/>
        </w:rPr>
        <w:t>Friday Present the Evidence Backed Story</w:t>
      </w:r>
    </w:p>
    <w:p>
      <w:pPr>
        <w:pStyle w:val="ListBullet"/>
        <w:keepNext w:val="0"/>
        <w:widowControl/>
        <w:spacing w:before="0" w:after="50" w:line="247" w:lineRule="auto"/>
        <w:jc w:val="left"/>
      </w:pPr>
      <w:r>
        <w:rPr>
          <w:rFonts w:ascii="Aptos" w:hAnsi="Aptos"/>
          <w:color w:val="000000"/>
          <w:sz w:val="20"/>
        </w:rPr>
        <w:t>Make only critical fixes and run one brief technical check of the prototype, credentials, browser, display, and backup files.</w:t>
      </w:r>
    </w:p>
    <w:p>
      <w:pPr>
        <w:pStyle w:val="ListBullet"/>
        <w:keepNext w:val="0"/>
        <w:widowControl/>
        <w:spacing w:before="0" w:after="50" w:line="247" w:lineRule="auto"/>
        <w:jc w:val="left"/>
      </w:pPr>
      <w:r>
        <w:rPr>
          <w:rFonts w:ascii="Aptos" w:hAnsi="Aptos"/>
          <w:color w:val="000000"/>
          <w:sz w:val="20"/>
        </w:rPr>
        <w:t>Complete one final rehearsal focused on handoffs, timing, and the transition into the demo.</w:t>
      </w:r>
    </w:p>
    <w:p>
      <w:pPr>
        <w:pStyle w:val="ListBullet"/>
        <w:keepNext w:val="0"/>
        <w:widowControl/>
        <w:spacing w:before="0" w:after="50" w:line="247" w:lineRule="auto"/>
        <w:jc w:val="left"/>
      </w:pPr>
      <w:r>
        <w:rPr>
          <w:rFonts w:ascii="Aptos" w:hAnsi="Aptos"/>
          <w:color w:val="000000"/>
          <w:sz w:val="20"/>
        </w:rPr>
        <w:t>Explain first that Azra supplied the potential match, then show how the evidence becomes a reviewed patient message.</w:t>
      </w:r>
    </w:p>
    <w:p>
      <w:pPr>
        <w:pStyle w:val="ListBullet"/>
        <w:keepNext w:val="0"/>
        <w:widowControl/>
        <w:spacing w:before="0" w:after="50" w:line="247" w:lineRule="auto"/>
        <w:jc w:val="left"/>
      </w:pPr>
      <w:r>
        <w:rPr>
          <w:rFonts w:ascii="Aptos" w:hAnsi="Aptos"/>
          <w:color w:val="000000"/>
          <w:sz w:val="20"/>
        </w:rPr>
        <w:t>During questions, distinguish what the prototype demonstrates from what would require a real pilot, security review, approved workflow, or IRB determination.</w:t>
      </w:r>
    </w:p>
    <w:p>
      <w:pPr>
        <w:pStyle w:val="Heading1"/>
        <w:keepNext/>
        <w:pageBreakBefore w:val="0"/>
        <w:widowControl/>
        <w:jc w:val="left"/>
      </w:pPr>
      <w:r>
        <w:rPr>
          <w:rFonts w:ascii="Aptos Display" w:hAnsi="Aptos Display"/>
          <w:b/>
          <w:color w:val="000000"/>
          <w:sz w:val="29"/>
        </w:rPr>
        <w:t>12 Recommended Demo Sequence</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27"/>
        <w:gridCol w:w="3427"/>
        <w:gridCol w:w="3427"/>
      </w:tblGrid>
      <w:tr>
        <w:trPr>
          <w:tblHeader w:val="true"/>
          <w:cantSplit w:val="true"/>
        </w:trPr>
        <w:tc>
          <w:tcPr>
            <w:tcW w:type="dxa" w:w="576"/>
            <w:vAlign w:val="center"/>
            <w:tcMar>
              <w:top w:w="85" w:type="dxa"/>
              <w:start w:w="95" w:type="dxa"/>
              <w:bottom w:w="85" w:type="dxa"/>
              <w:end w:w="95" w:type="dxa"/>
            </w:tcMar>
            <w:shd w:fill="353535"/>
          </w:tcPr>
          <w:p>
            <w:pPr>
              <w:spacing w:before="0" w:after="0" w:line="240" w:lineRule="auto"/>
              <w:jc w:val="center"/>
            </w:pPr>
            <w:r>
              <w:rPr>
                <w:rFonts w:ascii="Aptos" w:hAnsi="Aptos"/>
                <w:b/>
                <w:color w:val="FFFFFF"/>
                <w:sz w:val="17"/>
              </w:rPr>
              <w:t>No</w:t>
            </w:r>
          </w:p>
        </w:tc>
        <w:tc>
          <w:tcPr>
            <w:tcW w:type="dxa" w:w="2376"/>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Demo step</w:t>
            </w:r>
          </w:p>
        </w:tc>
        <w:tc>
          <w:tcPr>
            <w:tcW w:type="dxa" w:w="7272"/>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What to say or show</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1</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Set the boundary</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State that Azra already identified the synthetic patient as a potential match and that the prototype does not rematch or confirm eligibility.</w:t>
            </w:r>
          </w:p>
        </w:tc>
      </w:tr>
      <w:tr>
        <w:trPr>
          <w:cantSplit w:val="true"/>
        </w:trPr>
        <w:tc>
          <w:tcPr>
            <w:tcW w:type="dxa" w:w="576"/>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2</w:t>
            </w:r>
          </w:p>
        </w:tc>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Open the queue</w:t>
            </w:r>
          </w:p>
        </w:tc>
        <w:tc>
          <w:tcPr>
            <w:tcW w:type="dxa" w:w="727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Show a few mock patients and outreach statuses, then select the one complete demo patient.</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3</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Show the source inputs</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Briefly show the patient facts, real trial, approved source pack, and mock Azra criterion evidence.</w:t>
            </w:r>
          </w:p>
        </w:tc>
      </w:tr>
      <w:tr>
        <w:trPr>
          <w:cantSplit w:val="true"/>
        </w:trPr>
        <w:tc>
          <w:tcPr>
            <w:tcW w:type="dxa" w:w="576"/>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4</w:t>
            </w:r>
          </w:p>
        </w:tc>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Generate the packet</w:t>
            </w:r>
          </w:p>
        </w:tc>
        <w:tc>
          <w:tcPr>
            <w:tcW w:type="dxa" w:w="727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Show the structured Why Me message with personal relevance, study purpose, participation details, safeguards, and a next step.</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5</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Prove traceability</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Open one personalized statement and reveal its patient fact, trial criterion, and Azra match evidence.</w:t>
            </w:r>
          </w:p>
        </w:tc>
      </w:tr>
      <w:tr>
        <w:trPr>
          <w:cantSplit w:val="true"/>
        </w:trPr>
        <w:tc>
          <w:tcPr>
            <w:tcW w:type="dxa" w:w="576"/>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6</w:t>
            </w:r>
          </w:p>
        </w:tc>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Show clinician control</w:t>
            </w:r>
          </w:p>
        </w:tc>
        <w:tc>
          <w:tcPr>
            <w:tcW w:type="dxa" w:w="727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Revise one section with a focused instruction that preserves a required fact, or edit one sentence directly.</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7</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Approve the version</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Mark the exact reviewed version approved.</w:t>
            </w:r>
          </w:p>
        </w:tc>
      </w:tr>
      <w:tr>
        <w:trPr>
          <w:cantSplit w:val="true"/>
        </w:trPr>
        <w:tc>
          <w:tcPr>
            <w:tcW w:type="dxa" w:w="576"/>
            <w:vAlign w:val="center"/>
            <w:tcMar>
              <w:top w:w="85" w:type="dxa"/>
              <w:start w:w="95" w:type="dxa"/>
              <w:bottom w:w="85" w:type="dxa"/>
              <w:end w:w="95" w:type="dxa"/>
            </w:tcMar>
            <w:shd w:fill="F2F2F2"/>
          </w:tcPr>
          <w:p>
            <w:pPr>
              <w:spacing w:before="0" w:after="0" w:line="240" w:lineRule="auto"/>
              <w:jc w:val="center"/>
            </w:pPr>
            <w:r>
              <w:rPr>
                <w:rFonts w:ascii="Aptos" w:hAnsi="Aptos"/>
                <w:b w:val="0"/>
                <w:color w:val="000000"/>
                <w:sz w:val="17"/>
              </w:rPr>
              <w:t>8</w:t>
            </w:r>
          </w:p>
        </w:tc>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Show the patient view</w:t>
            </w:r>
          </w:p>
        </w:tc>
        <w:tc>
          <w:tcPr>
            <w:tcW w:type="dxa" w:w="7272"/>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Display the clean message without source metadata. If available, briefly show the generic external notification separately.</w:t>
            </w:r>
          </w:p>
        </w:tc>
      </w:tr>
      <w:tr>
        <w:trPr>
          <w:cantSplit w:val="true"/>
        </w:trPr>
        <w:tc>
          <w:tcPr>
            <w:tcW w:type="dxa" w:w="576"/>
            <w:vAlign w:val="center"/>
            <w:tcMar>
              <w:top w:w="85" w:type="dxa"/>
              <w:start w:w="95" w:type="dxa"/>
              <w:bottom w:w="85" w:type="dxa"/>
              <w:end w:w="95" w:type="dxa"/>
            </w:tcMar>
            <w:shd w:fill="FFFFFF"/>
          </w:tcPr>
          <w:p>
            <w:pPr>
              <w:spacing w:before="0" w:after="0" w:line="240" w:lineRule="auto"/>
              <w:jc w:val="center"/>
            </w:pPr>
            <w:r>
              <w:rPr>
                <w:rFonts w:ascii="Aptos" w:hAnsi="Aptos"/>
                <w:b w:val="0"/>
                <w:color w:val="000000"/>
                <w:sz w:val="17"/>
              </w:rPr>
              <w:t>9</w:t>
            </w:r>
          </w:p>
        </w:tc>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Simulate delivery</w:t>
            </w:r>
          </w:p>
        </w:tc>
        <w:tc>
          <w:tcPr>
            <w:tcW w:type="dxa" w:w="7272"/>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Route the approved message through the simulated secure channel and update the queue status.</w:t>
            </w:r>
          </w:p>
        </w:tc>
      </w:tr>
    </w:tbl>
    <w:p>
      <w:pPr>
        <w:widowControl/>
        <w:spacing w:after="20"/>
        <w:jc w:val="left"/>
      </w:pPr>
    </w:p>
    <w:p>
      <w:pPr>
        <w:pStyle w:val="Heading1"/>
        <w:keepNext/>
        <w:pageBreakBefore/>
        <w:widowControl/>
        <w:jc w:val="left"/>
      </w:pPr>
      <w:r>
        <w:rPr>
          <w:rFonts w:ascii="Aptos Display" w:hAnsi="Aptos Display"/>
          <w:b/>
          <w:color w:val="000000"/>
          <w:sz w:val="29"/>
        </w:rPr>
        <w:t>13 Main Risks and Responses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val="true"/>
        </w:trPr>
        <w:tc>
          <w:tcPr>
            <w:tcW w:type="dxa" w:w="2376"/>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Risk</w:t>
            </w:r>
          </w:p>
        </w:tc>
        <w:tc>
          <w:tcPr>
            <w:tcW w:type="dxa" w:w="7848"/>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Response</w:t>
            </w:r>
          </w:p>
        </w:tc>
      </w:tr>
      <w:tr>
        <w:trPr>
          <w:cantSplit w:val="true"/>
        </w:trPr>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Scope creep</w:t>
            </w:r>
          </w:p>
        </w:tc>
        <w:tc>
          <w:tcPr>
            <w:tcW w:type="dxa" w:w="78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Use the required-feature list as the contract. After Wednesday, a new idea must replace existing work rather than add to it.</w:t>
            </w:r>
          </w:p>
        </w:tc>
      </w:tr>
      <w:tr>
        <w:trPr>
          <w:cantSplit w:val="true"/>
        </w:trPr>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Unsupported model statement</w:t>
            </w:r>
          </w:p>
        </w:tc>
        <w:tc>
          <w:tcPr>
            <w:tcW w:type="dxa" w:w="784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Limit generation to the source pack, require structured source references, flag prohibited language, and require clinician approval.</w:t>
            </w:r>
          </w:p>
        </w:tc>
      </w:tr>
      <w:tr>
        <w:trPr>
          <w:cantSplit w:val="true"/>
        </w:trPr>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Missing approved source</w:t>
            </w:r>
          </w:p>
        </w:tc>
        <w:tc>
          <w:tcPr>
            <w:tcW w:type="dxa" w:w="78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Omit the unsupported detail and direct the patient to the study team. Do not fill the gap with a plausible model-generated answer.</w:t>
            </w:r>
          </w:p>
        </w:tc>
      </w:tr>
      <w:tr>
        <w:trPr>
          <w:cantSplit w:val="true"/>
        </w:trPr>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Sensitive detail in an insecure channel</w:t>
            </w:r>
          </w:p>
        </w:tc>
        <w:tc>
          <w:tcPr>
            <w:tcW w:type="dxa" w:w="784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Keep generic notifications separate from the full personalized message and label delivery as configurable.</w:t>
            </w:r>
          </w:p>
        </w:tc>
      </w:tr>
      <w:tr>
        <w:trPr>
          <w:cantSplit w:val="true"/>
        </w:trPr>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Unapproved recruitment language</w:t>
            </w:r>
          </w:p>
        </w:tc>
        <w:tc>
          <w:tcPr>
            <w:tcW w:type="dxa" w:w="78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Present templates and source materials as institution-controlled inputs and avoid claiming that the prototype resolves IRB requirements.</w:t>
            </w:r>
          </w:p>
        </w:tc>
      </w:tr>
      <w:tr>
        <w:trPr>
          <w:cantSplit w:val="true"/>
        </w:trPr>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Generic message</w:t>
            </w:r>
          </w:p>
        </w:tc>
        <w:tc>
          <w:tcPr>
            <w:tcW w:type="dxa" w:w="784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Use Azra's supplied match evidence in the Why Me section and compare the output with the business team's target example.</w:t>
            </w:r>
          </w:p>
        </w:tc>
      </w:tr>
      <w:tr>
        <w:trPr>
          <w:cantSplit w:val="true"/>
        </w:trPr>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Overstated impact</w:t>
            </w:r>
          </w:p>
        </w:tc>
        <w:tc>
          <w:tcPr>
            <w:tcW w:type="dxa" w:w="78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Use the prototype acceptance measures and reserve enrollment, retention, comprehension, and time-savings claims for a future pilot.</w:t>
            </w:r>
          </w:p>
        </w:tc>
      </w:tr>
      <w:tr>
        <w:trPr>
          <w:cantSplit w:val="true"/>
        </w:trPr>
        <w:tc>
          <w:tcPr>
            <w:tcW w:type="dxa" w:w="237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Demo failure</w:t>
            </w:r>
          </w:p>
        </w:tc>
        <w:tc>
          <w:tcPr>
            <w:tcW w:type="dxa" w:w="784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Cache the trial response and one known-good generated message, keep screenshots or a recording, and practice the offline backup path.</w:t>
            </w:r>
          </w:p>
        </w:tc>
      </w:tr>
      <w:tr>
        <w:trPr>
          <w:cantSplit w:val="true"/>
        </w:trPr>
        <w:tc>
          <w:tcPr>
            <w:tcW w:type="dxa" w:w="237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Interface work consumes the week</w:t>
            </w:r>
          </w:p>
        </w:tc>
        <w:tc>
          <w:tcPr>
            <w:tcW w:type="dxa" w:w="784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Keep the interface limited to the queue, review controls, evidence view, patient view, and simulated delivery.</w:t>
            </w:r>
          </w:p>
        </w:tc>
      </w:tr>
    </w:tbl>
    <w:p>
      <w:pPr>
        <w:widowControl/>
        <w:spacing w:after="20"/>
        <w:jc w:val="left"/>
      </w:pPr>
    </w:p>
    <w:p>
      <w:pPr>
        <w:pStyle w:val="Heading1"/>
        <w:keepNext/>
        <w:pageBreakBefore w:val="0"/>
        <w:widowControl/>
        <w:jc w:val="left"/>
      </w:pPr>
      <w:r>
        <w:rPr>
          <w:rFonts w:ascii="Aptos Display" w:hAnsi="Aptos Display"/>
          <w:b/>
          <w:color w:val="000000"/>
          <w:sz w:val="29"/>
        </w:rPr>
        <w:t>14 Questions for Azra After the Competition</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val="true"/>
        </w:trPr>
        <w:tc>
          <w:tcPr>
            <w:tcW w:type="dxa" w:w="1944"/>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Area</w:t>
            </w:r>
          </w:p>
        </w:tc>
        <w:tc>
          <w:tcPr>
            <w:tcW w:type="dxa" w:w="8280"/>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Questions to resolve</w:t>
            </w:r>
          </w:p>
        </w:tc>
      </w:tr>
      <w:tr>
        <w:trPr>
          <w:cantSplit w:val="true"/>
        </w:trPr>
        <w:tc>
          <w:tcPr>
            <w:tcW w:type="dxa" w:w="1944"/>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Match data</w:t>
            </w:r>
          </w:p>
        </w:tc>
        <w:tc>
          <w:tcPr>
            <w:tcW w:type="dxa" w:w="828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What API or object exposes criterion status, patient evidence, source excerpts, and unknown or failed criteria?</w:t>
            </w:r>
          </w:p>
        </w:tc>
      </w:tr>
      <w:tr>
        <w:trPr>
          <w:cantSplit w:val="true"/>
        </w:trPr>
        <w:tc>
          <w:tcPr>
            <w:tcW w:type="dxa" w:w="1944"/>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Patient sources</w:t>
            </w:r>
          </w:p>
        </w:tc>
        <w:tc>
          <w:tcPr>
            <w:tcW w:type="dxa" w:w="828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Which protocol, consent, recruitment, or study-summary materials are approved for dynamic patient-facing language?</w:t>
            </w:r>
          </w:p>
        </w:tc>
      </w:tr>
      <w:tr>
        <w:trPr>
          <w:cantSplit w:val="true"/>
        </w:trPr>
        <w:tc>
          <w:tcPr>
            <w:tcW w:type="dxa" w:w="1944"/>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Approval</w:t>
            </w:r>
          </w:p>
        </w:tc>
        <w:tc>
          <w:tcPr>
            <w:tcW w:type="dxa" w:w="828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Who initiates outreach, who approves it, and is approval required for each message or for study-level templates and rules?</w:t>
            </w:r>
          </w:p>
        </w:tc>
      </w:tr>
      <w:tr>
        <w:trPr>
          <w:cantSplit w:val="true"/>
        </w:trPr>
        <w:tc>
          <w:tcPr>
            <w:tcW w:type="dxa" w:w="1944"/>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Delivery</w:t>
            </w:r>
          </w:p>
        </w:tc>
        <w:tc>
          <w:tcPr>
            <w:tcW w:type="dxa" w:w="828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Which channels matter across customers, and should Azra send the message or return an approved artifact to the EHR?</w:t>
            </w:r>
          </w:p>
        </w:tc>
      </w:tr>
      <w:tr>
        <w:trPr>
          <w:cantSplit w:val="true"/>
        </w:trPr>
        <w:tc>
          <w:tcPr>
            <w:tcW w:type="dxa" w:w="1944"/>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Preferences</w:t>
            </w:r>
          </w:p>
        </w:tc>
        <w:tc>
          <w:tcPr>
            <w:tcW w:type="dxa" w:w="8280"/>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Where are research-contact opt-outs stored, and what choices should patients have for one study or future outreach?</w:t>
            </w:r>
          </w:p>
        </w:tc>
      </w:tr>
      <w:tr>
        <w:trPr>
          <w:cantSplit w:val="true"/>
        </w:trPr>
        <w:tc>
          <w:tcPr>
            <w:tcW w:type="dxa" w:w="1944"/>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AI governance</w:t>
            </w:r>
          </w:p>
        </w:tc>
        <w:tc>
          <w:tcPr>
            <w:tcW w:type="dxa" w:w="8280"/>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Which model environments are approved, what PHI may be sent, and what logging, retention, and source-provenance rules apply?</w:t>
            </w:r>
          </w:p>
        </w:tc>
      </w:tr>
    </w:tbl>
    <w:p>
      <w:pPr>
        <w:widowControl/>
        <w:spacing w:after="20"/>
        <w:jc w:val="left"/>
      </w:pPr>
    </w:p>
    <w:p>
      <w:pPr>
        <w:pStyle w:val="Heading1"/>
        <w:keepNext/>
        <w:pageBreakBefore w:val="0"/>
        <w:widowControl/>
        <w:jc w:val="left"/>
      </w:pPr>
      <w:r>
        <w:rPr>
          <w:rFonts w:ascii="Aptos Display" w:hAnsi="Aptos Display"/>
          <w:b/>
          <w:color w:val="000000"/>
          <w:sz w:val="29"/>
        </w:rPr>
        <w:t>15 Friday Readiness Checklist</w:t>
      </w:r>
    </w:p>
    <w:p>
      <w:pPr>
        <w:keepNext w:val="0"/>
        <w:widowControl/>
        <w:spacing w:before="0" w:after="20" w:line="240" w:lineRule="auto"/>
        <w:ind w:left="173"/>
        <w:jc w:val="left"/>
      </w:pPr>
      <w:r>
        <w:rPr>
          <w:rFonts w:ascii="Aptos" w:hAnsi="Aptos"/>
          <w:color w:val="000000"/>
          <w:sz w:val="20"/>
        </w:rPr>
        <w:t>[ ] We can explain where Azra's existing matching ends and the outreach feature begins.</w:t>
      </w:r>
    </w:p>
    <w:p>
      <w:pPr>
        <w:keepNext w:val="0"/>
        <w:widowControl/>
        <w:spacing w:before="0" w:after="20" w:line="240" w:lineRule="auto"/>
        <w:ind w:left="173"/>
        <w:jc w:val="left"/>
      </w:pPr>
      <w:r>
        <w:rPr>
          <w:rFonts w:ascii="Aptos" w:hAnsi="Aptos"/>
          <w:color w:val="000000"/>
          <w:sz w:val="20"/>
        </w:rPr>
        <w:t>[ ] The demo uses one synthetic patient, one real public trial, cached trial data, and mock Azra criterion evidence.</w:t>
      </w:r>
    </w:p>
    <w:p>
      <w:pPr>
        <w:keepNext w:val="0"/>
        <w:widowControl/>
        <w:spacing w:before="0" w:after="20" w:line="240" w:lineRule="auto"/>
        <w:ind w:left="173"/>
        <w:jc w:val="left"/>
      </w:pPr>
      <w:r>
        <w:rPr>
          <w:rFonts w:ascii="Aptos" w:hAnsi="Aptos"/>
          <w:color w:val="000000"/>
          <w:sz w:val="20"/>
        </w:rPr>
        <w:t>[ ] The approved source pack is defined and unsupported details are omitted rather than invented.</w:t>
      </w:r>
    </w:p>
    <w:p>
      <w:pPr>
        <w:keepNext w:val="0"/>
        <w:widowControl/>
        <w:spacing w:before="0" w:after="20" w:line="240" w:lineRule="auto"/>
        <w:ind w:left="173"/>
        <w:jc w:val="left"/>
      </w:pPr>
      <w:r>
        <w:rPr>
          <w:rFonts w:ascii="Aptos" w:hAnsi="Aptos"/>
          <w:color w:val="000000"/>
          <w:sz w:val="20"/>
        </w:rPr>
        <w:t>[ ] Every patient-specific factual statement has at least one source reference.</w:t>
      </w:r>
    </w:p>
    <w:p>
      <w:pPr>
        <w:keepNext w:val="0"/>
        <w:widowControl/>
        <w:spacing w:before="0" w:after="20" w:line="240" w:lineRule="auto"/>
        <w:ind w:left="173"/>
        <w:jc w:val="left"/>
      </w:pPr>
      <w:r>
        <w:rPr>
          <w:rFonts w:ascii="Aptos" w:hAnsi="Aptos"/>
          <w:color w:val="000000"/>
          <w:sz w:val="20"/>
        </w:rPr>
        <w:t>[ ] The patient message explains why it was sent, why the study may be relevant, practical participation details, safeguards, and a next step.</w:t>
      </w:r>
    </w:p>
    <w:p>
      <w:pPr>
        <w:keepNext w:val="0"/>
        <w:widowControl/>
        <w:spacing w:before="0" w:after="20" w:line="240" w:lineRule="auto"/>
        <w:ind w:left="173"/>
        <w:jc w:val="left"/>
      </w:pPr>
      <w:r>
        <w:rPr>
          <w:rFonts w:ascii="Aptos" w:hAnsi="Aptos"/>
          <w:color w:val="000000"/>
          <w:sz w:val="20"/>
        </w:rPr>
        <w:t>[ ] The message does not claim final eligibility, guaranteed benefit, medical advice, or replacement of consent.</w:t>
      </w:r>
    </w:p>
    <w:p>
      <w:pPr>
        <w:keepNext w:val="0"/>
        <w:widowControl/>
        <w:spacing w:before="0" w:after="20" w:line="240" w:lineRule="auto"/>
        <w:ind w:left="173"/>
        <w:jc w:val="left"/>
      </w:pPr>
      <w:r>
        <w:rPr>
          <w:rFonts w:ascii="Aptos" w:hAnsi="Aptos"/>
          <w:color w:val="000000"/>
          <w:sz w:val="20"/>
        </w:rPr>
        <w:t>[ ] A clinician can inspect evidence, directly edit or revise one section, and approve the exact version.</w:t>
      </w:r>
    </w:p>
    <w:p>
      <w:pPr>
        <w:keepNext w:val="0"/>
        <w:widowControl/>
        <w:spacing w:before="0" w:after="20" w:line="240" w:lineRule="auto"/>
        <w:ind w:left="173"/>
        <w:jc w:val="left"/>
      </w:pPr>
      <w:r>
        <w:rPr>
          <w:rFonts w:ascii="Aptos" w:hAnsi="Aptos"/>
          <w:color w:val="000000"/>
          <w:sz w:val="20"/>
        </w:rPr>
        <w:t>[ ] The simulated delivery is described as channel-agnostic and does not claim a live portal, email, or FHIR integration.</w:t>
      </w:r>
    </w:p>
    <w:p>
      <w:pPr>
        <w:keepNext w:val="0"/>
        <w:widowControl/>
        <w:spacing w:before="0" w:after="20" w:line="240" w:lineRule="auto"/>
        <w:ind w:left="173"/>
        <w:jc w:val="left"/>
      </w:pPr>
      <w:r>
        <w:rPr>
          <w:rFonts w:ascii="Aptos" w:hAnsi="Aptos"/>
          <w:color w:val="000000"/>
          <w:sz w:val="20"/>
        </w:rPr>
        <w:t>[ ] The business case uses prototype acceptance measures and does not claim improved enrollment or retention.</w:t>
      </w:r>
    </w:p>
    <w:p>
      <w:pPr>
        <w:keepNext w:val="0"/>
        <w:widowControl/>
        <w:spacing w:before="0" w:after="20" w:line="240" w:lineRule="auto"/>
        <w:ind w:left="173"/>
        <w:jc w:val="left"/>
      </w:pPr>
      <w:r>
        <w:rPr>
          <w:rFonts w:ascii="Aptos" w:hAnsi="Aptos"/>
          <w:color w:val="000000"/>
          <w:sz w:val="20"/>
        </w:rPr>
        <w:t>[ ] The deck, prototype, demo script, and backup materials use the same research-supported language.</w:t>
      </w:r>
    </w:p>
    <w:p>
      <w:pPr>
        <w:keepNext w:val="0"/>
        <w:widowControl/>
        <w:spacing w:before="0" w:after="20" w:line="240" w:lineRule="auto"/>
        <w:ind w:left="173"/>
        <w:jc w:val="left"/>
      </w:pPr>
      <w:r>
        <w:rPr>
          <w:rFonts w:ascii="Aptos" w:hAnsi="Aptos"/>
          <w:color w:val="000000"/>
          <w:sz w:val="20"/>
        </w:rPr>
        <w:t>[ ] The team has completed timed rehearsals and tested the cached and screenshot backup paths.</w:t>
      </w:r>
    </w:p>
    <w:p>
      <w:pPr>
        <w:pStyle w:val="Heading1"/>
        <w:keepNext/>
        <w:pageBreakBefore w:val="0"/>
        <w:widowControl/>
        <w:jc w:val="left"/>
      </w:pPr>
      <w:r>
        <w:rPr>
          <w:rFonts w:ascii="Aptos Display" w:hAnsi="Aptos Display"/>
          <w:b/>
          <w:color w:val="000000"/>
          <w:sz w:val="29"/>
        </w:rPr>
        <w:t>16 Research Sources Used in V3</w:t>
      </w:r>
    </w:p>
    <w:p>
      <w:pPr>
        <w:keepNext w:val="0"/>
        <w:widowControl/>
        <w:spacing w:before="0" w:after="80"/>
        <w:jc w:val="left"/>
      </w:pPr>
      <w:r>
        <w:rPr>
          <w:rFonts w:ascii="Aptos" w:hAnsi="Aptos"/>
          <w:color w:val="000000"/>
          <w:sz w:val="21"/>
        </w:rPr>
        <w:t>Reference numbers match Azra Clinical Trial Outreach Research Findings, which contains the full citations and URLs.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41"/>
        <w:gridCol w:w="5141"/>
      </w:tblGrid>
      <w:tr>
        <w:trPr>
          <w:tblHeader w:val="true"/>
          <w:cantSplit w:val="true"/>
        </w:trPr>
        <w:tc>
          <w:tcPr>
            <w:tcW w:type="dxa" w:w="1728"/>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Reference</w:t>
            </w:r>
          </w:p>
        </w:tc>
        <w:tc>
          <w:tcPr>
            <w:tcW w:type="dxa" w:w="8496"/>
            <w:vAlign w:val="center"/>
            <w:tcMar>
              <w:top w:w="85" w:type="dxa"/>
              <w:start w:w="95" w:type="dxa"/>
              <w:bottom w:w="85" w:type="dxa"/>
              <w:end w:w="95" w:type="dxa"/>
            </w:tcMar>
            <w:shd w:fill="353535"/>
          </w:tcPr>
          <w:p>
            <w:pPr>
              <w:spacing w:before="0" w:after="0" w:line="240" w:lineRule="auto"/>
              <w:jc w:val="left"/>
            </w:pPr>
            <w:r>
              <w:rPr>
                <w:rFonts w:ascii="Aptos" w:hAnsi="Aptos"/>
                <w:b/>
                <w:color w:val="FFFFFF"/>
                <w:sz w:val="17"/>
              </w:rPr>
              <w:t>How it informed the plan</w:t>
            </w:r>
          </w:p>
        </w:tc>
      </w:tr>
      <w:tr>
        <w:trPr>
          <w:cantSplit w:val="true"/>
        </w:trPr>
        <w:tc>
          <w:tcPr>
            <w:tcW w:type="dxa" w:w="172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R1</w:t>
            </w:r>
          </w:p>
        </w:tc>
        <w:tc>
          <w:tcPr>
            <w:tcW w:type="dxa" w:w="849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Azra criterion-level evidence and the decision to preserve source provenance.</w:t>
            </w:r>
          </w:p>
        </w:tc>
      </w:tr>
      <w:tr>
        <w:trPr>
          <w:cantSplit w:val="true"/>
        </w:trPr>
        <w:tc>
          <w:tcPr>
            <w:tcW w:type="dxa" w:w="172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R4 and R5</w:t>
            </w:r>
          </w:p>
        </w:tc>
        <w:tc>
          <w:tcPr>
            <w:tcW w:type="dxa" w:w="849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Patient need for personal relevance, sufficient practical detail, and scannable recruitment messages.</w:t>
            </w:r>
          </w:p>
        </w:tc>
      </w:tr>
      <w:tr>
        <w:trPr>
          <w:cantSplit w:val="true"/>
        </w:trPr>
        <w:tc>
          <w:tcPr>
            <w:tcW w:type="dxa" w:w="172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R6 R7 R8 R29 and R30</w:t>
            </w:r>
          </w:p>
        </w:tc>
        <w:tc>
          <w:tcPr>
            <w:tcW w:type="dxa" w:w="849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Portal and email recruitment patterns, channel variability, opt-outs, and generic notification plus secure-content separation.</w:t>
            </w:r>
          </w:p>
        </w:tc>
      </w:tr>
      <w:tr>
        <w:trPr>
          <w:cantSplit w:val="true"/>
        </w:trPr>
        <w:tc>
          <w:tcPr>
            <w:tcW w:type="dxa" w:w="172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R9 and R10</w:t>
            </w:r>
          </w:p>
        </w:tc>
        <w:tc>
          <w:tcPr>
            <w:tcW w:type="dxa" w:w="849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Recruitment governance, approved language, and limits on risk and benefit claims.</w:t>
            </w:r>
          </w:p>
        </w:tc>
      </w:tr>
      <w:tr>
        <w:trPr>
          <w:cantSplit w:val="true"/>
        </w:trPr>
        <w:tc>
          <w:tcPr>
            <w:tcW w:type="dxa" w:w="172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R11 and R12</w:t>
            </w:r>
          </w:p>
        </w:tc>
        <w:tc>
          <w:tcPr>
            <w:tcW w:type="dxa" w:w="849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Production privacy, security, enterprise deployment, and vendor-control assumptions.</w:t>
            </w:r>
          </w:p>
        </w:tc>
      </w:tr>
      <w:tr>
        <w:trPr>
          <w:cantSplit w:val="true"/>
        </w:trPr>
        <w:tc>
          <w:tcPr>
            <w:tcW w:type="dxa" w:w="172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R13 and R14</w:t>
            </w:r>
          </w:p>
        </w:tc>
        <w:tc>
          <w:tcPr>
            <w:tcW w:type="dxa" w:w="849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FHIR as a data and workflow representation rather than the actual message transport.</w:t>
            </w:r>
          </w:p>
        </w:tc>
      </w:tr>
      <w:tr>
        <w:trPr>
          <w:cantSplit w:val="true"/>
        </w:trPr>
        <w:tc>
          <w:tcPr>
            <w:tcW w:type="dxa" w:w="172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R15 R16 and R17</w:t>
            </w:r>
          </w:p>
        </w:tc>
        <w:tc>
          <w:tcPr>
            <w:tcW w:type="dxa" w:w="849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Plain-language, health-literacy, design, and usability requirements.</w:t>
            </w:r>
          </w:p>
        </w:tc>
      </w:tr>
      <w:tr>
        <w:trPr>
          <w:cantSplit w:val="true"/>
        </w:trPr>
        <w:tc>
          <w:tcPr>
            <w:tcW w:type="dxa" w:w="1728"/>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R18 and R19</w:t>
            </w:r>
          </w:p>
        </w:tc>
        <w:tc>
          <w:tcPr>
            <w:tcW w:type="dxa" w:w="8496"/>
            <w:vAlign w:val="center"/>
            <w:tcMar>
              <w:top w:w="85" w:type="dxa"/>
              <w:start w:w="95" w:type="dxa"/>
              <w:bottom w:w="85" w:type="dxa"/>
              <w:end w:w="95" w:type="dxa"/>
            </w:tcMar>
            <w:shd w:fill="F2F2F2"/>
          </w:tcPr>
          <w:p>
            <w:pPr>
              <w:spacing w:before="0" w:after="0" w:line="240" w:lineRule="auto"/>
              <w:jc w:val="left"/>
            </w:pPr>
            <w:r>
              <w:rPr>
                <w:rFonts w:ascii="Aptos" w:hAnsi="Aptos"/>
                <w:b w:val="0"/>
                <w:color w:val="000000"/>
                <w:sz w:val="17"/>
              </w:rPr>
              <w:t>LLM readability potential, remaining inaccuracies, and the requirement for human review.</w:t>
            </w:r>
          </w:p>
        </w:tc>
      </w:tr>
      <w:tr>
        <w:trPr>
          <w:cantSplit w:val="true"/>
        </w:trPr>
        <w:tc>
          <w:tcPr>
            <w:tcW w:type="dxa" w:w="1728"/>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R21</w:t>
            </w:r>
          </w:p>
        </w:tc>
        <w:tc>
          <w:tcPr>
            <w:tcW w:type="dxa" w:w="8496"/>
            <w:vAlign w:val="center"/>
            <w:tcMar>
              <w:top w:w="85" w:type="dxa"/>
              <w:start w:w="95" w:type="dxa"/>
              <w:bottom w:w="85" w:type="dxa"/>
              <w:end w:w="95" w:type="dxa"/>
            </w:tcMar>
            <w:shd w:fill="FFFFFF"/>
          </w:tcPr>
          <w:p>
            <w:pPr>
              <w:spacing w:before="0" w:after="0" w:line="240" w:lineRule="auto"/>
              <w:jc w:val="left"/>
            </w:pPr>
            <w:r>
              <w:rPr>
                <w:rFonts w:ascii="Aptos" w:hAnsi="Aptos"/>
                <w:b w:val="0"/>
                <w:color w:val="000000"/>
                <w:sz w:val="17"/>
              </w:rPr>
              <w:t>Use of one real ClinicalTrials.gov study and a JSON source for the prototype.</w:t>
            </w:r>
          </w:p>
        </w:tc>
      </w:tr>
    </w:tbl>
    <w:p>
      <w:pPr>
        <w:widowControl/>
        <w:spacing w:after="20"/>
        <w:jc w:val="left"/>
      </w:pPr>
    </w:p>
    <w:p>
      <w:pPr>
        <w:keepNext w:val="0"/>
        <w:widowControl/>
        <w:spacing w:before="100" w:after="0"/>
        <w:jc w:val="left"/>
      </w:pPr>
      <w:r>
        <w:rPr>
          <w:rFonts w:ascii="Aptos" w:hAnsi="Aptos"/>
          <w:b/>
          <w:color w:val="000000"/>
          <w:sz w:val="21"/>
        </w:rPr>
        <w:t>Source basis:</w:t>
      </w:r>
      <w:r>
        <w:rPr>
          <w:rFonts w:ascii="Aptos" w:hAnsi="Aptos"/>
          <w:color w:val="000000"/>
          <w:sz w:val="21"/>
        </w:rPr>
        <w:t xml:space="preserve"> Azra Clinical Trial Outreach Research Findings and the September 28 consultation with the Azra representative. V3 should change only when new evidence or a team decision materially affects the frozen scope.</w:t>
      </w:r>
    </w:p>
    <w:sectPr w:rsidR="00FC693F" w:rsidRPr="0006063C" w:rsidSect="00034616">
      <w:headerReference w:type="default" r:id="rId9"/>
      <w:footerReference w:type="default" r:id="rId10"/>
      <w:headerReference w:type="first" r:id="rId11"/>
      <w:footerReference w:type="first" r:id="rId12"/>
      <w:pgSz w:w="12240" w:h="15840"/>
      <w:pgMar w:top="979" w:right="979" w:bottom="979" w:left="979"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Research informed working plan | September 28,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Research informed working plan | September 28,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7"/>
      </w:rPr>
      <w:t>Azra Clinical Trial Outreach Case | Team Working Plan V3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3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ptos Display" w:hAnsi="Aptos Display"/>
      <w:b/>
      <w:i w:val="0"/>
      <w:iCs/>
      <w:color w:val="35353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47" w:lineRule="auto"/>
      <w:ind w:left="403" w:hanging="230"/>
      <w:contextualSpacing/>
    </w:pPr>
    <w:rPr>
      <w:rFonts w:ascii="Aptos" w:hAnsi="Aptos"/>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Aptos" w:hAnsi="Aptos"/>
      <w:color w:val="23232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 Clinical Trial Outreach Case Team Working Plan V3</dc:title>
  <dc:subject>Research-backed prototype scope, controls, responsibilities, and execution plan</dc:subject>
  <dc:creator>Team</dc:creator>
  <cp:keywords/>
  <dc:description>Working draft for team alignment</dc:description>
  <cp:lastModifiedBy/>
  <cp:revision>1</cp:revision>
  <dcterms:created xsi:type="dcterms:W3CDTF">2013-12-23T23:15:00Z</dcterms:created>
  <dcterms:modified xsi:type="dcterms:W3CDTF">2013-12-23T23:15:00Z</dcterms:modified>
  <cp:category/>
</cp:coreProperties>
</file>