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Azra Clinical Trial Outreach Case</w:t>
      </w:r>
    </w:p>
    <w:p>
      <w:pPr>
        <w:pStyle w:val="Subtitle"/>
      </w:pPr>
      <w:r>
        <w:t>Team Working Plan V4</w:t>
      </w:r>
    </w:p>
    <w:p>
      <w:pPr>
        <w:spacing w:after="60"/>
      </w:pPr>
      <w:r>
        <w:rPr>
          <w:color w:val="595959"/>
        </w:rPr>
        <w:t>Current scope, comprehension strategy, team assignments, and Wednesday through Friday recovery schedule</w:t>
      </w:r>
    </w:p>
    <w:p>
      <w:pPr>
        <w:spacing w:after="240"/>
      </w:pPr>
      <w:r>
        <w:t>Penn State + Hof University Case Competition | September 30-October 2, 2026</w:t>
      </w:r>
    </w:p>
    <w:p>
      <w:r>
        <w:rPr>
          <w:b/>
        </w:rPr>
        <w:t>Purpose of this plan</w:t>
      </w:r>
      <w:r>
        <w:br/>
        <w:t>This version incorporates the September 29 working decisions and resets execution around the current status: no code had been started by Wednesday. It preserves the post-match outreach concept while narrowing patient personalization, adding a fixed comprehension evaluation, and compressing the build into one demonstrable path.</w:t>
      </w:r>
    </w:p>
    <w:p>
      <w:r>
        <w:rPr>
          <w:b/>
        </w:rPr>
        <w:t>Decision</w:t>
      </w:r>
      <w:r>
        <w:br/>
        <w:t>Freeze the product definition now. Build one working clinician-to-patient flow before adding polish, extra patients, version history, or real delivery integrations.</w:t>
      </w:r>
    </w:p>
    <w:p>
      <w:pPr>
        <w:pStyle w:val="Heading1"/>
        <w:pageBreakBefore/>
      </w:pPr>
      <w:r>
        <w:t>1 Current Direction</w:t>
      </w:r>
    </w:p>
    <w:p>
      <w:pPr>
        <w:keepNext w:val="0"/>
      </w:pPr>
      <w:r>
        <w:t>Azra supplies a potential patient-to-trial match. The prototype turns that existing match into a short, grounded patient message, checks the draft against a fixed plain-language rubric, gives clinical staff control over edits and approval, and simulates delivery through a health-system-approved channel.</w:t>
      </w:r>
    </w:p>
    <w:p>
      <w:pPr>
        <w:keepNext w:val="0"/>
      </w:pPr>
      <w:r>
        <w:t>The goal remains patient comprehension. The team should not frame enrollment, response rate, retention, or staff time savings as demonstrated outcomes. The prototype can show a more controlled communication process and a repeatable method for checking message clarity.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44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September 29 decision</w:t>
            </w:r>
          </w:p>
        </w:tc>
        <w:tc>
          <w:tcPr>
            <w:tcW w:type="dxa" w:w="4032"/>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Change in V4</w:t>
            </w:r>
          </w:p>
        </w:tc>
        <w:tc>
          <w:tcPr>
            <w:tcW w:type="dxa" w:w="3744"/>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Effect on the build</w:t>
            </w:r>
          </w:p>
        </w:tc>
      </w:tr>
      <w:tr>
        <w:trPr>
          <w:cantSplit/>
        </w:trPr>
        <w:tc>
          <w:tcPr>
            <w:tcW w:type="dxa" w:w="244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Limit patient-specific detail</w:t>
            </w:r>
          </w:p>
        </w:tc>
        <w:tc>
          <w:tcPr>
            <w:tcW w:type="dxa" w:w="40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 a short relevance statement instead of listing match criteria or sensitive facts.</w:t>
            </w:r>
          </w:p>
        </w:tc>
        <w:tc>
          <w:tcPr>
            <w:tcW w:type="dxa" w:w="37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patient view stays useful without reproducing the clinical evidence view.</w:t>
            </w:r>
          </w:p>
        </w:tc>
      </w:tr>
      <w:tr>
        <w:trPr>
          <w:cantSplit/>
        </w:trPr>
        <w:tc>
          <w:tcPr>
            <w:tcW w:type="dxa" w:w="244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Add comprehension evaluation</w:t>
            </w:r>
          </w:p>
        </w:tc>
        <w:tc>
          <w:tcPr>
            <w:tcW w:type="dxa" w:w="40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Run a fixed PEMAT-informed rubric after generation and after AI-assisted revision.</w:t>
            </w:r>
          </w:p>
        </w:tc>
        <w:tc>
          <w:tcPr>
            <w:tcW w:type="dxa" w:w="37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sees a model-assisted score, issues, and a revise-or-review recommendation.</w:t>
            </w:r>
          </w:p>
        </w:tc>
      </w:tr>
      <w:tr>
        <w:trPr>
          <w:cantSplit/>
        </w:trPr>
        <w:tc>
          <w:tcPr>
            <w:tcW w:type="dxa" w:w="244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Add trust and legitimacy cues</w:t>
            </w:r>
          </w:p>
        </w:tc>
        <w:tc>
          <w:tcPr>
            <w:tcW w:type="dxa" w:w="40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Name the organization or study team, explain why contact occurred, state that participation is voluntary, and provide a way to verify or ask questions.</w:t>
            </w:r>
          </w:p>
        </w:tc>
        <w:tc>
          <w:tcPr>
            <w:tcW w:type="dxa" w:w="37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message is easier to recognize as legitimate and low pressure.</w:t>
            </w:r>
          </w:p>
        </w:tc>
      </w:tr>
      <w:tr>
        <w:trPr>
          <w:cantSplit/>
        </w:trPr>
        <w:tc>
          <w:tcPr>
            <w:tcW w:type="dxa" w:w="244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Keep delivery channel aware</w:t>
            </w:r>
          </w:p>
        </w:tc>
        <w:tc>
          <w:tcPr>
            <w:tcW w:type="dxa" w:w="40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Let the demo select a channel and show a preview without implementing real delivery.</w:t>
            </w:r>
          </w:p>
        </w:tc>
        <w:tc>
          <w:tcPr>
            <w:tcW w:type="dxa" w:w="37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Privacy and accessibility become visible design decisions without adding an integration project.</w:t>
            </w:r>
          </w:p>
        </w:tc>
      </w:tr>
      <w:tr>
        <w:trPr>
          <w:cantSplit/>
        </w:trPr>
        <w:tc>
          <w:tcPr>
            <w:tcW w:type="dxa" w:w="244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Compare baseline and improved messages</w:t>
            </w:r>
          </w:p>
        </w:tc>
        <w:tc>
          <w:tcPr>
            <w:tcW w:type="dxa" w:w="40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 the same rubric on a generic summary and the prototype message.</w:t>
            </w:r>
          </w:p>
        </w:tc>
        <w:tc>
          <w:tcPr>
            <w:tcW w:type="dxa" w:w="37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team can show a preliminary comparison without claiming validated patient comprehension.</w:t>
            </w:r>
          </w:p>
        </w:tc>
      </w:tr>
    </w:tbl>
    <w:p>
      <w:pPr>
        <w:spacing w:after="20"/>
      </w:pPr>
    </w:p>
    <w:p>
      <w:pPr>
        <w:pStyle w:val="Heading1"/>
      </w:pPr>
      <w:r>
        <w:t>2 Product Boundary</w:t>
      </w:r>
    </w:p>
    <w:p>
      <w:r>
        <w:rPr>
          <w:b/>
        </w:rPr>
        <w:t>Starts</w:t>
      </w:r>
      <w:r>
        <w:t xml:space="preserve"> after Azra has identified a potential match.</w:t>
      </w:r>
    </w:p>
    <w:p>
      <w:r>
        <w:rPr>
          <w:b/>
        </w:rPr>
        <w:t>Ends</w:t>
      </w:r>
      <w:r>
        <w:t xml:space="preserve"> with a clinician-approved patient message, a selected delivery concept, and a simulated status update.</w:t>
      </w:r>
    </w:p>
    <w:p>
      <w:r>
        <w:rPr>
          <w:b/>
        </w:rPr>
        <w:t>Patient view</w:t>
      </w:r>
      <w:r>
        <w:t xml:space="preserve"> contains only the approved outreach, limited personalization, trust cues, study information, questions, and next steps.</w:t>
      </w:r>
    </w:p>
    <w:p>
      <w:r>
        <w:rPr>
          <w:b/>
        </w:rPr>
        <w:t>Clinician view</w:t>
      </w:r>
      <w:r>
        <w:t xml:space="preserve"> contains the supplied patient and trial facts, Azra match evidence, source links, comprehension evaluation, editing controls, approval, and simulated send.</w:t>
      </w:r>
    </w:p>
    <w:p>
      <w:r>
        <w:rPr>
          <w:b/>
        </w:rPr>
        <w:t>Does not do</w:t>
      </w:r>
      <w:r>
        <w:t xml:space="preserve"> matching, final eligibility, medical advice, informed consent, real delivery, production security, or use of real patient data.</w:t>
      </w:r>
    </w:p>
    <w:p>
      <w:pPr>
        <w:pStyle w:val="Heading1"/>
      </w:pPr>
      <w:r>
        <w:t>3 Patient Message Specification</w:t>
      </w:r>
    </w:p>
    <w:p>
      <w:pPr>
        <w:keepNext w:val="0"/>
      </w:pPr>
      <w:r>
        <w:t>The patient message should be personalized enough to explain why the outreach is relevant, but it should not list every match criterion or expose unnecessary medical details. The clinical evidence remains available to the reviewer rather than being copied into the patient view.</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Section</w:t>
            </w:r>
          </w:p>
        </w:tc>
        <w:tc>
          <w:tcPr>
            <w:tcW w:type="dxa" w:w="4824"/>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Required content</w:t>
            </w:r>
          </w:p>
        </w:tc>
        <w:tc>
          <w:tcPr>
            <w:tcW w:type="dxa" w:w="316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Limit</w:t>
            </w:r>
          </w:p>
        </w:tc>
      </w:tr>
      <w:tr>
        <w:trPr>
          <w:cantSplit/>
        </w:trPr>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Why you are receiving this</w:t>
            </w:r>
          </w:p>
        </w:tc>
        <w:tc>
          <w:tcPr>
            <w:tcW w:type="dxa" w:w="482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to three sentences explaining that a care or research team identified a study that may be relevant.</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Do not list every criterion or confirm eligibility.</w:t>
            </w:r>
          </w:p>
        </w:tc>
      </w:tr>
      <w:tr>
        <w:trPr>
          <w:cantSplit/>
        </w:trPr>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What the study is about</w:t>
            </w:r>
          </w:p>
        </w:tc>
        <w:tc>
          <w:tcPr>
            <w:tcW w:type="dxa" w:w="482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Plain-language purpose, condition or treatment area, and what the study is generally testing.</w:t>
            </w:r>
          </w:p>
        </w:tc>
        <w:tc>
          <w:tcPr>
            <w:tcW w:type="dxa" w:w="31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 approved source material and avoid unsupported benefit language.</w:t>
            </w:r>
          </w:p>
        </w:tc>
      </w:tr>
      <w:tr>
        <w:trPr>
          <w:cantSplit/>
        </w:trPr>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What participation may involve</w:t>
            </w:r>
          </w:p>
        </w:tc>
        <w:tc>
          <w:tcPr>
            <w:tcW w:type="dxa" w:w="482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Supported details about visits, duration, major procedures, setting, and what the patient may be asked to do.</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Do not reproduce the protocol or invent missing details.</w:t>
            </w:r>
          </w:p>
        </w:tc>
      </w:tr>
      <w:tr>
        <w:trPr>
          <w:cantSplit/>
        </w:trPr>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Questions to discuss</w:t>
            </w:r>
          </w:p>
        </w:tc>
        <w:tc>
          <w:tcPr>
            <w:tcW w:type="dxa" w:w="482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Useful questions for the physician, research coordinator, nurse navigator, or study team.</w:t>
            </w:r>
          </w:p>
        </w:tc>
        <w:tc>
          <w:tcPr>
            <w:tcW w:type="dxa" w:w="31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Do not use a quiz as proof of comprehension.</w:t>
            </w:r>
          </w:p>
        </w:tc>
      </w:tr>
      <w:tr>
        <w:trPr>
          <w:cantSplit/>
        </w:trPr>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Next step</w:t>
            </w:r>
          </w:p>
        </w:tc>
        <w:tc>
          <w:tcPr>
            <w:tcW w:type="dxa" w:w="482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low-pressure action such as requesting information, contacting the study team, or asking a physician.</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Do not pressure participation.</w:t>
            </w:r>
          </w:p>
        </w:tc>
      </w:tr>
    </w:tbl>
    <w:p>
      <w:pPr>
        <w:spacing w:after="20"/>
      </w:pPr>
    </w:p>
    <w:p>
      <w:pPr>
        <w:pStyle w:val="Heading2"/>
      </w:pPr>
      <w:r>
        <w:t>Trust and Legitimacy Requirements</w:t>
      </w:r>
    </w:p>
    <w:p>
      <w:pPr>
        <w:pStyle w:val="ListBullet"/>
      </w:pPr>
      <w:r>
        <w:t>Identify the hospital, research organization, or study team when that information is available in the approved source pack.</w:t>
      </w:r>
    </w:p>
    <w:p>
      <w:pPr>
        <w:pStyle w:val="ListBullet"/>
      </w:pPr>
      <w:r>
        <w:t>State that participation is voluntary and that the message does not confirm final eligibility.</w:t>
      </w:r>
    </w:p>
    <w:p>
      <w:pPr>
        <w:pStyle w:val="ListBullet"/>
      </w:pPr>
      <w:r>
        <w:t>Provide an approved contact method or a way to verify the message through the health system.</w:t>
      </w:r>
    </w:p>
    <w:p>
      <w:pPr>
        <w:pStyle w:val="ListBullet"/>
      </w:pPr>
      <w:r>
        <w:t>Keep sensitive details out of an ordinary email or SMS notification.</w:t>
      </w:r>
    </w:p>
    <w:p>
      <w:pPr>
        <w:pStyle w:val="Heading2"/>
      </w:pPr>
      <w:r>
        <w:t>Personalization Rules</w:t>
      </w:r>
    </w:p>
    <w:p>
      <w:pPr>
        <w:pStyle w:val="ListBullet"/>
      </w:pPr>
      <w:r>
        <w:t>Use no more patient-specific detail than the patient needs to understand why the study may be relevant.</w:t>
      </w:r>
    </w:p>
    <w:p>
      <w:pPr>
        <w:pStyle w:val="ListBullet"/>
      </w:pPr>
      <w:r>
        <w:t>Do not infer health literacy, education level, or message complexity from age or demographic information.</w:t>
      </w:r>
    </w:p>
    <w:p>
      <w:pPr>
        <w:pStyle w:val="ListBullet"/>
      </w:pPr>
      <w:r>
        <w:t>Use one consistent plain-language standard for a general adult audience.</w:t>
      </w:r>
    </w:p>
    <w:p>
      <w:pPr>
        <w:pStyle w:val="ListBullet"/>
      </w:pPr>
      <w:r>
        <w:t>Future personalization may use patient-selected language, accessibility, or communication preferences, but those are not Friday requirements.</w:t>
      </w:r>
    </w:p>
    <w:p>
      <w:pPr>
        <w:pStyle w:val="Heading1"/>
      </w:pPr>
      <w:r>
        <w:t>4 Comprehension Evaluation</w:t>
      </w:r>
    </w:p>
    <w:p>
      <w:pPr>
        <w:keepNext w:val="0"/>
      </w:pPr>
      <w:r>
        <w:t>V4 adds a model-assisted comprehension review after message generation. The evaluator uses the same fixed rubric every time and returns structured results. Its output is a quality-control aid for the clinician, not evidence that a patient understood the message.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Rubric item</w:t>
            </w:r>
          </w:p>
        </w:tc>
        <w:tc>
          <w:tcPr>
            <w:tcW w:type="dxa" w:w="7344"/>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Evaluator check</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Purpose</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reader can identify why the message was sent.</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Familiar language</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Clinical terms are avoided or explained where they first appear.</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Sentence clarity</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Sentences are reasonably short and carry one main idea.</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Organization</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Sections follow a logical order and use useful headings.</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Participation information</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message gives enough supported detail to prepare for a conversation.</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Actionability</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next step is specific and low pressure.</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Trust</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sender, voluntary nature of participation, and contact or verification path are clear.</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Safety language</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message avoids final eligibility, guaranteed benefit, medical advice, and consent claims.</w:t>
            </w:r>
          </w:p>
        </w:tc>
      </w:tr>
    </w:tbl>
    <w:p>
      <w:pPr>
        <w:spacing w:after="20"/>
      </w:pPr>
    </w:p>
    <w:p>
      <w:pPr>
        <w:pStyle w:val="Heading2"/>
      </w:pPr>
      <w:r>
        <w:t>Evaluator Output</w:t>
      </w:r>
    </w:p>
    <w:p>
      <w:pPr>
        <w:keepNext w:val="0"/>
      </w:pPr>
      <w:r>
        <w:t>The evaluator should return an overall score, scores by rubric item, a short issue list, and a recommendation such as Ready for clinician review or Revise before review. The interface must label the result as a model-assisted rubric evaluation.</w:t>
      </w:r>
    </w:p>
    <w:p>
      <w:pPr>
        <w:pStyle w:val="Heading2"/>
      </w:pPr>
      <w:r>
        <w:t>Comparison Plan</w:t>
      </w:r>
    </w:p>
    <w:p>
      <w:pPr>
        <w:keepNext w:val="0"/>
      </w:pPr>
      <w:r>
        <w:t>Run a generic trial summary and the improved structured message through the same evaluator. If time permits, ask a small number of non-expert readers four questions about why the patient was contacted, what the study is about, what participation may involve, and what the patient should do next. Report this only as preliminary informal testing.</w:t>
      </w:r>
    </w:p>
    <w:p>
      <w:pPr>
        <w:pStyle w:val="Heading1"/>
      </w:pPr>
      <w:r>
        <w:t>5 Source Traceability and Clinician Control</w:t>
      </w:r>
    </w:p>
    <w:p>
      <w:pPr>
        <w:keepNext w:val="0"/>
      </w:pPr>
      <w:r>
        <w:t>Every patient-specific or study-specific factual claim in the message needs one or more source IDs. Transitional language such as Here is what you should know does not need a source. The clinician can inspect the evidence without exposing internal match details to the patient.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44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Control</w:t>
            </w:r>
          </w:p>
        </w:tc>
        <w:tc>
          <w:tcPr>
            <w:tcW w:type="dxa" w:w="777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V4 behavior</w:t>
            </w:r>
          </w:p>
        </w:tc>
      </w:tr>
      <w:tr>
        <w:trPr>
          <w:cantSplit/>
        </w:trPr>
        <w:tc>
          <w:tcPr>
            <w:tcW w:type="dxa" w:w="244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Bounded source pack</w:t>
            </w:r>
          </w:p>
        </w:tc>
        <w:tc>
          <w:tcPr>
            <w:tcW w:type="dxa" w:w="77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Generation receives structured patient facts, real trial facts, mock Azra match evidence, and approved patient-facing material.</w:t>
            </w:r>
          </w:p>
        </w:tc>
      </w:tr>
      <w:tr>
        <w:trPr>
          <w:cantSplit/>
        </w:trPr>
        <w:tc>
          <w:tcPr>
            <w:tcW w:type="dxa" w:w="244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Limited personalization</w:t>
            </w:r>
          </w:p>
        </w:tc>
        <w:tc>
          <w:tcPr>
            <w:tcW w:type="dxa" w:w="77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message uses a short relevance explanation while the detailed match evidence stays in the clinician view.</w:t>
            </w:r>
          </w:p>
        </w:tc>
      </w:tr>
      <w:tr>
        <w:trPr>
          <w:cantSplit/>
        </w:trPr>
        <w:tc>
          <w:tcPr>
            <w:tcW w:type="dxa" w:w="244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Manual edit</w:t>
            </w:r>
          </w:p>
        </w:tc>
        <w:tc>
          <w:tcPr>
            <w:tcW w:type="dxa" w:w="77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may edit a section directly. The interface retains its source link and marks the section Edited by Clinician.</w:t>
            </w:r>
          </w:p>
        </w:tc>
      </w:tr>
      <w:tr>
        <w:trPr>
          <w:cantSplit/>
        </w:trPr>
        <w:tc>
          <w:tcPr>
            <w:tcW w:type="dxa" w:w="244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AI-assisted revision</w:t>
            </w:r>
          </w:p>
        </w:tc>
        <w:tc>
          <w:tcPr>
            <w:tcW w:type="dxa" w:w="77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Only the selected section regenerates. Grounding runs again for that section and the comprehension evaluator reruns for the section or full message.</w:t>
            </w:r>
          </w:p>
        </w:tc>
      </w:tr>
      <w:tr>
        <w:trPr>
          <w:cantSplit/>
        </w:trPr>
        <w:tc>
          <w:tcPr>
            <w:tcW w:type="dxa" w:w="244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Approval</w:t>
            </w:r>
          </w:p>
        </w:tc>
        <w:tc>
          <w:tcPr>
            <w:tcW w:type="dxa" w:w="77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approves the exact version shown in the patient preview before simulated delivery.</w:t>
            </w:r>
          </w:p>
        </w:tc>
      </w:tr>
      <w:tr>
        <w:trPr>
          <w:cantSplit/>
        </w:trPr>
        <w:tc>
          <w:tcPr>
            <w:tcW w:type="dxa" w:w="244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Prototype limitation</w:t>
            </w:r>
          </w:p>
        </w:tc>
        <w:tc>
          <w:tcPr>
            <w:tcW w:type="dxa" w:w="77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prototype assumes a clinician edit preserves meaning. Automatic source revalidation of manual edits remains future work.</w:t>
            </w:r>
          </w:p>
        </w:tc>
      </w:tr>
    </w:tbl>
    <w:p>
      <w:pPr>
        <w:spacing w:after="20"/>
      </w:pPr>
    </w:p>
    <w:p>
      <w:pPr>
        <w:pStyle w:val="Heading1"/>
      </w:pPr>
      <w:r>
        <w:t>6 Final Prototype Flow</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57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color w:val="FFFFFF"/>
                <w:sz w:val="18"/>
              </w:rPr>
              <w:t>No</w:t>
            </w:r>
          </w:p>
        </w:tc>
        <w:tc>
          <w:tcPr>
            <w:tcW w:type="dxa" w:w="2232"/>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Step</w:t>
            </w:r>
          </w:p>
        </w:tc>
        <w:tc>
          <w:tcPr>
            <w:tcW w:type="dxa" w:w="741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What happens</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1</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Open the candidate</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queue shows one complete synthetic patient already connected to one real trial.</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2</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Review the inputs</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sees trial facts, limited patient facts, mock Azra match evidence, and approved sources.</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3</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Generate outreach</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generation call returns the five patient-message sections with claim-level source IDs.</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4</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Evaluate clarity</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 second call applies the fixed rubric and returns a score, criterion results, issues, and a recommendation.</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5</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Review evidence</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opens at least one source-backed claim and checks the supporting input.</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6</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Edit or regenerate</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manually edits or regenerates one section. The interface marks the change and reruns the appropriate checks.</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7</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Approve</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clinician approves the exact reviewed version.</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8</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Select a channel</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demo selects Portal, Email, SMS, or Other and explains the privacy limit for each.</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9</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Preview the patient view</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patient sees the clean message, trust cues, questions, and next step without internal source metadata.</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10</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Simulate send</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The status changes to Sent without contacting a real patient or external system.</w:t>
            </w:r>
          </w:p>
        </w:tc>
      </w:tr>
    </w:tbl>
    <w:p>
      <w:pPr>
        <w:spacing w:after="20"/>
      </w:pPr>
    </w:p>
    <w:p>
      <w:pPr>
        <w:pStyle w:val="Heading1"/>
        <w:pageBreakBefore/>
      </w:pPr>
      <w:r>
        <w:t>7 Technical Approach</w:t>
      </w:r>
    </w:p>
    <w:p>
      <w:pPr>
        <w:keepNext w:val="0"/>
      </w:pPr>
      <w:r>
        <w:t>Because implementation had not started by Wednesday, the team should use the smallest stack that both CS students can integrate quickly. Streamlit is the default recommendation if the team has not already chosen a framework. It can support the queue, clinician review, patient preview, and status changes without a separate front-end project.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Component</w:t>
            </w:r>
          </w:p>
        </w:tc>
        <w:tc>
          <w:tcPr>
            <w:tcW w:type="dxa" w:w="7344"/>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Wednesday implementation</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Fixtures</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synthetic patient JSON, one cached ClinicalTrials.gov response, one mock Azra match object, and one approved source map.</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Generation</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prompt and one structured JSON schema for the five message sections and source IDs.</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Comprehension evaluator</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 second fixed prompt that returns overall score, criterion scores, issues, and recommendation.</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Fallback</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 known-good generated message and evaluator result load locally if either model call fails.</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Clinician interface</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Queue, patient details, message sections, evidence drawer or panel, evaluation result, edit or regenerate control, and approval.</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Patient interface</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Approved message, trust cues, questions, next step, and selected channel preview.</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State</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Session state or local JSON for Draft, Needs revision, Approved, and Sent.</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Validation</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Check required sections, source IDs on factual claims, evaluator schema, and prohibited eligibility or benefit language.</w:t>
            </w:r>
          </w:p>
        </w:tc>
      </w:tr>
    </w:tbl>
    <w:p>
      <w:pPr>
        <w:spacing w:after="20"/>
      </w:pPr>
    </w:p>
    <w:p>
      <w:r>
        <w:rPr>
          <w:b/>
        </w:rPr>
        <w:t>Integration rule</w:t>
      </w:r>
      <w:r>
        <w:t xml:space="preserve"> CS 1 and CS 2 must agree on the input and output JSON before either builds beyond a stub. The interface should work with local fixtures first. Live model calls are connected only after the full click path works.</w:t>
      </w:r>
    </w:p>
    <w:p>
      <w:pPr>
        <w:pStyle w:val="Heading1"/>
      </w:pPr>
      <w:r>
        <w:t>8 Recovery Scope</w:t>
      </w:r>
    </w:p>
    <w:p>
      <w:pPr>
        <w:keepNext w:val="0"/>
      </w:pPr>
      <w:r>
        <w:t>The team now has less than two full build days. The required scope is the smallest version that proves generation, comprehension checking, clinician control, and a patient-safe preview. Every new idea must replace existing work rather than add to it.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52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Required for the demo</w:t>
            </w:r>
          </w:p>
        </w:tc>
        <w:tc>
          <w:tcPr>
            <w:tcW w:type="dxa" w:w="316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Only after the full path works</w:t>
            </w:r>
          </w:p>
        </w:tc>
        <w:tc>
          <w:tcPr>
            <w:tcW w:type="dxa" w:w="352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Do not build</w:t>
            </w:r>
          </w:p>
        </w:tc>
      </w:tr>
      <w:tr>
        <w:trPr>
          <w:cantSplit/>
        </w:trPr>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synthetic patient and one real cached trial</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More than one working patient</w:t>
            </w:r>
          </w:p>
        </w:tc>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Live EHR, FHIR server, portal, email, or SMS integration</w:t>
            </w:r>
          </w:p>
        </w:tc>
      </w:tr>
      <w:tr>
        <w:trPr>
          <w:cantSplit/>
        </w:trPr>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mock Azra match object and source map</w:t>
            </w:r>
          </w:p>
        </w:tc>
        <w:tc>
          <w:tcPr>
            <w:tcW w:type="dxa" w:w="31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Version history</w:t>
            </w:r>
          </w:p>
        </w:tc>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Database, authentication, or production audit system</w:t>
            </w:r>
          </w:p>
        </w:tc>
      </w:tr>
      <w:tr>
        <w:trPr>
          <w:cantSplit/>
        </w:trPr>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Five-section grounded patient message</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Multiple channel-specific layouts</w:t>
            </w:r>
          </w:p>
        </w:tc>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New matching or final eligibility logic</w:t>
            </w:r>
          </w:p>
        </w:tc>
      </w:tr>
      <w:tr>
        <w:trPr>
          <w:cantSplit/>
        </w:trPr>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Fixed PEMAT-informed evaluator with structured output</w:t>
            </w:r>
          </w:p>
        </w:tc>
        <w:tc>
          <w:tcPr>
            <w:tcW w:type="dxa" w:w="31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Before-and-after score visualization</w:t>
            </w:r>
          </w:p>
        </w:tc>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Validated comprehension, enrollment, or retention claims</w:t>
            </w:r>
          </w:p>
        </w:tc>
      </w:tr>
      <w:tr>
        <w:trPr>
          <w:cantSplit/>
        </w:trPr>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Clinician evidence view and manual editing</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Small informal reader test</w:t>
            </w:r>
          </w:p>
        </w:tc>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Demographic-based literacy prediction</w:t>
            </w:r>
          </w:p>
        </w:tc>
      </w:tr>
      <w:tr>
        <w:trPr>
          <w:cantSplit/>
        </w:trPr>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One targeted section regeneration</w:t>
            </w:r>
          </w:p>
        </w:tc>
        <w:tc>
          <w:tcPr>
            <w:tcW w:type="dxa" w:w="31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Language preference concept</w:t>
            </w:r>
          </w:p>
        </w:tc>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Real patient data or PHI</w:t>
            </w:r>
          </w:p>
        </w:tc>
      </w:tr>
      <w:tr>
        <w:trPr>
          <w:cantSplit/>
        </w:trPr>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Approval, channel selection, patient preview, simulated send</w:t>
            </w:r>
          </w:p>
        </w:tc>
        <w:tc>
          <w:tcPr>
            <w:tcW w:type="dxa" w:w="31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Extra responsive polish</w:t>
            </w:r>
          </w:p>
        </w:tc>
        <w:tc>
          <w:tcPr>
            <w:tcW w:type="dxa" w:w="35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Consent, chatbot, CRM, or production HIPAA infrastructure</w:t>
            </w:r>
          </w:p>
        </w:tc>
      </w:tr>
      <w:tr>
        <w:trPr>
          <w:cantSplit/>
        </w:trPr>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Known-good fallback data and screenshots</w:t>
            </w:r>
          </w:p>
        </w:tc>
        <w:tc>
          <w:tcPr>
            <w:tcW w:type="dxa" w:w="31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Response buttons</w:t>
            </w:r>
          </w:p>
        </w:tc>
        <w:tc>
          <w:tcPr>
            <w:tcW w:type="dxa" w:w="35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Large-scale testing or analytics</w:t>
            </w:r>
          </w:p>
        </w:tc>
      </w:tr>
    </w:tbl>
    <w:p>
      <w:pPr>
        <w:spacing w:after="20"/>
      </w:pPr>
    </w:p>
    <w:p>
      <w:pPr>
        <w:pStyle w:val="Heading1"/>
      </w:pPr>
      <w:r>
        <w:t>9 Team Assignments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Owner</w:t>
            </w:r>
          </w:p>
        </w:tc>
        <w:tc>
          <w:tcPr>
            <w:tcW w:type="dxa" w:w="496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Work to complete now</w:t>
            </w:r>
          </w:p>
        </w:tc>
        <w:tc>
          <w:tcPr>
            <w:tcW w:type="dxa" w:w="417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Handoff</w:t>
            </w:r>
          </w:p>
        </w:tc>
      </w:tr>
      <w:tr>
        <w:trPr>
          <w:cantSplit/>
        </w:trPr>
        <w:tc>
          <w:tcPr>
            <w:tcW w:type="dxa" w:w="10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Business 1</w:t>
            </w:r>
          </w:p>
        </w:tc>
        <w:tc>
          <w:tcPr>
            <w:tcW w:type="dxa" w:w="49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Freeze the problem statement, product boundary, patient and clinician value, defendable claims, and Friday acceptance criteria.</w:t>
            </w:r>
          </w:p>
        </w:tc>
        <w:tc>
          <w:tcPr>
            <w:tcW w:type="dxa" w:w="41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Give CS 1 a one-page requirements list and give Business 4 the final claim language.</w:t>
            </w:r>
          </w:p>
        </w:tc>
      </w:tr>
      <w:tr>
        <w:trPr>
          <w:cantSplit/>
        </w:trPr>
        <w:tc>
          <w:tcPr>
            <w:tcW w:type="dxa" w:w="10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Business 2</w:t>
            </w:r>
          </w:p>
        </w:tc>
        <w:tc>
          <w:tcPr>
            <w:tcW w:type="dxa" w:w="49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Create the fixed PEMAT-informed rubric, scoring instructions, evaluator examples, result labels, and the disclaimer that the score is not proven comprehension.</w:t>
            </w:r>
          </w:p>
        </w:tc>
        <w:tc>
          <w:tcPr>
            <w:tcW w:type="dxa" w:w="41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Give CS 1 the evaluator prompt and JSON fields; give Business 4 the comparison language.</w:t>
            </w:r>
          </w:p>
        </w:tc>
      </w:tr>
      <w:tr>
        <w:trPr>
          <w:cantSplit/>
        </w:trPr>
        <w:tc>
          <w:tcPr>
            <w:tcW w:type="dxa" w:w="10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Business 3</w:t>
            </w:r>
          </w:p>
        </w:tc>
        <w:tc>
          <w:tcPr>
            <w:tcW w:type="dxa" w:w="49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Write the gold-standard patient message, approved source map, limited-personalization rules, trust cues, questions, and prohibited wording.</w:t>
            </w:r>
          </w:p>
        </w:tc>
        <w:tc>
          <w:tcPr>
            <w:tcW w:type="dxa" w:w="41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Give CS 1 the generation content rules and review the first output with source links.</w:t>
            </w:r>
          </w:p>
        </w:tc>
      </w:tr>
      <w:tr>
        <w:trPr>
          <w:cantSplit/>
        </w:trPr>
        <w:tc>
          <w:tcPr>
            <w:tcW w:type="dxa" w:w="10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Business 4</w:t>
            </w:r>
          </w:p>
        </w:tc>
        <w:tc>
          <w:tcPr>
            <w:tcW w:type="dxa" w:w="49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Own the deck, architecture diagram, baseline comparison, demo narration, citations, screenshots, backup story, and rehearsal timing.</w:t>
            </w:r>
          </w:p>
        </w:tc>
        <w:tc>
          <w:tcPr>
            <w:tcW w:type="dxa" w:w="41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 actual prototype states from CS 2 and keep slides synchronized with the working build.</w:t>
            </w:r>
          </w:p>
        </w:tc>
      </w:tr>
      <w:tr>
        <w:trPr>
          <w:cantSplit/>
        </w:trPr>
        <w:tc>
          <w:tcPr>
            <w:tcW w:type="dxa" w:w="10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CS 1</w:t>
            </w:r>
          </w:p>
        </w:tc>
        <w:tc>
          <w:tcPr>
            <w:tcW w:type="dxa" w:w="496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Set up the project, fixtures, generation schema and prompt, source validation, evaluator call, cached results, and targeted regeneration endpoint or function.</w:t>
            </w:r>
          </w:p>
        </w:tc>
        <w:tc>
          <w:tcPr>
            <w:tcW w:type="dxa" w:w="41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Publish stable JSON examples for CS 2 and keep the fallback path runnable without external services.</w:t>
            </w:r>
          </w:p>
        </w:tc>
      </w:tr>
      <w:tr>
        <w:trPr>
          <w:cantSplit/>
        </w:trPr>
        <w:tc>
          <w:tcPr>
            <w:tcW w:type="dxa" w:w="10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CS 2</w:t>
            </w:r>
          </w:p>
        </w:tc>
        <w:tc>
          <w:tcPr>
            <w:tcW w:type="dxa" w:w="496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Build the Streamlit or agreed UI for queue, clinician review, evidence, evaluation, editing, approval, channel selection, patient preview, send, and status.</w:t>
            </w:r>
          </w:p>
        </w:tc>
        <w:tc>
          <w:tcPr>
            <w:tcW w:type="dxa" w:w="41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Integrate CS 1 functions through the frozen JSON contract and capture final screenshots for Business 4.</w:t>
            </w:r>
          </w:p>
        </w:tc>
      </w:tr>
    </w:tbl>
    <w:p>
      <w:pPr>
        <w:spacing w:after="20"/>
      </w:pPr>
    </w:p>
    <w:p>
      <w:pPr>
        <w:pStyle w:val="Heading2"/>
      </w:pPr>
      <w:r>
        <w:t>Required Cross Team Pairings</w:t>
      </w:r>
    </w:p>
    <w:p>
      <w:pPr>
        <w:pStyle w:val="ListBullet"/>
      </w:pPr>
      <w:r>
        <w:t>Business 2 and CS 1 lock the evaluator rubric and JSON contract before the evaluator is coded.</w:t>
      </w:r>
    </w:p>
    <w:p>
      <w:pPr>
        <w:pStyle w:val="ListBullet"/>
      </w:pPr>
      <w:r>
        <w:t>Business 3 and CS 1 approve the message schema, source rules, and one known-good output before live generation is connected.</w:t>
      </w:r>
    </w:p>
    <w:p>
      <w:pPr>
        <w:pStyle w:val="ListBullet"/>
      </w:pPr>
      <w:r>
        <w:t>Business 1 and CS 2 confirm visible statuses, approval language, and scope labels in the interface.</w:t>
      </w:r>
    </w:p>
    <w:p>
      <w:pPr>
        <w:pStyle w:val="ListBullet"/>
      </w:pPr>
      <w:r>
        <w:t>Business 4 and CS 2 agree on the exact click path and screenshot states before Thursday testing.</w:t>
      </w:r>
    </w:p>
    <w:p>
      <w:pPr>
        <w:pStyle w:val="Heading1"/>
      </w:pPr>
      <w:r>
        <w:t>10 Wednesday Through Friday Recovery Schedule</w:t>
      </w:r>
    </w:p>
    <w:p>
      <w:pPr>
        <w:pStyle w:val="Heading2"/>
      </w:pPr>
      <w:r>
        <w:t>Wednesday Build the Full Path</w:t>
      </w:r>
    </w:p>
    <w:p>
      <w:pPr>
        <w:pStyle w:val="ListBullet"/>
      </w:pPr>
      <w:r>
        <w:t>First 45 minutes: freeze the five message sections, evaluator fields, JSON contracts, framework, and out-of-scope list.</w:t>
      </w:r>
    </w:p>
    <w:p>
      <w:pPr>
        <w:pStyle w:val="ListBullet"/>
      </w:pPr>
      <w:r>
        <w:t>Business 1 completes the requirements and claim sheet. Business 2 completes the evaluator rubric. Business 3 completes the target patient message and source map. Business 4 builds the deck structure and baseline message.</w:t>
      </w:r>
    </w:p>
    <w:p>
      <w:pPr>
        <w:pStyle w:val="ListBullet"/>
      </w:pPr>
      <w:r>
        <w:t>CS 1 creates the repository structure, local fixtures, generation function, evaluator function, and known-good fallback outputs.</w:t>
      </w:r>
    </w:p>
    <w:p>
      <w:pPr>
        <w:pStyle w:val="ListBullet"/>
      </w:pPr>
      <w:r>
        <w:t>CS 2 builds the complete interface with placeholder data and session-state transitions before waiting for live model integration.</w:t>
      </w:r>
    </w:p>
    <w:p>
      <w:pPr>
        <w:pStyle w:val="ListBullet"/>
      </w:pPr>
      <w:r>
        <w:t>Midday integration: connect the interface to CS 1's fixture-backed functions and complete one click path from queue to Sent.</w:t>
      </w:r>
    </w:p>
    <w:p>
      <w:pPr>
        <w:pStyle w:val="ListBullet"/>
      </w:pPr>
      <w:r>
        <w:t>End of day: connect at least the generation call, show the evaluator result, and capture a working backup. If a live call is unstable, keep the deterministic fallback and move on.</w:t>
      </w:r>
    </w:p>
    <w:p>
      <w:r>
        <w:rPr>
          <w:b/>
        </w:rPr>
        <w:t>Wednesday exit condition</w:t>
      </w:r>
      <w:r>
        <w:t xml:space="preserve"> One end-to-end demo path works from local data. The clinician can generate or load the message, see the comprehension result, inspect evidence, edit, approve, preview, and simulate send.</w:t>
      </w:r>
    </w:p>
    <w:p>
      <w:pPr>
        <w:pStyle w:val="Heading2"/>
      </w:pPr>
      <w:r>
        <w:t>Thursday Integrate Test and Freeze</w:t>
      </w:r>
    </w:p>
    <w:p>
      <w:pPr>
        <w:pStyle w:val="ListBullet"/>
      </w:pPr>
      <w:r>
        <w:t>Morning: finish source validation, one targeted regeneration, evaluator rerun, channel selection, and visible status handling.</w:t>
      </w:r>
    </w:p>
    <w:p>
      <w:pPr>
        <w:pStyle w:val="ListBullet"/>
      </w:pPr>
      <w:r>
        <w:t>Business team tests the message, evaluator, claims, privacy wording, and patient view against the V4 acceptance checklist.</w:t>
      </w:r>
    </w:p>
    <w:p>
      <w:pPr>
        <w:pStyle w:val="ListBullet"/>
      </w:pPr>
      <w:r>
        <w:t>Run the baseline and improved messages through the same rubric. Conduct a small informal reader check only if it does not delay integration.</w:t>
      </w:r>
    </w:p>
    <w:p>
      <w:pPr>
        <w:pStyle w:val="ListBullet"/>
      </w:pPr>
      <w:r>
        <w:t>Freeze features by 2 PM. After the freeze, fix only broken flows, incorrect claims, missing sources, or confusing interface states.</w:t>
      </w:r>
    </w:p>
    <w:p>
      <w:pPr>
        <w:pStyle w:val="ListBullet"/>
      </w:pPr>
      <w:r>
        <w:t>Capture screenshots or a short backup recording and verify that cached data works without the network or model service.</w:t>
      </w:r>
    </w:p>
    <w:p>
      <w:pPr>
        <w:pStyle w:val="ListBullet"/>
      </w:pPr>
      <w:r>
        <w:t>Complete at least two timed rehearsals with the real click path and one rehearsal using the backup path.</w:t>
      </w:r>
    </w:p>
    <w:p>
      <w:r>
        <w:rPr>
          <w:b/>
        </w:rPr>
        <w:t>Thursday exit condition</w:t>
      </w:r>
      <w:r>
        <w:t xml:space="preserve"> The live and backup demos tell the same story, the slides use actual screenshots, and every speaker can explain the score limitation and product boundary.</w:t>
      </w:r>
    </w:p>
    <w:p>
      <w:pPr>
        <w:pStyle w:val="Heading2"/>
      </w:pPr>
      <w:r>
        <w:t>Friday Present</w:t>
      </w:r>
    </w:p>
    <w:p>
      <w:pPr>
        <w:pStyle w:val="ListBullet"/>
      </w:pPr>
      <w:r>
        <w:t>Make only critical fixes. Do not add new views, patients, channels, or metrics.</w:t>
      </w:r>
    </w:p>
    <w:p>
      <w:pPr>
        <w:pStyle w:val="ListBullet"/>
      </w:pPr>
      <w:r>
        <w:t>Run one final technical check of the local fixtures, model credentials, browser, display, screenshots, and recording.</w:t>
      </w:r>
    </w:p>
    <w:p>
      <w:pPr>
        <w:pStyle w:val="ListBullet"/>
      </w:pPr>
      <w:r>
        <w:t>Rehearse the handoffs and the transition into the demo once before presenting.</w:t>
      </w:r>
    </w:p>
    <w:p>
      <w:pPr>
        <w:pStyle w:val="ListBullet"/>
      </w:pPr>
      <w:r>
        <w:t>Describe the comprehension result as a model-assisted rubric score and the reader comparison as informal testing.</w:t>
      </w:r>
    </w:p>
    <w:p>
      <w:pPr>
        <w:pStyle w:val="Heading1"/>
      </w:pPr>
      <w:r>
        <w:t>11 Recommended Demo Sequence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57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color w:val="FFFFFF"/>
                <w:sz w:val="18"/>
              </w:rPr>
              <w:t>No</w:t>
            </w:r>
          </w:p>
        </w:tc>
        <w:tc>
          <w:tcPr>
            <w:tcW w:type="dxa" w:w="2232"/>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Demo step</w:t>
            </w:r>
          </w:p>
        </w:tc>
        <w:tc>
          <w:tcPr>
            <w:tcW w:type="dxa" w:w="741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What to show</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1</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Set the boundary</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Azra already supplied the potential match; the prototype does not rematch or confirm eligibility.</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2</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Open the patient</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Select the one complete synthetic patient from the queue.</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3</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Show the source pack</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Briefly show the real trial, limited patient facts, mock match evidence, and approved sources.</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4</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Generate the message</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Show the five patient-facing sections with limited personalization and trust cues.</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5</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Check comprehension</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Show the fixed rubric result, issue list, and model-assisted label.</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6</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Prove traceability</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Open one factual claim and reveal its source without exposing the source metadata in the patient view.</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7</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Revise one section</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Edit manually or request a shorter or clearer targeted regeneration, then rerun the relevant check.</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8</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Approve</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Approve the exact reviewed version.</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9</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Select delivery</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Choose a channel and explain how generic email or SMS can direct the patient to secure content.</w:t>
            </w:r>
          </w:p>
        </w:tc>
      </w:tr>
      <w:tr>
        <w:trPr>
          <w:cantSplit/>
        </w:trPr>
        <w:tc>
          <w:tcPr>
            <w:tcW w:type="dxa" w:w="57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10</w:t>
            </w:r>
          </w:p>
        </w:tc>
        <w:tc>
          <w:tcPr>
            <w:tcW w:type="dxa" w:w="2232"/>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Show the patient view</w:t>
            </w:r>
          </w:p>
        </w:tc>
        <w:tc>
          <w:tcPr>
            <w:tcW w:type="dxa" w:w="741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Display the clean message, questions, and next step.</w:t>
            </w:r>
          </w:p>
        </w:tc>
      </w:tr>
      <w:tr>
        <w:trPr>
          <w:cantSplit/>
        </w:trPr>
        <w:tc>
          <w:tcPr>
            <w:tcW w:type="dxa" w:w="57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center"/>
            </w:pPr>
            <w:r/>
            <w:r>
              <w:rPr>
                <w:rFonts w:ascii="Aptos" w:hAnsi="Aptos"/>
                <w:b w:val="0"/>
                <w:color w:val="000000"/>
                <w:sz w:val="18"/>
              </w:rPr>
              <w:t>11</w:t>
            </w:r>
          </w:p>
        </w:tc>
        <w:tc>
          <w:tcPr>
            <w:tcW w:type="dxa" w:w="2232"/>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Simulate send</w:t>
            </w:r>
          </w:p>
        </w:tc>
        <w:tc>
          <w:tcPr>
            <w:tcW w:type="dxa" w:w="741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Update the queue status to Sent.</w:t>
            </w:r>
          </w:p>
        </w:tc>
      </w:tr>
    </w:tbl>
    <w:p>
      <w:pPr>
        <w:spacing w:after="20"/>
      </w:pPr>
    </w:p>
    <w:p>
      <w:pPr>
        <w:pStyle w:val="Heading1"/>
      </w:pPr>
      <w:r>
        <w:t>12 Acceptance Measures</w:t>
      </w:r>
    </w:p>
    <w:p>
      <w:pPr>
        <w:pStyle w:val="ListBullet"/>
      </w:pPr>
      <w:r>
        <w:t>The complete demo works from cached local data even when external services fail.</w:t>
      </w:r>
    </w:p>
    <w:p>
      <w:pPr>
        <w:pStyle w:val="ListBullet"/>
      </w:pPr>
      <w:r>
        <w:t>The patient message contains all five required sections and avoids unnecessary sensitive detail.</w:t>
      </w:r>
    </w:p>
    <w:p>
      <w:pPr>
        <w:pStyle w:val="ListBullet"/>
      </w:pPr>
      <w:r>
        <w:t>Every patient-specific or study-specific factual claim shown to the patient has one or more source IDs in the clinician view.</w:t>
      </w:r>
    </w:p>
    <w:p>
      <w:pPr>
        <w:pStyle w:val="ListBullet"/>
      </w:pPr>
      <w:r>
        <w:t>The evaluator applies the same fixed rubric and returns valid structured output with a clear model-assisted label.</w:t>
      </w:r>
    </w:p>
    <w:p>
      <w:pPr>
        <w:pStyle w:val="ListBullet"/>
      </w:pPr>
      <w:r>
        <w:t>The message does not claim final eligibility, guaranteed benefit, medical advice, or replacement of informed consent.</w:t>
      </w:r>
    </w:p>
    <w:p>
      <w:pPr>
        <w:pStyle w:val="ListBullet"/>
      </w:pPr>
      <w:r>
        <w:t>A clinician can inspect evidence, make one edit or targeted revision, approve the exact version, select a channel, and complete the simulated send.</w:t>
      </w:r>
    </w:p>
    <w:p>
      <w:pPr>
        <w:pStyle w:val="ListBullet"/>
      </w:pPr>
      <w:r>
        <w:t>The patient view contains trust cues, questions to discuss, and one low-pressure next step without clinician-only evidence metadata.</w:t>
      </w:r>
    </w:p>
    <w:p>
      <w:pPr>
        <w:pStyle w:val="ListBullet"/>
      </w:pPr>
      <w:r>
        <w:t>The baseline comparison and any reader feedback are described as preliminary, not statistically valid research.</w:t>
      </w:r>
    </w:p>
    <w:p>
      <w:pPr>
        <w:pStyle w:val="Heading1"/>
      </w:pPr>
      <w:r>
        <w:t>13 Main Risks and Required Cuts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Risk</w:t>
            </w:r>
          </w:p>
        </w:tc>
        <w:tc>
          <w:tcPr>
            <w:tcW w:type="dxa" w:w="7344"/>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Response</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No code at the start of Wednesday</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Build the full fixture-backed click path first. Connect live calls only after every state works.</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Evaluator becomes a research claim</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Label it as a model-assisted rubric evaluation and never describe the score as proven comprehension.</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Patient message exposes too much</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 one short relevance explanation and keep detailed match evidence in the clinician view.</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Source links delay the build</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Attach sources at the section or claim level with a small fixed schema. Do not build a document-management system.</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Manual edit breaks grounding</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Mark the section Edited by Clinician and disclose that automatic revalidation of manual edits is future work.</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Live model or API fails</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Use cached trial data, a known-good generated message, evaluator output, screenshots, and a rehearsed backup.</w:t>
            </w:r>
          </w:p>
        </w:tc>
      </w:tr>
      <w:tr>
        <w:trPr>
          <w:cantSplit/>
        </w:trPr>
        <w:tc>
          <w:tcPr>
            <w:tcW w:type="dxa" w:w="2880"/>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Scope expands on Thursday</w:t>
            </w:r>
          </w:p>
        </w:tc>
        <w:tc>
          <w:tcPr>
            <w:tcW w:type="dxa" w:w="7344"/>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Remove extra patients, score graphics, channel variants, and version history before cutting the core flow.</w:t>
            </w:r>
          </w:p>
        </w:tc>
      </w:tr>
      <w:tr>
        <w:trPr>
          <w:cantSplit/>
        </w:trPr>
        <w:tc>
          <w:tcPr>
            <w:tcW w:type="dxa" w:w="2880"/>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Deck and prototype diverge</w:t>
            </w:r>
          </w:p>
        </w:tc>
        <w:tc>
          <w:tcPr>
            <w:tcW w:type="dxa" w:w="7344"/>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Business 4 updates slides from the working build after the feature freeze and uses the same terms as the interface.</w:t>
            </w:r>
          </w:p>
        </w:tc>
      </w:tr>
    </w:tbl>
    <w:p>
      <w:pPr>
        <w:spacing w:after="20"/>
      </w:pPr>
    </w:p>
    <w:p>
      <w:pPr>
        <w:pStyle w:val="Heading1"/>
      </w:pPr>
      <w:r>
        <w:t>14 Friday Readiness Checklist</w:t>
      </w:r>
    </w:p>
    <w:p>
      <w:pPr>
        <w:keepNext w:val="0"/>
      </w:pPr>
      <w:r>
        <w:t>[ ] The team can explain where Azra's existing match ends and the outreach feature begins.</w:t>
      </w:r>
    </w:p>
    <w:p>
      <w:pPr>
        <w:keepNext w:val="0"/>
      </w:pPr>
      <w:r>
        <w:t>[ ] One synthetic patient, one real cached trial, one mock Azra match object, and one approved source map are ready.</w:t>
      </w:r>
    </w:p>
    <w:p>
      <w:pPr>
        <w:keepNext w:val="0"/>
      </w:pPr>
      <w:r>
        <w:t>[ ] The five-section patient message uses limited personalization and includes trust cues.</w:t>
      </w:r>
    </w:p>
    <w:p>
      <w:pPr>
        <w:keepNext w:val="0"/>
      </w:pPr>
      <w:r>
        <w:t>[ ] The comprehension evaluator uses the fixed rubric and is labeled as model assisted.</w:t>
      </w:r>
    </w:p>
    <w:p>
      <w:pPr>
        <w:keepNext w:val="0"/>
      </w:pPr>
      <w:r>
        <w:t>[ ] Patient-specific and study-specific factual claims have source IDs in the clinician view.</w:t>
      </w:r>
    </w:p>
    <w:p>
      <w:pPr>
        <w:keepNext w:val="0"/>
      </w:pPr>
      <w:r>
        <w:t>[ ] The patient view contains no raw FHIR, detailed match criteria, or internal source metadata.</w:t>
      </w:r>
    </w:p>
    <w:p>
      <w:pPr>
        <w:keepNext w:val="0"/>
      </w:pPr>
      <w:r>
        <w:t>[ ] Manual editing, one targeted regeneration, approval, channel selection, patient preview, send, and status update work.</w:t>
      </w:r>
    </w:p>
    <w:p>
      <w:pPr>
        <w:keepNext w:val="0"/>
      </w:pPr>
      <w:r>
        <w:t>[ ] The baseline comparison uses the same evaluator and is described as preliminary.</w:t>
      </w:r>
    </w:p>
    <w:p>
      <w:pPr>
        <w:keepNext w:val="0"/>
      </w:pPr>
      <w:r>
        <w:t>[ ] The cached fallback, screenshots or recording, and backup narration have been tested.</w:t>
      </w:r>
    </w:p>
    <w:p>
      <w:pPr>
        <w:keepNext w:val="0"/>
      </w:pPr>
      <w:r>
        <w:t>[ ] The deck, interface, and demo narration use the same claims and scope language.</w:t>
      </w:r>
    </w:p>
    <w:p>
      <w:pPr>
        <w:keepNext w:val="0"/>
      </w:pPr>
      <w:r>
        <w:t>[ ] The team has completed two timed rehearsals and one backup-path rehearsal.</w:t>
      </w:r>
    </w:p>
    <w:p>
      <w:pPr>
        <w:pStyle w:val="Heading1"/>
      </w:pPr>
      <w:r>
        <w:t>15 Source Basis</w:t>
      </w:r>
    </w:p>
    <w:p>
      <w:pPr>
        <w:keepNext w:val="0"/>
      </w:pPr>
      <w:r>
        <w:t>V4 retains the research basis summarized in Azra Clinical Trial Outreach Research Findings and incorporates the decisions recorded in the September 29 working file. The September 29 file changes product and execution decisions; it does not add evidence that the prototype improves real patient comprehension, enrollment, retention, or clinical outcomes.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096"/>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Source</w:t>
            </w:r>
          </w:p>
        </w:tc>
        <w:tc>
          <w:tcPr>
            <w:tcW w:type="dxa" w:w="7128"/>
            <w:shd w:fill="353535"/>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color w:val="FFFFFF"/>
                <w:sz w:val="18"/>
              </w:rPr>
              <w:t>Use in V4</w:t>
            </w:r>
          </w:p>
        </w:tc>
      </w:tr>
      <w:tr>
        <w:trPr>
          <w:cantSplit/>
        </w:trPr>
        <w:tc>
          <w:tcPr>
            <w:tcW w:type="dxa" w:w="309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Azra Clinical Trial Outreach Research Findings</w:t>
            </w:r>
          </w:p>
        </w:tc>
        <w:tc>
          <w:tcPr>
            <w:tcW w:type="dxa" w:w="71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Grounding, plain-language design, clinician review, approved sources, channel variability, production governance, and limits on impact claims.</w:t>
            </w:r>
          </w:p>
        </w:tc>
      </w:tr>
      <w:tr>
        <w:trPr>
          <w:cantSplit/>
        </w:trPr>
        <w:tc>
          <w:tcPr>
            <w:tcW w:type="dxa" w:w="3096"/>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September 29 working file</w:t>
            </w:r>
          </w:p>
        </w:tc>
        <w:tc>
          <w:tcPr>
            <w:tcW w:type="dxa" w:w="7128"/>
            <w:shd w:fill="F2F2F2"/>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Limited patient personalization, trust cues, fixed PEMAT-informed evaluation, baseline comparison, channel selection concept, updated workflow, and the decision not to infer literacy from demographics.</w:t>
            </w:r>
          </w:p>
        </w:tc>
      </w:tr>
      <w:tr>
        <w:trPr>
          <w:cantSplit/>
        </w:trPr>
        <w:tc>
          <w:tcPr>
            <w:tcW w:type="dxa" w:w="3096"/>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Current project status</w:t>
            </w:r>
          </w:p>
        </w:tc>
        <w:tc>
          <w:tcPr>
            <w:tcW w:type="dxa" w:w="7128"/>
            <w:shd w:fill="FFFFFF"/>
            <w:vAlign w:val="center"/>
            <w:tcMar>
              <w:top w:w="80" w:type="dxa"/>
              <w:start w:w="100" w:type="dxa"/>
              <w:bottom w:w="8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000000"/>
                <w:sz w:val="18"/>
              </w:rPr>
              <w:t>No code started by Wednesday, requiring a fixture-first build, one integrated path, and a Thursday afternoon feature freeze.</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979" w:right="979" w:bottom="979" w:left="979"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Research informed working plan | September 30,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Research informed working plan | September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7"/>
      </w:rPr>
      <w:t>Azra Clinical Trial Outreach Case | Team Working Plan V4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ptos Display" w:hAnsi="Aptos Display"/>
      <w:b/>
      <w:i w:val="0"/>
      <w:iCs/>
      <w:color w:val="35353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47" w:lineRule="auto"/>
      <w:ind w:left="403" w:hanging="230"/>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color w:val="2323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 Clinical Trial Outreach Team Working Plan V4</dc:title>
  <dc:subject>Updated scope and Wednesday recovery plan for the clinical trial outreach prototype</dc:subject>
  <dc:creator>Team</dc:creator>
  <cp:keywords/>
  <dc:description>Updated from the September 29 working file.</dc:description>
  <cp:lastModifiedBy/>
  <cp:revision>1</cp:revision>
  <dcterms:created xsi:type="dcterms:W3CDTF">2013-12-23T23:15:00Z</dcterms:created>
  <dcterms:modified xsi:type="dcterms:W3CDTF">2013-12-23T23:15:00Z</dcterms:modified>
  <cp:category/>
</cp:coreProperties>
</file>