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/>
        <w:jc w:val="center"/>
      </w:pPr>
      <w:r>
        <w:drawing>
          <wp:inline distT="0" distR="0" distB="0" distL="0">
            <wp:extent cx="5734050" cy="1720215"/>
            <wp:docPr id="0" name="Drawing 0" descr="7c8e848fc7c9314c8c6546772d155d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c8e848fc7c9314c8c6546772d155d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0" w:type="dxa"/>
        <w:tblBorders>
          <w:top w:val="single" w:color="8095fe" w:sz="6"/>
          <w:start w:color="8095fe" w:sz="6" w:val="single"/>
          <w:left w:val="single"/>
          <w:bottom w:val="single" w:color="8095fe" w:sz="6"/>
          <w:end w:color="8095fe" w:sz="6" w:val="single"/>
          <w:right w:val="single"/>
          <w:insideH w:val="single" w:color="8095fe" w:sz="6"/>
          <w:insideV w:val="single" w:color="8095fe" w:sz="6"/>
        </w:tblBorders>
      </w:tblPr>
      <w:tblGrid>
        <w:gridCol w:w="9030"/>
      </w:tblGrid>
      <w:tr>
        <w:tc>
          <w:tcPr>
            <w:tcW w:w="9030" w:type="dxa"/>
            <w:shd w:val="clear" w:color="auto" w:fill="e6ebff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Canva Sans Bold" w:hAnsi="Canva Sans Bold" w:cs="Canva Sans Bold" w:eastAsia="Canva Sans Bold"/>
                <w:b/>
                <w:bCs/>
                <w:color w:val="223179"/>
                <w:sz w:val="32"/>
                <w:szCs w:val="32"/>
              </w:rPr>
              <w:t xml:space="preserve">Hello! We want you to know better. </w:t>
              <w:br/>
            </w:r>
            <w:r>
              <w:rPr>
                <w:rFonts w:ascii="Canva Sans" w:hAnsi="Canva Sans" w:cs="Canva Sans" w:eastAsia="Canva Sans"/>
                <w:color w:val="000000"/>
                <w:sz w:val="20"/>
                <w:szCs w:val="20"/>
              </w:rPr>
              <w:t>Your call transcript is summarized here!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32"/>
                <w:szCs w:val="32"/>
              </w:rPr>
              <w:t xml:space="preserve">
</w:t>
            </w:r>
          </w:p>
        </w:tc>
      </w:tr>
    </w:tbl>
    <w:tbl>
      <w:tblPr>
        <w:tblW w:w="9030" w:type="dxa"/>
        <w:tblBorders>
          <w:top w:val="single" w:color="18ba7d" w:sz="6"/>
          <w:start w:color="18ba7d" w:sz="6" w:val="single"/>
          <w:left w:val="single"/>
          <w:bottom w:val="single" w:color="18ba7d" w:sz="6"/>
          <w:end w:color="18ba7d" w:sz="6" w:val="single"/>
          <w:right w:val="single"/>
          <w:insideH w:val="single" w:color="18ba7d" w:sz="6"/>
          <w:insideV w:val="single" w:color="18ba7d" w:sz="6"/>
        </w:tblBorders>
      </w:tblPr>
      <w:tblGrid>
        <w:gridCol w:w="2999"/>
        <w:gridCol w:w="6030"/>
      </w:tblGrid>
      <w:tr>
        <w:tc>
          <w:tcPr>
            <w:tcW w:w="9030" w:type="dxa"/>
            <w:gridSpan w:val="2"/>
            <w:shd w:val="clear" w:color="auto" w:fill="18ba7d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DM Sans" w:hAnsi="DM Sans" w:cs="DM Sans" w:eastAsia="DM Sans"/>
                <w:color w:val="ffffff"/>
                <w:sz w:val="36"/>
                <w:szCs w:val="36"/>
              </w:rPr>
              <w:t>Part</w:t>
            </w:r>
            <w:r>
              <w:rPr>
                <w:rFonts w:ascii="DM Sans Bold" w:hAnsi="DM Sans Bold" w:cs="DM Sans Bold" w:eastAsia="DM Sans Bold"/>
                <w:b/>
                <w:bCs/>
                <w:color w:val="ffffff"/>
                <w:sz w:val="36"/>
                <w:szCs w:val="36"/>
              </w:rPr>
              <w:t xml:space="preserve"> One - Basic Details</w:t>
            </w:r>
            <w:r>
              <w:rPr>
                <w:rFonts w:ascii="DM Sans Bold" w:hAnsi="DM Sans Bold" w:cs="DM Sans Bold" w:eastAsia="DM Sans Bold"/>
                <w:b/>
                <w:bCs/>
                <w:color w:val="ffffff"/>
                <w:sz w:val="36"/>
                <w:szCs w:val="36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ecfff8"/>
            <w:tcMar>
              <w:top w:w="180"/>
              <w:start w:w="180"/>
              <w:bottom w:w="180"/>
              <w:end w:w="180"/>
            </w:tcMar>
          </w:tcPr>
          <w:p>
            <w:r>
              <w:t>Name of the company:</w:t>
              <w:br/>
              <w:t xml:space="preserve"> </w:t>
              <w:br/>
              <w:t xml:space="preserve">Adani Wilmar Limited </w:t>
              <w:br/>
              <w:t xml:space="preserve"> </w:t>
              <w:br/>
            </w:r>
          </w:p>
        </w:tc>
      </w:tr>
      <w:tr>
        <w:tc>
          <w:tcPr>
            <w:tcW w:w="9030" w:type="dxa"/>
            <w:gridSpan w:val="2"/>
            <w:shd w:val="clear" w:color="auto" w:fill="ecfff8"/>
            <w:tcMar>
              <w:top w:w="180"/>
              <w:start w:w="180"/>
              <w:bottom w:w="180"/>
              <w:end w:w="180"/>
            </w:tcMar>
          </w:tcPr>
          <w:p>
            <w:r>
              <w:t>Date of the call:</w:t>
              <w:br/>
              <w:t xml:space="preserve"> </w:t>
              <w:br/>
              <w:t xml:space="preserve">November 01, 2023 </w:t>
              <w:br/>
              <w:t xml:space="preserve"> </w:t>
              <w:br/>
            </w:r>
          </w:p>
        </w:tc>
      </w:tr>
      <w:tr>
        <w:tc>
          <w:tcPr>
            <w:tcW w:w="9030" w:type="dxa"/>
            <w:gridSpan w:val="2"/>
            <w:shd w:val="clear" w:color="auto" w:fill="ecfff8"/>
            <w:tcMar>
              <w:top w:w="180"/>
              <w:start w:w="180"/>
              <w:bottom w:w="180"/>
              <w:end w:w="180"/>
            </w:tcMar>
          </w:tcPr>
          <w:p>
            <w:r>
              <w:t xml:space="preserve"> Key Participants:</w:t>
              <w:br/>
              <w:t xml:space="preserve"> </w:t>
              <w:br/>
              <w:t>Angshu Mallick, Chief Executive Officer &amp; Managing Director</w:t>
              <w:br/>
              <w:t>Shrikant Kanhere, Chief Financial Officer</w:t>
              <w:br/>
              <w:t xml:space="preserve">Saumin Sheth, Chief Operating Officer </w:t>
              <w:br/>
              <w:t xml:space="preserve"> </w:t>
              <w:br/>
            </w:r>
          </w:p>
        </w:tc>
      </w:tr>
    </w:tbl>
    <w:tbl>
      <w:tblPr>
        <w:tblW w:w="9030" w:type="dxa"/>
        <w:tblBorders>
          <w:top w:val="single" w:color="fd6658" w:sz="6"/>
          <w:start w:color="fd6658" w:sz="6" w:val="single"/>
          <w:left w:val="single"/>
          <w:bottom w:val="single" w:color="fd6658" w:sz="6"/>
          <w:end w:color="fd6658" w:sz="6" w:val="single"/>
          <w:right w:val="single"/>
          <w:insideH w:val="single" w:color="fd6658" w:sz="6"/>
          <w:insideV w:val="single" w:color="fd6658" w:sz="6"/>
        </w:tblBorders>
      </w:tblPr>
      <w:tblGrid>
        <w:gridCol w:w="2999"/>
        <w:gridCol w:w="6030"/>
      </w:tblGrid>
      <w:tr>
        <w:tc>
          <w:tcPr>
            <w:tcW w:w="9030" w:type="dxa"/>
            <w:gridSpan w:val="2"/>
            <w:shd w:val="clear" w:color="auto" w:fill="fd6658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DM Sans" w:hAnsi="DM Sans" w:cs="DM Sans" w:eastAsia="DM Sans"/>
                <w:color w:val="ffffff"/>
                <w:sz w:val="36"/>
                <w:szCs w:val="36"/>
              </w:rPr>
              <w:t>Part</w:t>
            </w:r>
            <w:r>
              <w:rPr>
                <w:rFonts w:ascii="DM Sans Bold" w:hAnsi="DM Sans Bold" w:cs="DM Sans Bold" w:eastAsia="DM Sans Bold"/>
                <w:b/>
                <w:bCs/>
                <w:color w:val="ffffff"/>
                <w:sz w:val="36"/>
                <w:szCs w:val="36"/>
              </w:rPr>
              <w:t xml:space="preserve"> Two - Financial Performance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r>
              <w:t>Quarterly Results:</w:t>
              <w:br/>
              <w:t xml:space="preserve"> </w:t>
              <w:br/>
              <w:t>- Revenue dropped by 13% in Q2 FY24, mainly due to edible oil price correction.</w:t>
              <w:br/>
              <w:t>- Food FMCG segment showed strong growth in both revenue and volume.</w:t>
              <w:br/>
              <w:t>- Profit after tax for H1 FY24 was a loss of 125 Crores, compared to a profit of 232 Crores in H1 FY23.</w:t>
              <w:br/>
              <w:t>- The company expects Q3 and Q4 to be better than Q1 and Q2, with improvements in profitability.</w:t>
              <w:br/>
              <w:t xml:space="preserve">- The company expects to maintain double-digit growth in H2 FY24. </w:t>
              <w:br/>
              <w:t xml:space="preserve">- The company expects to achieve steady-state EBITDA margins of Rs.3000 to Rs.3500 a ton in the coming quarters. </w:t>
              <w:br/>
              <w:br/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r>
              <w:t>Revenue and Growth:</w:t>
              <w:br/>
              <w:t xml:space="preserve"> </w:t>
              <w:br/>
              <w:t xml:space="preserve">The overall volume grew by 11% in Q2. </w:t>
              <w:br/>
              <w:t>Food FMCG grew by 19%.</w:t>
              <w:br/>
              <w:t>Industry essentials grew by 25%.</w:t>
              <w:br/>
              <w:t xml:space="preserve">For the half year, the overall volume growth was 18%. </w:t>
              <w:br/>
              <w:t xml:space="preserve">Edible oil grew by 15%. </w:t>
              <w:br/>
              <w:t>Food and FMCG grew by 20%.</w:t>
              <w:br/>
              <w:t>Industry essentials grew by 23%.</w:t>
              <w:br/>
              <w:t xml:space="preserve">Two years back, food contributed 10%-11% of the volumes. Currently, food is contributing 18% of volumes. </w:t>
              <w:br/>
              <w:t xml:space="preserve"> </w:t>
              <w:br/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r>
              <w:t>Market and Distribution:</w:t>
              <w:br/>
              <w:t xml:space="preserve"> </w:t>
              <w:br/>
              <w:t xml:space="preserve">The company's market share is 19.6% in the edible oil segment, making it the number one player in India.  </w:t>
              <w:br/>
              <w:t xml:space="preserve">They are the number one player in soya beans and mustard oil, and the number two player in palm oil. </w:t>
              <w:br/>
              <w:t>In the food segment, they are the number two player with a 5.15% market share.</w:t>
              <w:br/>
              <w:t xml:space="preserve">The company has expanded its distribution network to reach 650,000 outlets, up from 580,000 last year. </w:t>
              <w:br/>
              <w:t xml:space="preserve">They are present in over 26,000 rural towns, with rural sales accounting for 30% of the overall business. </w:t>
              <w:br/>
              <w:t xml:space="preserve">The company's direct reach in rural towns has grown 2.2x since FY2022 and 8.2x since FY2020. </w:t>
              <w:br/>
              <w:t xml:space="preserve">The company faces competition from regional players, especially in non-refined oils like mustard oil, groundnut oil, cotton seed oil, rice bran oil, and in food segments like atta and basin. </w:t>
              <w:br/>
              <w:t xml:space="preserve">However, the company believes its distribution model and brand strength will help it maintain its market leadership. </w:t>
              <w:br/>
              <w:br/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>Challenges and Outlook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r>
              <w:t>Challenges:</w:t>
              <w:br/>
              <w:t xml:space="preserve"> </w:t>
              <w:br/>
              <w:t xml:space="preserve">The company faced challenges like hedge disalignment, price disparity in soybean, TRQ discontinuation, and a crisis in Bangladesh. </w:t>
              <w:br/>
              <w:t xml:space="preserve">The company's performance over the quarters has been steady with consistent gross margins and EBITDA per ton except for the last two quarters. </w:t>
              <w:br/>
              <w:t xml:space="preserve">The company is focusing on strategies like reducing inventory levels, increasing distribution reach, focusing on branded exports, and developing new products to overcome these challenges. </w:t>
              <w:br/>
              <w:br/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r>
              <w:t>Outlook:</w:t>
              <w:br/>
              <w:t xml:space="preserve"> </w:t>
              <w:br/>
              <w:t xml:space="preserve">    Kohinoor brand brown rice in two brands, Kohinoor and Charminar, was launched.</w:t>
              <w:br/>
              <w:t xml:space="preserve">    Fortune Biryani kit was launched for export markets. </w:t>
              <w:br/>
              <w:t xml:space="preserve">    Export range of Premium oil was launched specifically for the US market.</w:t>
              <w:br/>
              <w:t xml:space="preserve">    HoReCa channel has shown double-digit growth quarter-after-quarter.</w:t>
              <w:br/>
              <w:t xml:space="preserve">    Branded exports have doubled in Q2 2024 on a year-on-year basis. </w:t>
              <w:br/>
              <w:t xml:space="preserve">    Alternate channels e-com and modern trade grew by 30% year-on-year in Q2 2024 and showed similar growth in H1. </w:t>
              <w:br/>
              <w:br/>
            </w:r>
          </w:p>
        </w:tc>
      </w:tr>
    </w:tbl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970925"/>
            <wp:docPr id="1" name="Drawing 1" descr="5f21dcd148ce80081649eed141d7ae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f21dcd148ce80081649eed141d7ae9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DM Sans Bold">
    <w:panose1 w:val="00000000000000000000"/>
    <w:charset w:characterSet="1"/>
    <w:embedBold r:id="rId2"/>
  </w:font>
  <w:font w:name="DM Sans">
    <w:panose1 w:val="00000000000000000000"/>
    <w:charset w:characterSet="1"/>
    <w:embedRegular r:id="rId3"/>
  </w:font>
  <w:font w:name="Canva Sans Bold">
    <w:panose1 w:val="020B0803030501040103"/>
    <w:charset w:characterSet="1"/>
    <w:embedBold r:id="rId4"/>
  </w:font>
  <w:font w:name="Canva Sans">
    <w:panose1 w:val="020B0503030501040103"/>
    <w:charset w:characterSet="1"/>
    <w:embedRegular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2024-07-22T12:31:36Z</dcterms:created>
  <dc:creator>Apache POI</dc:creator>
</cp:coreProperties>
</file>