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240" w:lineRule="auto" w:after="0"/>
        <w:jc w:val="center"/>
      </w:pPr>
      <w:r>
        <w:drawing>
          <wp:inline xmlns:a="http://schemas.openxmlformats.org/drawingml/2006/main" xmlns:pic="http://schemas.openxmlformats.org/drawingml/2006/picture">
            <wp:extent cx="3960000" cy="3493333"/>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3960000" cy="3493333"/>
                    </a:xfrm>
                    <a:prstGeom prst="rect"/>
                  </pic:spPr>
                </pic:pic>
              </a:graphicData>
            </a:graphic>
          </wp:inline>
        </w:drawing>
      </w:r>
    </w:p>
    <w:p>
      <w:pPr>
        <w:spacing w:line="240" w:lineRule="auto" w:after="0"/>
        <w:jc w:val="center"/>
      </w:pPr>
    </w:p>
    <w:p>
      <w:pPr>
        <w:spacing w:line="240" w:lineRule="auto" w:after="0"/>
        <w:jc w:val="right"/>
      </w:pPr>
      <w:r>
        <w:rPr>
          <w:rFonts w:ascii="Sylfaen" w:hAnsi="Sylfaen" w:cs="Sylfaen"/>
          <w:b/>
          <w:sz w:val="24"/>
          <w:lang w:val="en-US"/>
        </w:rPr>
        <w:t>Aleksandre Imnaishvili</w:t>
      </w:r>
    </w:p>
    <w:p>
      <w:pPr>
        <w:spacing w:line="240" w:lineRule="auto" w:after="0"/>
        <w:jc w:val="center"/>
      </w:pPr>
    </w:p>
    <w:p>
      <w:pPr>
        <w:spacing w:line="240" w:lineRule="auto" w:after="0"/>
        <w:jc w:val="center"/>
      </w:pPr>
      <w:r>
        <w:rPr>
          <w:rFonts w:ascii="Sylfaen" w:hAnsi="Sylfaen" w:cs="Sylfaen"/>
          <w:b/>
          <w:sz w:val="32"/>
          <w:lang w:val="en-US"/>
        </w:rPr>
        <w:t>Conversational AI: The Evolution from Assistant to Interlocutor</w:t>
      </w:r>
    </w:p>
    <w:p>
      <w:pPr>
        <w:spacing w:line="240" w:lineRule="auto" w:after="0"/>
        <w:jc w:val="center"/>
      </w:pPr>
    </w:p>
    <w:p>
      <w:pPr>
        <w:spacing w:line="240" w:lineRule="auto" w:after="0"/>
        <w:jc w:val="center"/>
      </w:pPr>
      <w:r>
        <w:rPr>
          <w:rFonts w:ascii="Sylfaen" w:hAnsi="Sylfaen" w:cs="Sylfaen"/>
          <w:b/>
          <w:sz w:val="28"/>
          <w:lang w:val="en-US"/>
        </w:rPr>
        <w:t>Code: 0163</w:t>
      </w:r>
    </w:p>
    <w:p>
      <w:pPr>
        <w:spacing w:line="240" w:lineRule="auto" w:after="0"/>
        <w:jc w:val="center"/>
      </w:pPr>
    </w:p>
    <w:p>
      <w:pPr>
        <w:spacing w:line="240" w:lineRule="auto" w:after="0"/>
        <w:jc w:val="center"/>
      </w:pPr>
    </w:p>
    <w:p>
      <w:pPr>
        <w:spacing w:line="240" w:lineRule="auto" w:after="0"/>
        <w:jc w:val="center"/>
      </w:pPr>
      <w:r>
        <w:rPr>
          <w:rFonts w:ascii="Sylfaen" w:hAnsi="Sylfaen" w:cs="Sylfaen"/>
          <w:b w:val="0"/>
          <w:sz w:val="24"/>
          <w:lang w:val="en-US"/>
        </w:rPr>
        <w:t>Georgian Technical University</w:t>
      </w:r>
    </w:p>
    <w:p>
      <w:pPr>
        <w:spacing w:line="240" w:lineRule="auto" w:after="0"/>
        <w:jc w:val="center"/>
      </w:pPr>
      <w:r>
        <w:rPr>
          <w:rFonts w:ascii="Sylfaen" w:hAnsi="Sylfaen" w:cs="Sylfaen"/>
          <w:b w:val="0"/>
          <w:sz w:val="24"/>
          <w:lang w:val="en-US"/>
        </w:rPr>
        <w:t>Tbilisi, 0160, Georgia</w:t>
      </w:r>
    </w:p>
    <w:p>
      <w:pPr>
        <w:spacing w:line="240" w:lineRule="auto" w:after="0"/>
        <w:jc w:val="center"/>
      </w:pPr>
      <w:r>
        <w:rPr>
          <w:rFonts w:ascii="Sylfaen" w:hAnsi="Sylfaen" w:cs="Sylfaen"/>
          <w:b w:val="0"/>
          <w:sz w:val="24"/>
          <w:lang w:val="en-US"/>
        </w:rPr>
        <w:t>July 2026</w:t>
      </w:r>
    </w:p>
    <w:p w14:paraId="1488E1DC" w14:textId="637A1E7C" w:rsidR="005E065B" w:rsidRDefault="005E065B">
      <w:pPr>
        <w:rPr>
          <w:b/>
          <w:bCs/>
          <w:sz w:val="28"/>
          <w:szCs w:val="28"/>
          <w:lang w:val="ka-GE"/>
        </w:rPr>
        <w:sectPr w:rsidR="005E065B" w:rsidSect="005E065B">
          <w:footerReference w:type="default" r:id="rId9"/>
          <w:pgSz w:w="11906" w:h="16838" w:code="9"/>
          <w:pgMar w:top="1417" w:right="1417" w:bottom="1417" w:left="2154" w:header="720" w:footer="720" w:gutter="0"/>
          <w:pgNumType w:start="0"/>
          <w:cols w:space="720"/>
          <w:titlePg/>
          <w:docGrid w:linePitch="360"/>
        </w:sectPr>
      </w:pPr>
    </w:p>
    <w:p w14:paraId="4F15C572" w14:textId="69E4F5AC" w:rsidR="00DA0EB5" w:rsidRPr="00C92066" w:rsidRDefault="00DA0EB5" w:rsidP="00DA0EB5">
      <w:pPr>
        <w:spacing w:after="0" w:line="360" w:lineRule="auto"/>
        <w:ind w:firstLine="454"/>
        <w:jc w:val="center"/>
        <w:rPr>
          <w:szCs w:val="24"/>
          <w:lang w:val="ka-GE"/>
        </w:rPr>
      </w:pPr>
      <w:bookmarkStart w:id="1" w:name="_Hlk108034864"/>
      <w:bookmarkStart w:id="2" w:name="_Hlk108034884"/>
      <w:bookmarkEnd w:id="0"/>
      <w:r w:rsidRPr="00C92066">
        <w:rPr>
          <w:szCs w:val="24"/>
          <w:lang w:val="ka-GE"/>
        </w:rPr>
        <w:lastRenderedPageBreak/>
        <w:t>საქართველოს ტექნიკური უნივერსიტეტის</w:t>
      </w:r>
    </w:p>
    <w:p w14:paraId="11447611" w14:textId="77777777" w:rsidR="00DA0EB5" w:rsidRPr="00C92066" w:rsidRDefault="00DA0EB5" w:rsidP="00DA0EB5">
      <w:pPr>
        <w:spacing w:after="0" w:line="360" w:lineRule="auto"/>
        <w:ind w:firstLine="454"/>
        <w:jc w:val="center"/>
        <w:rPr>
          <w:szCs w:val="24"/>
          <w:lang w:val="ka-GE"/>
        </w:rPr>
      </w:pPr>
      <w:r w:rsidRPr="00C92066">
        <w:rPr>
          <w:szCs w:val="24"/>
          <w:lang w:val="ka-GE"/>
        </w:rPr>
        <w:t>ინფორმატიკის და მართვის სისტემების ფაკულტეტი,</w:t>
      </w:r>
    </w:p>
    <w:p w14:paraId="0A7220E1" w14:textId="77777777" w:rsidR="00DA0EB5" w:rsidRPr="006E56A2" w:rsidRDefault="00DA0EB5" w:rsidP="00DA0EB5">
      <w:pPr>
        <w:spacing w:after="0" w:line="360" w:lineRule="auto"/>
        <w:ind w:firstLine="454"/>
        <w:jc w:val="left"/>
        <w:rPr>
          <w:lang w:val="ka-GE"/>
        </w:rPr>
      </w:pPr>
      <w:r w:rsidRPr="006E56A2">
        <w:rPr>
          <w:lang w:val="ka-GE"/>
        </w:rPr>
        <w:t xml:space="preserve"> </w:t>
      </w:r>
    </w:p>
    <w:p w14:paraId="5763FBC7" w14:textId="77777777" w:rsidR="00DA0EB5" w:rsidRPr="00E27899" w:rsidRDefault="00DA0EB5" w:rsidP="00DA0EB5">
      <w:pPr>
        <w:spacing w:after="0" w:line="360" w:lineRule="auto"/>
        <w:jc w:val="left"/>
        <w:rPr>
          <w:szCs w:val="24"/>
          <w:lang w:val="ka-GE"/>
        </w:rPr>
      </w:pPr>
      <w:r w:rsidRPr="00E27899">
        <w:rPr>
          <w:szCs w:val="24"/>
          <w:lang w:val="ka-GE"/>
        </w:rPr>
        <w:t xml:space="preserve">ჩვენ, ხელისმომწერნი ვადასტურებთ, რომ გავეცანით ალექსანდრე იმნაიშვილი </w:t>
      </w:r>
      <w:r w:rsidRPr="00DA0EB5">
        <w:rPr>
          <w:szCs w:val="24"/>
          <w:highlight w:val="yellow"/>
          <w:lang w:val="ka-GE"/>
        </w:rPr>
      </w:r>
      <w:r w:rsidRPr="00E27899">
        <w:rPr>
          <w:szCs w:val="24"/>
          <w:lang w:val="ka-GE"/>
        </w:rPr>
      </w:r>
    </w:p>
    <w:p w14:paraId="31BEE94B" w14:textId="77777777" w:rsidR="00DA0EB5" w:rsidRPr="00E27899" w:rsidRDefault="00DA0EB5" w:rsidP="00DA0EB5">
      <w:pPr>
        <w:spacing w:after="0" w:line="360" w:lineRule="auto"/>
        <w:jc w:val="left"/>
        <w:rPr>
          <w:szCs w:val="24"/>
          <w:lang w:val="ka-GE"/>
        </w:rPr>
      </w:pPr>
      <w:r w:rsidRPr="00E27899">
        <w:rPr>
          <w:szCs w:val="24"/>
          <w:lang w:val="ka-GE"/>
        </w:rPr>
        <w:t>მიერ შესრულებულ სამაგისტრო ნაშრომს დასახელებით: „სასაუბრო ხელოვნური ინტელექტი: ასისტენტიდან თანამოსაუბრემდე ევოლუცია“ და ვაძლევთ რეკომენდაციას საქართველოს ტექნიკური უნივერსიტეტის ინფორმატიკის და მართვის სისტემების ფაკულტეტის საგამოცდო კომისიაში მის განხილვას მაგისტრის აკადემიური ხარისხის მოსაპოვებლად.</w:t>
      </w:r>
      <w:r w:rsidRPr="00DA0EB5">
        <w:rPr>
          <w:szCs w:val="24"/>
          <w:highlight w:val="yellow"/>
          <w:lang w:val="ka-GE"/>
        </w:rPr>
      </w:r>
      <w:r>
        <w:rPr>
          <w:szCs w:val="24"/>
          <w:highlight w:val="yellow"/>
          <w:lang w:val="ka-GE"/>
        </w:rPr>
      </w:r>
      <w:r w:rsidRPr="00DA0EB5">
        <w:rPr>
          <w:szCs w:val="24"/>
          <w:highlight w:val="yellow"/>
          <w:lang w:val="ka-GE"/>
        </w:rPr>
      </w:r>
      <w:r>
        <w:rPr>
          <w:szCs w:val="24"/>
          <w:lang w:val="ka-GE"/>
        </w:rPr>
      </w:r>
      <w:r w:rsidRPr="00E27899">
        <w:rPr>
          <w:szCs w:val="24"/>
          <w:lang w:val="ka-GE"/>
        </w:rPr>
      </w:r>
    </w:p>
    <w:p w14:paraId="0408C096" w14:textId="77777777" w:rsidR="00DA0EB5" w:rsidRDefault="00DA0EB5" w:rsidP="00DA0EB5">
      <w:pPr>
        <w:spacing w:after="0" w:line="360" w:lineRule="auto"/>
        <w:ind w:firstLine="454"/>
        <w:rPr>
          <w:szCs w:val="24"/>
          <w:lang w:val="ka-GE"/>
        </w:rPr>
      </w:pPr>
    </w:p>
    <w:p w14:paraId="5ED0E1E7" w14:textId="77777777" w:rsidR="00DA0EB5" w:rsidRDefault="00DA0EB5" w:rsidP="00DA0EB5">
      <w:pPr>
        <w:spacing w:after="0" w:line="360" w:lineRule="auto"/>
        <w:ind w:firstLine="454"/>
        <w:rPr>
          <w:szCs w:val="24"/>
          <w:lang w:val="ka-GE"/>
        </w:rPr>
      </w:pPr>
    </w:p>
    <w:p w14:paraId="1A9530CD" w14:textId="77777777" w:rsidR="00DA0EB5" w:rsidRPr="00E27899" w:rsidRDefault="00DA0EB5" w:rsidP="00DA0EB5">
      <w:pPr>
        <w:spacing w:after="0" w:line="360" w:lineRule="auto"/>
        <w:ind w:firstLine="454"/>
        <w:jc w:val="right"/>
        <w:rPr>
          <w:szCs w:val="24"/>
          <w:lang w:val="ka-GE"/>
        </w:rPr>
      </w:pPr>
      <w:r w:rsidRPr="00E27899">
        <w:rPr>
          <w:szCs w:val="24"/>
          <w:lang w:val="ka-GE"/>
        </w:rPr>
        <w:t>თარიღი: ------------- 2026 წელი</w:t>
      </w:r>
      <w:r>
        <w:rPr>
          <w:szCs w:val="24"/>
          <w:lang w:val="ka-GE"/>
        </w:rPr>
      </w:r>
      <w:r w:rsidRPr="00E27899">
        <w:rPr>
          <w:szCs w:val="24"/>
          <w:lang w:val="ka-GE"/>
        </w:rPr>
      </w:r>
      <w:r>
        <w:rPr>
          <w:szCs w:val="24"/>
        </w:rPr>
      </w:r>
      <w:r w:rsidRPr="00E27899">
        <w:rPr>
          <w:szCs w:val="24"/>
          <w:lang w:val="ka-GE"/>
        </w:rPr>
      </w:r>
    </w:p>
    <w:p w14:paraId="687DEBC2" w14:textId="77777777" w:rsidR="00DA0EB5" w:rsidRPr="00E27899" w:rsidRDefault="00DA0EB5" w:rsidP="00DA0EB5">
      <w:pPr>
        <w:spacing w:after="0" w:line="360" w:lineRule="auto"/>
        <w:ind w:firstLine="454"/>
        <w:jc w:val="right"/>
        <w:rPr>
          <w:szCs w:val="24"/>
          <w:lang w:val="ka-GE"/>
        </w:rPr>
      </w:pPr>
    </w:p>
    <w:p w14:paraId="41CA4FA9" w14:textId="77777777" w:rsidR="00DA0EB5" w:rsidRDefault="00DA0EB5" w:rsidP="00DA0EB5">
      <w:pPr>
        <w:spacing w:after="0" w:line="360" w:lineRule="auto"/>
        <w:ind w:firstLine="454"/>
        <w:jc w:val="right"/>
        <w:rPr>
          <w:szCs w:val="24"/>
          <w:lang w:val="ka-GE"/>
        </w:rPr>
      </w:pPr>
    </w:p>
    <w:p w14:paraId="095EEC9A" w14:textId="77777777" w:rsidR="00DA0EB5" w:rsidRDefault="00DA0EB5" w:rsidP="00DA0EB5">
      <w:pPr>
        <w:spacing w:after="0" w:line="360" w:lineRule="auto"/>
        <w:ind w:firstLine="454"/>
        <w:jc w:val="right"/>
        <w:rPr>
          <w:szCs w:val="24"/>
          <w:lang w:val="ka-GE"/>
        </w:rPr>
      </w:pPr>
    </w:p>
    <w:p w14:paraId="19A77A22" w14:textId="77777777" w:rsidR="00DA0EB5" w:rsidRPr="00D3127A" w:rsidRDefault="00DA0EB5" w:rsidP="00DA0EB5">
      <w:pPr>
        <w:spacing w:after="0" w:line="360" w:lineRule="auto"/>
        <w:ind w:firstLine="454"/>
        <w:jc w:val="right"/>
        <w:rPr>
          <w:szCs w:val="24"/>
        </w:rPr>
      </w:pPr>
      <w:r w:rsidRPr="00E27899">
        <w:rPr>
          <w:szCs w:val="24"/>
          <w:lang w:val="ka-GE"/>
        </w:rPr>
        <w:t>ხელმძღვანელი: ოთარ თავდიშვილი</w:t>
      </w:r>
      <w:r>
        <w:rPr>
          <w:szCs w:val="24"/>
          <w:lang w:val="ka-GE"/>
        </w:rPr>
      </w:r>
      <w:r>
        <w:rPr>
          <w:szCs w:val="24"/>
        </w:rPr>
      </w:r>
    </w:p>
    <w:p w14:paraId="490527F1" w14:textId="77777777" w:rsidR="00DA0EB5" w:rsidRDefault="00DA0EB5" w:rsidP="00DA0EB5">
      <w:pPr>
        <w:spacing w:after="0" w:line="360" w:lineRule="auto"/>
        <w:ind w:firstLine="454"/>
        <w:jc w:val="right"/>
        <w:rPr>
          <w:szCs w:val="24"/>
          <w:lang w:val="ka-GE"/>
        </w:rPr>
      </w:pPr>
    </w:p>
    <w:p w14:paraId="65DA2E3A" w14:textId="77777777" w:rsidR="00DA0EB5" w:rsidRPr="00E27899" w:rsidRDefault="00DA0EB5" w:rsidP="00DA0EB5">
      <w:pPr>
        <w:spacing w:after="0" w:line="360" w:lineRule="auto"/>
        <w:ind w:firstLine="454"/>
        <w:rPr>
          <w:szCs w:val="24"/>
          <w:lang w:val="ka-GE"/>
        </w:rPr>
      </w:pPr>
    </w:p>
    <w:p w14:paraId="7E2C5390" w14:textId="77777777" w:rsidR="00DA0EB5" w:rsidRPr="000F0CA9" w:rsidRDefault="00DA0EB5" w:rsidP="00DA0EB5">
      <w:pPr>
        <w:spacing w:after="0" w:line="360" w:lineRule="auto"/>
        <w:ind w:firstLine="454"/>
        <w:jc w:val="right"/>
        <w:rPr>
          <w:szCs w:val="24"/>
          <w:lang w:val="ka-GE"/>
        </w:rPr>
      </w:pPr>
      <w:r w:rsidRPr="00E27899">
        <w:rPr>
          <w:szCs w:val="24"/>
          <w:lang w:val="ka-GE"/>
        </w:rPr>
        <w:t>რეცენზენტი</w:t>
      </w:r>
      <w:r>
        <w:rPr>
          <w:szCs w:val="24"/>
          <w:lang w:val="ka-GE"/>
        </w:rPr>
        <w:t xml:space="preserve">: </w:t>
      </w:r>
      <w:r w:rsidRPr="00E27899">
        <w:rPr>
          <w:szCs w:val="24"/>
          <w:lang w:val="ka-GE"/>
        </w:rPr>
        <w:t>------------------------</w:t>
      </w:r>
      <w:r w:rsidRPr="000F0CA9">
        <w:rPr>
          <w:szCs w:val="24"/>
          <w:lang w:val="ka-GE"/>
        </w:rPr>
        <w:t>----------</w:t>
      </w:r>
    </w:p>
    <w:p w14:paraId="058EBC1E" w14:textId="77777777" w:rsidR="00DA0EB5" w:rsidRPr="000F0CA9" w:rsidRDefault="00DA0EB5" w:rsidP="00DA0EB5">
      <w:pPr>
        <w:spacing w:after="0" w:line="360" w:lineRule="auto"/>
        <w:ind w:firstLine="454"/>
        <w:jc w:val="right"/>
        <w:rPr>
          <w:szCs w:val="24"/>
          <w:lang w:val="ka-GE"/>
        </w:rPr>
      </w:pPr>
    </w:p>
    <w:p w14:paraId="4FD387AA" w14:textId="77777777" w:rsidR="00DA0EB5" w:rsidRPr="000F0CA9" w:rsidRDefault="00DA0EB5" w:rsidP="00DA0EB5">
      <w:pPr>
        <w:spacing w:after="0" w:line="360" w:lineRule="auto"/>
        <w:ind w:firstLine="454"/>
        <w:jc w:val="right"/>
        <w:rPr>
          <w:szCs w:val="24"/>
          <w:lang w:val="ka-GE"/>
        </w:rPr>
      </w:pPr>
    </w:p>
    <w:p w14:paraId="6D76A87D" w14:textId="77777777" w:rsidR="00DA0EB5" w:rsidRDefault="00DA0EB5" w:rsidP="00DA0EB5">
      <w:pPr>
        <w:spacing w:after="0" w:line="360" w:lineRule="auto"/>
        <w:ind w:firstLine="454"/>
        <w:jc w:val="right"/>
        <w:rPr>
          <w:lang w:val="ka-GE"/>
        </w:rPr>
      </w:pPr>
      <w:r w:rsidRPr="00E27899">
        <w:rPr>
          <w:szCs w:val="24"/>
          <w:lang w:val="ka-GE"/>
        </w:rPr>
        <w:t>ფაკულტეტის ხარისხის უზრუნველყოფის</w:t>
      </w:r>
    </w:p>
    <w:p w14:paraId="7C2ABC0B" w14:textId="77777777" w:rsidR="00DA0EB5" w:rsidRDefault="00DA0EB5" w:rsidP="00DA0EB5">
      <w:pPr>
        <w:tabs>
          <w:tab w:val="left" w:pos="5572"/>
        </w:tabs>
        <w:spacing w:after="0" w:line="360" w:lineRule="auto"/>
        <w:ind w:firstLine="454"/>
        <w:jc w:val="right"/>
        <w:rPr>
          <w:sz w:val="28"/>
          <w:szCs w:val="28"/>
          <w:lang w:val="ka-GE"/>
        </w:rPr>
      </w:pPr>
      <w:r w:rsidRPr="00E132F5">
        <w:rPr>
          <w:szCs w:val="24"/>
          <w:lang w:val="ka-GE"/>
        </w:rPr>
        <w:t>სამსახურის ხელმძღვანელი:</w:t>
      </w:r>
      <w:r>
        <w:rPr>
          <w:szCs w:val="24"/>
          <w:lang w:val="ka-GE"/>
        </w:rPr>
        <w:t xml:space="preserve"> თინათინ კაიშაური</w:t>
      </w:r>
    </w:p>
    <w:bookmarkEnd w:id="1"/>
    <w:p w14:paraId="2153E4E6" w14:textId="0E7CDCEC" w:rsidR="00DA0EB5" w:rsidRDefault="00DA0EB5">
      <w:pPr>
        <w:rPr>
          <w:szCs w:val="24"/>
          <w:lang w:val="ka-GE"/>
        </w:rPr>
      </w:pPr>
    </w:p>
    <w:p w14:paraId="0D70A2D7" w14:textId="13A16664" w:rsidR="001A7222" w:rsidRDefault="001A7222" w:rsidP="00991424">
      <w:pPr>
        <w:spacing w:after="0" w:line="360" w:lineRule="auto"/>
        <w:ind w:firstLine="454"/>
        <w:jc w:val="center"/>
        <w:rPr>
          <w:szCs w:val="24"/>
          <w:lang w:val="ka-GE"/>
        </w:rPr>
      </w:pPr>
    </w:p>
    <w:bookmarkEnd w:id="2"/>
    <w:p w14:paraId="4A372D71" w14:textId="77777777" w:rsidR="00B50E27" w:rsidRPr="00C92066" w:rsidRDefault="00B50E27" w:rsidP="00B50E27">
      <w:pPr>
        <w:pageBreakBefore/>
        <w:spacing w:after="0" w:line="360" w:lineRule="auto"/>
        <w:ind w:firstLine="454"/>
        <w:jc w:val="center"/>
        <w:rPr>
          <w:szCs w:val="24"/>
          <w:lang w:val="ka-GE"/>
        </w:rPr>
      </w:pPr>
      <w:r w:rsidRPr="00C92066">
        <w:rPr>
          <w:szCs w:val="24"/>
          <w:lang w:val="ka-GE"/>
        </w:rPr>
        <w:lastRenderedPageBreak/>
        <w:t>საქართველოს ტექნიკური უნივერსიტეტის</w:t>
      </w:r>
    </w:p>
    <w:p w14:paraId="41D72BB5" w14:textId="53241FEB" w:rsidR="00B50E27" w:rsidRPr="00C92066" w:rsidRDefault="00B50E27" w:rsidP="00B50E27">
      <w:pPr>
        <w:spacing w:after="0" w:line="360" w:lineRule="auto"/>
        <w:ind w:firstLine="454"/>
        <w:jc w:val="center"/>
        <w:rPr>
          <w:szCs w:val="24"/>
          <w:lang w:val="ka-GE"/>
        </w:rPr>
      </w:pPr>
      <w:r w:rsidRPr="00C92066">
        <w:rPr>
          <w:szCs w:val="24"/>
          <w:lang w:val="ka-GE"/>
        </w:rPr>
        <w:t>საგამოცდო კომისიაში წარდგენილია 2026 წელს</w:t>
      </w:r>
      <w:r>
        <w:rPr>
          <w:szCs w:val="24"/>
          <w:lang w:val="ka-GE"/>
        </w:rPr>
      </w:r>
      <w:r w:rsidRPr="00C92066">
        <w:rPr>
          <w:szCs w:val="24"/>
          <w:lang w:val="ka-GE"/>
        </w:rPr>
      </w:r>
    </w:p>
    <w:p w14:paraId="76B4888E" w14:textId="0D278C7A" w:rsidR="00B50E27" w:rsidRPr="00C92066" w:rsidRDefault="00B50E27" w:rsidP="00B50E27">
      <w:pPr>
        <w:spacing w:after="0" w:line="360" w:lineRule="auto"/>
        <w:ind w:firstLine="454"/>
        <w:jc w:val="center"/>
        <w:rPr>
          <w:szCs w:val="24"/>
          <w:lang w:val="ka-GE"/>
        </w:rPr>
      </w:pPr>
      <w:r w:rsidRPr="00B50E27">
        <w:rPr>
          <w:szCs w:val="24"/>
          <w:lang w:val="ka-GE"/>
        </w:rPr>
        <w:t>ალექსანდრე იმნაიშვილი</w:t>
      </w:r>
    </w:p>
    <w:p w14:paraId="06E7AC92" w14:textId="191557CA" w:rsidR="00B50E27" w:rsidRPr="00C92066" w:rsidRDefault="00B50E27" w:rsidP="00B50E27">
      <w:pPr>
        <w:spacing w:after="0" w:line="360" w:lineRule="auto"/>
        <w:ind w:firstLine="454"/>
        <w:jc w:val="center"/>
        <w:rPr>
          <w:szCs w:val="24"/>
          <w:lang w:val="ka-GE"/>
        </w:rPr>
      </w:pPr>
      <w:r w:rsidRPr="00C92066">
        <w:rPr>
          <w:b/>
          <w:bCs/>
          <w:szCs w:val="24"/>
          <w:lang w:val="ka-GE"/>
        </w:rPr>
        <w:t>სამაგისტრო ნაშრომი:  „სასაუბრო ხელოვნური ინტელექტი: ასისტენტიდან თანამოსაუბრემდე ევოლუცია“</w:t>
      </w:r>
      <w:r>
        <w:rPr>
          <w:b/>
          <w:bCs/>
          <w:szCs w:val="24"/>
          <w:lang w:val="ka-GE"/>
        </w:rPr>
      </w:r>
      <w:r>
        <w:rPr>
          <w:szCs w:val="24"/>
          <w:lang w:val="ka-GE"/>
        </w:rPr>
      </w:r>
      <w:r w:rsidRPr="00BD1D2D">
        <w:rPr>
          <w:szCs w:val="24"/>
          <w:highlight w:val="yellow"/>
          <w:lang w:val="ka-GE"/>
        </w:rPr>
      </w:r>
    </w:p>
    <w:p w14:paraId="00D40F9F" w14:textId="77777777" w:rsidR="00B50E27" w:rsidRPr="00C92066" w:rsidRDefault="00B50E27" w:rsidP="00B50E27">
      <w:pPr>
        <w:spacing w:after="0" w:line="360" w:lineRule="auto"/>
        <w:ind w:firstLine="454"/>
        <w:jc w:val="center"/>
        <w:rPr>
          <w:szCs w:val="24"/>
          <w:lang w:val="ka-GE"/>
        </w:rPr>
      </w:pPr>
    </w:p>
    <w:p w14:paraId="6267EB2D" w14:textId="77777777" w:rsidR="00B50E27" w:rsidRDefault="00B50E27" w:rsidP="00B50E27">
      <w:pPr>
        <w:spacing w:after="0" w:line="360" w:lineRule="auto"/>
        <w:ind w:firstLine="454"/>
        <w:jc w:val="center"/>
        <w:rPr>
          <w:szCs w:val="24"/>
          <w:lang w:val="ka-GE"/>
        </w:rPr>
      </w:pPr>
    </w:p>
    <w:p w14:paraId="04C89A41" w14:textId="77777777" w:rsidR="00B50E27" w:rsidRPr="00C92066" w:rsidRDefault="00B50E27" w:rsidP="00B50E27">
      <w:pPr>
        <w:spacing w:after="0" w:line="360" w:lineRule="auto"/>
        <w:ind w:firstLine="454"/>
        <w:jc w:val="center"/>
        <w:rPr>
          <w:szCs w:val="24"/>
          <w:lang w:val="ka-GE"/>
        </w:rPr>
      </w:pPr>
      <w:r w:rsidRPr="00C92066">
        <w:rPr>
          <w:szCs w:val="24"/>
          <w:lang w:val="ka-GE"/>
        </w:rPr>
        <w:t>საქართველოს ტექნიკური უნივერსიტეტის</w:t>
      </w:r>
    </w:p>
    <w:p w14:paraId="1ED2559B" w14:textId="77777777" w:rsidR="00B50E27" w:rsidRPr="00C92066" w:rsidRDefault="00B50E27" w:rsidP="00B50E27">
      <w:pPr>
        <w:spacing w:after="0" w:line="360" w:lineRule="auto"/>
        <w:ind w:firstLine="454"/>
        <w:jc w:val="center"/>
        <w:rPr>
          <w:szCs w:val="24"/>
          <w:lang w:val="ka-GE"/>
        </w:rPr>
      </w:pPr>
      <w:r w:rsidRPr="00C92066">
        <w:rPr>
          <w:szCs w:val="24"/>
          <w:lang w:val="ka-GE"/>
        </w:rPr>
        <w:t>ინფორმატიკის და მართვის სისტემების ფაკულტეტი</w:t>
      </w:r>
    </w:p>
    <w:p w14:paraId="062AD24F" w14:textId="77777777" w:rsidR="00B50E27" w:rsidRPr="00C92066" w:rsidRDefault="00B50E27" w:rsidP="00B50E27">
      <w:pPr>
        <w:spacing w:after="0" w:line="360" w:lineRule="auto"/>
        <w:ind w:firstLine="454"/>
        <w:jc w:val="center"/>
        <w:rPr>
          <w:szCs w:val="24"/>
          <w:lang w:val="ka-GE"/>
        </w:rPr>
      </w:pPr>
      <w:r w:rsidRPr="00C92066">
        <w:rPr>
          <w:szCs w:val="24"/>
          <w:lang w:val="ka-GE"/>
        </w:rPr>
        <w:t>წარმოდგენილია მაგისტრის აკადემიური ხარისხის</w:t>
      </w:r>
      <w:r w:rsidRPr="00E84CA1">
        <w:rPr>
          <w:szCs w:val="24"/>
          <w:lang w:val="ka-GE"/>
        </w:rPr>
        <w:t xml:space="preserve"> </w:t>
      </w:r>
      <w:r w:rsidRPr="00C92066">
        <w:rPr>
          <w:szCs w:val="24"/>
          <w:lang w:val="ka-GE"/>
        </w:rPr>
        <w:t>მოსაპოვებლად</w:t>
      </w:r>
    </w:p>
    <w:p w14:paraId="33D2E09D" w14:textId="4F82852B" w:rsidR="00B50E27" w:rsidRPr="00C92066" w:rsidRDefault="00B50E27" w:rsidP="00B50E27">
      <w:pPr>
        <w:spacing w:after="0" w:line="360" w:lineRule="auto"/>
        <w:ind w:firstLine="454"/>
        <w:rPr>
          <w:szCs w:val="24"/>
          <w:lang w:val="ka-GE"/>
        </w:rPr>
      </w:pPr>
      <w:r w:rsidRPr="00C92066">
        <w:rPr>
          <w:szCs w:val="24"/>
          <w:lang w:val="ka-GE"/>
        </w:rPr>
        <w:t xml:space="preserve">           სხდომის ჩატარების თარიღი: ---------------------2026 წელი</w:t>
      </w:r>
      <w:r w:rsidR="00BD1D2D">
        <w:rPr>
          <w:szCs w:val="24"/>
          <w:lang w:val="ka-GE"/>
        </w:rPr>
      </w:r>
      <w:r w:rsidRPr="00C92066">
        <w:rPr>
          <w:szCs w:val="24"/>
          <w:lang w:val="ka-GE"/>
        </w:rPr>
      </w:r>
    </w:p>
    <w:p w14:paraId="3BFFBE8D" w14:textId="77777777" w:rsidR="00B50E27" w:rsidRPr="00C92066" w:rsidRDefault="00B50E27" w:rsidP="00B50E27">
      <w:pPr>
        <w:spacing w:after="0" w:line="360" w:lineRule="auto"/>
        <w:ind w:firstLine="454"/>
        <w:rPr>
          <w:szCs w:val="24"/>
          <w:lang w:val="ka-GE"/>
        </w:rPr>
      </w:pPr>
    </w:p>
    <w:p w14:paraId="5D3E070E" w14:textId="77777777" w:rsidR="00B50E27" w:rsidRDefault="00B50E27" w:rsidP="00B50E27">
      <w:pPr>
        <w:spacing w:after="0" w:line="360" w:lineRule="auto"/>
        <w:ind w:firstLine="454"/>
        <w:jc w:val="left"/>
        <w:rPr>
          <w:szCs w:val="24"/>
          <w:lang w:val="ka-GE"/>
        </w:rPr>
      </w:pPr>
    </w:p>
    <w:p w14:paraId="4140D122" w14:textId="77777777" w:rsidR="00B50E27" w:rsidRPr="00C92066" w:rsidRDefault="00B50E27" w:rsidP="00B50E27">
      <w:pPr>
        <w:spacing w:after="0" w:line="360" w:lineRule="auto"/>
        <w:ind w:firstLine="454"/>
        <w:jc w:val="left"/>
        <w:rPr>
          <w:szCs w:val="24"/>
          <w:lang w:val="ka-GE"/>
        </w:rPr>
      </w:pPr>
      <w:r w:rsidRPr="00C92066">
        <w:rPr>
          <w:szCs w:val="24"/>
          <w:lang w:val="ka-GE"/>
        </w:rPr>
        <w:t>„ინდივიდუალური პიროვნების ან ინსტიტუტების მიერ ზემოთმოყვანილი დასახელების სამაგისტრო ნაშრომის გაცნობის მიზნით მოთხოვნის შემთხვევაში მისი არაკომერციული მიზნებით კოპირებისა და გავრცელების უფლება მინიჭებული აქვს საქართველოს ტექნიკურ უნივერსიტეტს“.</w:t>
      </w:r>
    </w:p>
    <w:p w14:paraId="6EA3EA47" w14:textId="77777777" w:rsidR="00B50E27" w:rsidRPr="00C92066" w:rsidRDefault="00B50E27" w:rsidP="00B50E27">
      <w:pPr>
        <w:spacing w:after="0" w:line="360" w:lineRule="auto"/>
        <w:ind w:firstLine="454"/>
        <w:jc w:val="left"/>
        <w:rPr>
          <w:szCs w:val="24"/>
          <w:lang w:val="ka-GE"/>
        </w:rPr>
      </w:pPr>
      <w:r w:rsidRPr="00C92066">
        <w:rPr>
          <w:szCs w:val="24"/>
          <w:lang w:val="ka-GE"/>
        </w:rPr>
        <w:t>„ავტორი ინარჩუნებს დანარჩენ საგამომცემლო უფლებებს და არც მთლიანი ნაშრომის და არც მისი ცალკეული კომპონენტების გადაბეჭდვა ან სხვა რაიმე მეთოდით რეპროდუქცია დაუშვებელია ავტორის წერილობითი ნებართვის გარეშე. ავტორი ირწმუნება, რომ ნაშრომში გამოყენებული საავტორო უფლებებით დაცულ მასალებზე მიღებულია შესაბამისი ნებართვა (გარდა იმ მცირე ზომის ციტატებისა, რომლებიც მოითხოვენ მხოლოდ სპეციფიურ მიმართებას ლიტერატურის ციტირებაში, როგორც ეს მიღებულია სამეცნიერო ნაშრომების შესრულებისას) და ყველა მათგანზე იღებს პასუხისმგებლობას“.</w:t>
      </w:r>
    </w:p>
    <w:p w14:paraId="215F9956" w14:textId="77777777" w:rsidR="00B50E27" w:rsidRPr="00C92066" w:rsidRDefault="00B50E27" w:rsidP="00B50E27">
      <w:pPr>
        <w:spacing w:after="0" w:line="360" w:lineRule="auto"/>
        <w:ind w:firstLine="454"/>
        <w:rPr>
          <w:szCs w:val="24"/>
          <w:lang w:val="ka-GE"/>
        </w:rPr>
      </w:pPr>
    </w:p>
    <w:p w14:paraId="6B8A2F50" w14:textId="77777777" w:rsidR="00B50E27" w:rsidRDefault="00B50E27" w:rsidP="00B50E27">
      <w:pPr>
        <w:spacing w:after="0" w:line="360" w:lineRule="auto"/>
        <w:ind w:firstLine="454"/>
        <w:rPr>
          <w:szCs w:val="24"/>
          <w:lang w:val="ka-GE"/>
        </w:rPr>
      </w:pPr>
      <w:r w:rsidRPr="00C92066">
        <w:rPr>
          <w:szCs w:val="24"/>
          <w:lang w:val="ka-GE"/>
        </w:rPr>
        <w:t xml:space="preserve">                          </w:t>
      </w:r>
    </w:p>
    <w:p w14:paraId="2762F99F" w14:textId="77777777" w:rsidR="00B50E27" w:rsidRPr="00C92066" w:rsidRDefault="00B50E27" w:rsidP="00B50E27">
      <w:pPr>
        <w:spacing w:after="0" w:line="360" w:lineRule="auto"/>
        <w:ind w:firstLine="454"/>
        <w:rPr>
          <w:szCs w:val="24"/>
          <w:lang w:val="ka-GE"/>
        </w:rPr>
      </w:pPr>
      <w:r w:rsidRPr="00C92066">
        <w:rPr>
          <w:szCs w:val="24"/>
          <w:lang w:val="ka-GE"/>
        </w:rPr>
        <w:t xml:space="preserve"> ავტორის ხელმოწერა: </w:t>
      </w:r>
      <w:r>
        <w:rPr>
          <w:szCs w:val="24"/>
          <w:lang w:val="ka-GE"/>
        </w:rPr>
        <w:t>___________________</w:t>
      </w:r>
    </w:p>
    <w:p w14:paraId="09FDAFE0" w14:textId="77777777" w:rsidR="003E5807" w:rsidRDefault="003E5807" w:rsidP="00991424">
      <w:pPr>
        <w:spacing w:after="0" w:line="360" w:lineRule="auto"/>
        <w:ind w:firstLine="454"/>
        <w:jc w:val="left"/>
        <w:rPr>
          <w:lang w:val="ka-GE"/>
        </w:rPr>
      </w:pPr>
    </w:p>
    <w:p w14:paraId="7E9C5E13" w14:textId="527EF661" w:rsidR="00372375" w:rsidRPr="0064411D" w:rsidRDefault="00372375" w:rsidP="00A207E2">
      <w:pPr>
        <w:pageBreakBefore/>
        <w:spacing w:line="240" w:lineRule="auto"/>
        <w:jc w:val="center"/>
        <w:rPr>
          <w:b/>
          <w:bCs/>
          <w:sz w:val="28"/>
          <w:szCs w:val="24"/>
          <w:lang w:val="ka-GE"/>
        </w:rPr>
      </w:pPr>
      <w:r w:rsidRPr="0064411D">
        <w:rPr>
          <w:b/>
          <w:bCs/>
          <w:sz w:val="28"/>
          <w:szCs w:val="24"/>
          <w:lang w:val="ka-GE"/>
        </w:rPr>
        <w:lastRenderedPageBreak/>
        <w:t>რეზიუმე</w:t>
      </w:r>
      <w:bookmarkEnd w:id="3"/>
    </w:p>
    <w:p>
      <w:pPr>
        <w:spacing w:line="240" w:lineRule="auto"/>
        <w:jc w:val="both"/>
      </w:pPr>
      <w:r>
        <w:rPr>
          <w:rFonts w:ascii="Sylfaen" w:hAnsi="Sylfaen" w:cs="Sylfaen"/>
          <w:b w:val="0"/>
          <w:sz w:val="24"/>
          <w:lang w:val="en-US"/>
        </w:rPr>
        <w:t>Conversational systems built on large language models achieve human-comparable fluency within a single session but fail to sustain a continuous, evolving relationship across sessions, because they lack durable long-term memory. Evidence from long-term-memory benchmarks and from users of so-called "companion" applications indicates that this failure is both technical — models lag human recall by wide margins, worst of all on temporal reasoning — and relational, in that memory failure and abrupt identity discontinuity are documented to break a user's sense of relationship. Yet the two literatures that bear on the problem remain separate: memory architectures are evaluated on factual-accuracy metrics, while studies of perceived relationship treat memory as a single on/off manipulation on one system. In the literature available to us, no controlled study compares memory architectures grounded in different human-memory theories with respect to user-perceived social constructs, and none situates such a comparison in the voice modality.</w:t>
      </w:r>
    </w:p>
    <w:p>
      <w:pPr>
        <w:spacing w:line="240" w:lineRule="auto"/>
        <w:jc w:val="both"/>
      </w:pPr>
      <w:r>
        <w:rPr>
          <w:rFonts w:ascii="Sylfaen" w:hAnsi="Sylfaen" w:cs="Sylfaen"/>
          <w:b w:val="0"/>
          <w:sz w:val="24"/>
          <w:lang w:val="en-US"/>
        </w:rPr>
        <w:t>This thesis addresses that gap through design, implementation, and evaluation methodology. It presents Profile C, a long-term memory architecture for a voice interlocutor that composes five cognitive-memory theories — the Atkinson–Shiffrin multi-store model, the Ebbinghaus forgetting curve, Tulving's episodic–semantic distinction, fuzzy-trace theory, and the complementary learning systems framework — into one lifecycle: salience-gated encoding, gist-and-anchor representation, lazy Ebbinghaus decay with spaced-repetition reinforcement, offline episodic-to-semantic consolidation, and gist-first retrieval. Each mechanism is tied to an observable behavioral signature rather than to a claim of psychological fidelity.</w:t>
      </w:r>
    </w:p>
    <w:p>
      <w:pPr>
        <w:spacing w:line="240" w:lineRule="auto"/>
        <w:jc w:val="both"/>
      </w:pPr>
      <w:r>
        <w:rPr>
          <w:rFonts w:ascii="Sylfaen" w:hAnsi="Sylfaen" w:cs="Sylfaen"/>
          <w:b w:val="0"/>
          <w:sz w:val="24"/>
          <w:lang w:val="en-US"/>
        </w:rPr>
        <w:t>The central methodological contribution is a curation-controlled experimental design. Profile C is compared not only against a no-memory baseline (A) and verbatim retrieval-augmented memory (B), but against an active control, B+, which receives the same offline language-model gisting and cleanup as C yet none of its human-memory dynamics — no decay, no salience-gating, no consolidation. Because the conditions share an identical inference-time envelope, the B+ control isolates the effect of the human-memory dynamics from the generic legibility gains of language-model curation, the confound that would otherwise render any advantage of a "human-like" memory uninterpretable. An a-priori power analysis shows that the resulting central contrast, C versus B+, is by construction the smallest effect in the design and is not confirmable at the sample size normative for this class of study; it is therefore pre-registered as an estimation target, and a precisely-estimated null is treated as a substantive result that the B+ control was purpose-built to make interpretable.</w:t>
      </w:r>
    </w:p>
    <w:p>
      <w:pPr>
        <w:spacing w:line="240" w:lineRule="auto"/>
        <w:jc w:val="both"/>
      </w:pPr>
      <w:r>
        <w:rPr>
          <w:rFonts w:ascii="Sylfaen" w:hAnsi="Sylfaen" w:cs="Sylfaen"/>
          <w:b w:val="0"/>
          <w:sz w:val="24"/>
          <w:lang w:val="en-US"/>
        </w:rPr>
        <w:t>A proof-of-concept harness implements all four conditions over multi-session dialogues and is evaluated on a technical and a simulated-user track. Technically, the mechanisms behave as designed and are distinguishable: only Profile C forgets gracefully and selectively — retaining salient facts while letting trivia fade — and only C consolidates recurring episodes into durable semantic knowledge, at a leaner context footprint and at latency parity with the baselines. In simulation, Profile C does not exceed the B+ control on any perceived construct, corroborating the prediction that human-memory dynamics add little perceptual margin over clean curation. Most consequentially, on the one construct with a strong replicated human effect — the intrusiveness of verbatim recall — the simulated judge produced the opposite ordering to the human literature, demonstrating that a language-model judge cannot substitute for human perception on stakes-dependent constructs, and thereby establishing the necessity of the human-subject study that the thesis fully specifies as future work.</w:t>
      </w:r>
    </w:p>
    <w:p>
      <w:pPr>
        <w:spacing w:line="240" w:lineRule="auto"/>
        <w:jc w:val="both"/>
      </w:pPr>
      <w:r>
        <w:rPr>
          <w:rFonts w:ascii="Sylfaen" w:hAnsi="Sylfaen" w:cs="Sylfaen"/>
          <w:b w:val="0"/>
          <w:sz w:val="24"/>
          <w:lang w:val="en-US"/>
        </w:rPr>
        <w:t>The thesis contributes a cognitively-grounded memory architecture, a reusable curation-controlled methodology for separating memory dynamics from curation, and empirical proof-of-concept evidence for both — framing the human-subject evaluation as rigorous, pre-registered future work.</w:t>
      </w:r>
    </w:p>
    <w:p>
      <w:pPr>
        <w:spacing w:line="240" w:lineRule="auto"/>
      </w:pPr>
      <w:r>
        <w:rPr>
          <w:rFonts w:ascii="Sylfaen" w:hAnsi="Sylfaen" w:cs="Sylfaen"/>
          <w:b w:val="0"/>
          <w:sz w:val="24"/>
          <w:lang w:val="en-US"/>
        </w:rPr>
        <w:t>Keywords: conversational AI, long-term memory, human memory models, social presence, voice interlocutor, evaluation methodology.</w:t>
      </w:r>
    </w:p>
    <w:bookmarkEnd w:id="5"/>
    <w:p w14:paraId="03EA2328" w14:textId="5C00D3F7" w:rsidR="003E5807" w:rsidRDefault="003E5807" w:rsidP="00A207E2">
      <w:pPr>
        <w:pageBreakBefore/>
        <w:spacing w:after="0" w:line="240" w:lineRule="auto"/>
        <w:jc w:val="center"/>
        <w:rPr>
          <w:sz w:val="28"/>
          <w:szCs w:val="28"/>
        </w:rPr>
      </w:pPr>
      <w:r w:rsidRPr="003E5807">
        <w:rPr>
          <w:sz w:val="28"/>
          <w:szCs w:val="28"/>
          <w:lang w:val="en-US"/>
        </w:rPr>
        <w:lastRenderedPageBreak/>
        <w:t>Abstract</w:t>
      </w:r>
    </w:p>
    <w:p>
      <w:pPr>
        <w:spacing w:line="240" w:lineRule="auto"/>
        <w:jc w:val="both"/>
      </w:pPr>
      <w:r>
        <w:rPr>
          <w:rFonts w:ascii="Sylfaen" w:hAnsi="Sylfaen" w:cs="Sylfaen"/>
          <w:b w:val="0"/>
          <w:sz w:val="24"/>
          <w:lang w:val="ka-GE"/>
        </w:rPr>
        <w:t>დიდი ენობრივი მოდელების საფუძველზე შექმნილი საუბრის სისტემები ერთ სესიაზე ადამიანის დონის თავისუფლებას აღწევენ, მაგრამ სესიებს შორის ვერ ინარჩუნებენ უწყვეტ, განვითარებად ურთიერთობას, რადგან მათ არ გააჩნიათ მდგრადი გრძელვადიანი მეხსიერება. გრძელვადიანი მეხსიერების ბენჩმარკებისა და ეგრეთ წოდებული "კომპანიონი" აპლიკაციების მომხმარებლების მონაცემები მიუთითებს, რომ ეს წარუმატებლობა არის როგორც ტექნიკური — მოდელები ადამიანის მეხსიერებას მნიშვნელოვნად ჩამორჩებიან, განსაკუთრებით დროითი (ტემპორალური) მსჯელობისას — ასევე ურთიერთობრივი, რადგან მეხსიერების დეფექტები და იდენტობის მკვეთრი შეწყვეტა დოკუმენტურად არღვევს მომხმარებლის მიერ აღქმულ ურთიერთობას. თუმცა, პრობლემასთან დაკავშირებული ორი დისციპლინა განცალკევებით არსებობს: მეხსიერების არქიტექტურები შეფასდება ფაქტობრივი სიზუსტის კრიტერიუმებით, მაშინ როდესაც ურთიერთობის აღქმის კვლევები მეხსიერებას განიხილავენ, როგორც ერთჯერად ჩართვა-გამორთვას ერთი სისტემის ფარგლებში. ჩვენთვის ხელმისაწვდომ ლიტერატურაში არ არსებობს არც ერთი კონტროლირებადი კვლევა, რომელიც სხვადასხვა ადამიანური მეხსიერების თეორიაზე დაფუძნებული მეხსიერების არქიტექტურების შედარებას ახდენს მომხმარებლის მიერ აღქმული სოციალური კონსტრუქტების მიხედვით და არც ერთი მათგანი არ ათავსებს ასეთ შედარებას ხმოვან მოდალობაში.</w:t>
      </w:r>
    </w:p>
    <w:p>
      <w:pPr>
        <w:spacing w:line="240" w:lineRule="auto"/>
        <w:jc w:val="both"/>
      </w:pPr>
      <w:r>
        <w:rPr>
          <w:rFonts w:ascii="Sylfaen" w:hAnsi="Sylfaen" w:cs="Sylfaen"/>
          <w:b w:val="0"/>
          <w:sz w:val="24"/>
          <w:lang w:val="ka-GE"/>
        </w:rPr>
        <w:t>ეს ნაშრომი ამ ხარვეზს დიზაინის, იმპლემენტაციისა და შეფასების მეთოდოლოგიის მეშვეობით ავსებს. ის წარმოადგენს Profile C-ს, ხმოვანი თანამოსაუბრის გრძელვადიანი მეხსიერების არქიტექტურას, რომელიც აერთიანებს ხუთ კოგნიტურ-მეხსიერების თეორიას — ატკინსონ-შიფრინის მრავალსაცავიანი მოდელი, ებინგჰაუსის დავიწყების მრუდი, ტულვინგის ეპიზოდურ-სემანტიკური განასხვავება, ბუნდოვანი კვალით თეორია და დამატებითი სასწავლო სისტემების ჩარჩო — ერთ სასიცოცხლო ციკლში: მნიშვნელობისმიღწევით კონტროლირებადი კოდირება, არსებითი ნაწილისა და ორიენტირის წარმოდგენა, გაჭიანურებული ებინგჰაუსის დაშლა დროში გადანაწილებული გამეორებით გაძლიერებისას, ოფლაინ ეპიზოდურიდან სემანტიკურზე კონსოლიდაცია და არსებითი ნაწილის მიხედვით მოძიება. თითოეული მექანიზმი დაკავშირებულია დასაკვირვებელ ქცევით ხელმოწერასთან და არა ფსიქოლოგიური სიზუსტის მტკიცებასთან.</w:t>
      </w:r>
    </w:p>
    <w:p>
      <w:pPr>
        <w:spacing w:line="240" w:lineRule="auto"/>
        <w:jc w:val="both"/>
      </w:pPr>
      <w:r>
        <w:rPr>
          <w:rFonts w:ascii="Sylfaen" w:hAnsi="Sylfaen" w:cs="Sylfaen"/>
          <w:b w:val="0"/>
          <w:sz w:val="24"/>
          <w:lang w:val="ka-GE"/>
        </w:rPr>
        <w:t>მთავარი მეთოდოლოგიური წვლილი კურატორირებაზე კონტროლირებადი ექსპერიმენტული დიზაინია. პროფილი C შედარებულია არა მხოლოდ უმეხსიერებო საწყისთან (A) და სიტყვასიტყვითი აღდგენით გაძლიერებულ მეხსიერებასთან (B), არამედ აქტიურ კონტროლთან, B+, რომელიც იღებს იმავე ოფლაინ ენობრივი მოდელის აზრთა არსის გამოყოფასა და გაწმენდას, რასაც C, მაგრამ არ იღებს ადამიანის მეხსიერების დინამიკის არცერთ ელემენტს — არც გახუნებას, არც მნიშვნელოვნების კარიბჭეს, არც კონსოლიდაციას. რადგან პირობებს ერთნაირი, ანალიზის დროის ჩარჩო აქვთ, B+ კონტროლი გამოყოფს ადამიანის მეხსიერების დინამიკის ეფექტს ენობრივი მოდელის კურატორირებით მიღებული ზოგადი წაკითხვადობის გაუმჯობესებისგან — იმ არეულობისგან, რომელიც სხვა შემთხვევაში "ადამიანის მსგავსი" მეხსიერების ნებისმიერ უპირატესობას გაუგებარს გახდიდა. ა-პრიორი ძალის ანალიზი აჩვენებს, რომ მიღებული ცენტრალური კონტრასტი, C B+-თან შედარებით, თავისი კონსტრუქციით, დიზაინში ყველაზე მცირე ეფექტია და არდასტურდება ამ კლასის კვლევისთვის ნორმატიული ნიმუშების რაოდენობით; შესაბამისად, ის წინასწარ არის რეგისტრირებული, როგორც შეფასების სამიზნე, და ზუსტად შეფასებული ნული ითვლება არსებით შედეგად, რომლის ინტერპრეტაციაც B+ კონტროლის მიერ მიზანმიმართულად იქნა უზრუნველყოფილი.</w:t>
      </w:r>
    </w:p>
    <w:p>
      <w:pPr>
        <w:spacing w:line="240" w:lineRule="auto"/>
        <w:jc w:val="both"/>
      </w:pPr>
      <w:r>
        <w:rPr>
          <w:rFonts w:ascii="Sylfaen" w:hAnsi="Sylfaen" w:cs="Sylfaen"/>
          <w:b w:val="0"/>
          <w:sz w:val="24"/>
          <w:lang w:val="ka-GE"/>
        </w:rPr>
        <w:t>კონცეფციის დამტკიცების მექანიზმი მრავალსესიურ დიალოგებზე ყველა ოთხ პირობას ასრულებს და მისი შეფასება ტექნიკური და სიმულირებული მომხმარებლის მიმართულებით ხდება. ტექნიკურად, მექანიზმები ისე მუშაობს, როგორც დაპროექტდა, და ერთმანეთისგან განასხვავებადია: მხოლოდ პროფილი C ივიწყებს გამართულად და სელექციურად — ინარჩუნებს მნიშვნელოვან ფაქტებს, ხოლო უმნიშვნელო ინფორმაცია მივიწყებას მიეცემა — და მხოლოდ C აერთიანებს განმეორებად ეპიზოდებს მდგრად სემანტიკურ ცოდნედ, უფრო მცირე კონტექსტური კვალის ფასად და საბაზისო მაჩვენებლების მსგავსი შეყოვნებით. სიმულაციისას, პროფილი C არ აღემატება B+ კონტროლს არცერთ აღქმულ კონსტრუქტზე, რაც ადასტურებს პროგნოზს, რომ ადამიანის მეხსიერების დინამიკა სუფთა კურირებასთან შედარებით აღქმის მცირე დამატებით მარჟინს ქმნის. რაც ყველაზე მნიშვნელოვანია, იმ ერთ კონსტრუქტზე, რომელზეც ადამიანის გავლენა ძლიერი და გამეორებული იყო — სიტყვასიტყვითი გახსენების ინტრუზიულობა — სიმულაციურმა მსაჯულმა ადამიანთა ლიტერატურისგან საპირისპირო დალაგება წარმოადგინა, რითაც აჩვენა, რომ ენობრივი მოდელის მსაჯული ვერ ჩაანაცვლებს ადამიანის აღქმას მნიშვნელოვან შედეგებზე დამოკიდებულ კონსტრუქტებზე და, ამგვარად, დაამტკიცა ადამიანთა მონაწილეობით კვლევის აუცილებლობა, რომელსაც ნაშრომი სრულად განსაზღვრავს, როგორც მომავალ სამუშაოს.</w:t>
      </w:r>
    </w:p>
    <w:p>
      <w:pPr>
        <w:spacing w:line="240" w:lineRule="auto"/>
        <w:jc w:val="both"/>
      </w:pPr>
      <w:r>
        <w:rPr>
          <w:rFonts w:ascii="Sylfaen" w:hAnsi="Sylfaen" w:cs="Sylfaen"/>
          <w:b w:val="0"/>
          <w:sz w:val="24"/>
          <w:lang w:val="ka-GE"/>
        </w:rPr>
        <w:t>ნაშრომი წარმოადგენს კოგნიტურ-საფუძვლიან მეხსიერების არქიტექტურას, მეხსიერების დინამიკის კურატორირებული შინაარსისგან გამიჯვნის ხელახლა გამოყენებად მეთოდოლოგიას და ემპირიულ კონცეფციის დამამტკიცებელ მტკიცებულებას ორივესთვის — რაც ადამიანზე ორიენტირებულ შეფასებას წარმოაჩენს, როგორც მკაცრ, წინასწარ რეგისტრირებულ სამომავლო სამუშაოს.</w:t>
      </w:r>
    </w:p>
    <w:p>
      <w:pPr>
        <w:spacing w:line="240" w:lineRule="auto"/>
      </w:pPr>
      <w:r>
        <w:rPr>
          <w:rFonts w:ascii="Sylfaen" w:hAnsi="Sylfaen" w:cs="Sylfaen"/>
          <w:b w:val="0"/>
          <w:sz w:val="24"/>
          <w:lang w:val="ka-GE"/>
        </w:rPr>
        <w:t>საკვანძო სიტყვები: საუბრული ხელოვნური ინტელექტი, გრძელვადიანი მეხსიერება, ადამიანის მეხსიერების მოდელები, სოციალური თანდასწრება, ხმოვანი თანამოსაუბრე, შეფასების მეთოდოლოგია.</w:t>
      </w:r>
    </w:p>
    <w:p w14:paraId="32D73467" w14:textId="764F0AD4" w:rsidR="0091706F" w:rsidRPr="0091706F" w:rsidRDefault="0091706F" w:rsidP="0091706F">
      <w:pPr>
        <w:pStyle w:val="TOCHeading"/>
        <w:pageBreakBefore/>
        <w:spacing w:line="360" w:lineRule="auto"/>
        <w:jc w:val="center"/>
        <w:rPr>
          <w:rFonts w:ascii="Sylfaen" w:hAnsi="Sylfaen"/>
          <w:b/>
          <w:bCs/>
          <w:color w:val="000000" w:themeColor="text1"/>
          <w:sz w:val="28"/>
          <w:szCs w:val="28"/>
          <w:lang w:val="ka-GE"/>
        </w:rPr>
      </w:pPr>
      <w:r w:rsidRPr="0091706F">
        <w:rPr>
          <w:rFonts w:ascii="Sylfaen" w:hAnsi="Sylfaen"/>
          <w:b/>
          <w:bCs/>
          <w:color w:val="000000" w:themeColor="text1"/>
          <w:sz w:val="28"/>
          <w:szCs w:val="28"/>
          <w:lang w:val="ka-GE"/>
        </w:rPr>
        <w:lastRenderedPageBreak/>
        <w:t>შინაარსი</w:t>
      </w:r>
    </w:p>
    <w:p>
      <w:pPr>
        <w:tabs>
          <w:tab w:pos="8323" w:val="right" w:leader="dot"/>
        </w:tabs>
        <w:spacing w:line="240" w:lineRule="auto" w:before="0" w:after="0"/>
        <w:ind w:left="0"/>
      </w:pPr>
      <w:r>
        <w:rPr>
          <w:rFonts w:ascii="Sylfaen" w:hAnsi="Sylfaen"/>
          <w:sz w:val="24"/>
        </w:rPr>
        <w:t>1. Introduction</w:t>
      </w:r>
      <w:r>
        <w:rPr>
          <w:rFonts w:ascii="Sylfaen" w:hAnsi="Sylfaen"/>
          <w:sz w:val="24"/>
        </w:rPr>
        <w:tab/>
      </w:r>
      <w:r>
        <w:rPr>
          <w:rFonts w:ascii="Sylfaen" w:hAnsi="Sylfaen"/>
          <w:sz w:val="24"/>
        </w:rPr>
        <w:t>10</w:t>
      </w:r>
    </w:p>
    <w:p>
      <w:pPr>
        <w:tabs>
          <w:tab w:pos="8323" w:val="right" w:leader="dot"/>
        </w:tabs>
        <w:spacing w:line="240" w:lineRule="auto" w:before="0" w:after="0"/>
        <w:ind w:left="0"/>
      </w:pPr>
      <w:r>
        <w:rPr>
          <w:rFonts w:ascii="Sylfaen" w:hAnsi="Sylfaen"/>
          <w:sz w:val="24"/>
        </w:rPr>
        <w:t>2. Literature Review</w:t>
      </w:r>
      <w:r>
        <w:rPr>
          <w:rFonts w:ascii="Sylfaen" w:hAnsi="Sylfaen"/>
          <w:sz w:val="24"/>
        </w:rPr>
        <w:tab/>
      </w:r>
      <w:r>
        <w:rPr>
          <w:rFonts w:ascii="Sylfaen" w:hAnsi="Sylfaen"/>
          <w:sz w:val="24"/>
        </w:rPr>
        <w:t>15</w:t>
      </w:r>
    </w:p>
    <w:p>
      <w:pPr>
        <w:tabs>
          <w:tab w:pos="8323" w:val="right" w:leader="dot"/>
        </w:tabs>
        <w:spacing w:line="240" w:lineRule="auto" w:before="0" w:after="0"/>
        <w:ind w:left="454"/>
      </w:pPr>
      <w:r>
        <w:rPr>
          <w:rFonts w:ascii="Sylfaen" w:hAnsi="Sylfaen"/>
          <w:sz w:val="24"/>
        </w:rPr>
        <w:t>2.1 Scope and structure of the review</w:t>
      </w:r>
      <w:r>
        <w:rPr>
          <w:rFonts w:ascii="Sylfaen" w:hAnsi="Sylfaen"/>
          <w:sz w:val="24"/>
        </w:rPr>
        <w:tab/>
      </w:r>
      <w:r>
        <w:rPr>
          <w:rFonts w:ascii="Sylfaen" w:hAnsi="Sylfaen"/>
          <w:sz w:val="24"/>
        </w:rPr>
        <w:t>15</w:t>
      </w:r>
    </w:p>
    <w:p>
      <w:pPr>
        <w:tabs>
          <w:tab w:pos="8323" w:val="right" w:leader="dot"/>
        </w:tabs>
        <w:spacing w:line="240" w:lineRule="auto" w:before="0" w:after="0"/>
        <w:ind w:left="454"/>
      </w:pPr>
      <w:r>
        <w:rPr>
          <w:rFonts w:ascii="Sylfaen" w:hAnsi="Sylfaen"/>
          <w:sz w:val="24"/>
        </w:rPr>
        <w:t>2.2 Theoretical foundations: models of human memory</w:t>
      </w:r>
      <w:r>
        <w:rPr>
          <w:rFonts w:ascii="Sylfaen" w:hAnsi="Sylfaen"/>
          <w:sz w:val="24"/>
        </w:rPr>
        <w:tab/>
      </w:r>
      <w:r>
        <w:rPr>
          <w:rFonts w:ascii="Sylfaen" w:hAnsi="Sylfaen"/>
          <w:sz w:val="24"/>
        </w:rPr>
        <w:t>15</w:t>
      </w:r>
    </w:p>
    <w:p>
      <w:pPr>
        <w:tabs>
          <w:tab w:pos="8323" w:val="right" w:leader="dot"/>
        </w:tabs>
        <w:spacing w:line="240" w:lineRule="auto" w:before="0" w:after="0"/>
        <w:ind w:left="454"/>
      </w:pPr>
      <w:r>
        <w:rPr>
          <w:rFonts w:ascii="Sylfaen" w:hAnsi="Sylfaen"/>
          <w:sz w:val="24"/>
        </w:rPr>
        <w:t>2.3 Long-term memory for LLM agents: three waves</w:t>
      </w:r>
      <w:r>
        <w:rPr>
          <w:rFonts w:ascii="Sylfaen" w:hAnsi="Sylfaen"/>
          <w:sz w:val="24"/>
        </w:rPr>
        <w:tab/>
      </w:r>
      <w:r>
        <w:rPr>
          <w:rFonts w:ascii="Sylfaen" w:hAnsi="Sylfaen"/>
          <w:sz w:val="24"/>
        </w:rPr>
        <w:t>17</w:t>
      </w:r>
    </w:p>
    <w:p>
      <w:pPr>
        <w:tabs>
          <w:tab w:pos="8323" w:val="right" w:leader="dot"/>
        </w:tabs>
        <w:spacing w:line="240" w:lineRule="auto" w:before="0" w:after="0"/>
        <w:ind w:left="454"/>
      </w:pPr>
      <w:r>
        <w:rPr>
          <w:rFonts w:ascii="Sylfaen" w:hAnsi="Sylfaen"/>
          <w:sz w:val="24"/>
        </w:rPr>
        <w:t>2.4 The bridge: from memory theory to memory architecture</w:t>
      </w:r>
      <w:r>
        <w:rPr>
          <w:rFonts w:ascii="Sylfaen" w:hAnsi="Sylfaen"/>
          <w:sz w:val="24"/>
        </w:rPr>
        <w:tab/>
      </w:r>
      <w:r>
        <w:rPr>
          <w:rFonts w:ascii="Sylfaen" w:hAnsi="Sylfaen"/>
          <w:sz w:val="24"/>
        </w:rPr>
        <w:t>19</w:t>
      </w:r>
    </w:p>
    <w:p>
      <w:pPr>
        <w:tabs>
          <w:tab w:pos="8323" w:val="right" w:leader="dot"/>
        </w:tabs>
        <w:spacing w:line="240" w:lineRule="auto" w:before="0" w:after="0"/>
        <w:ind w:left="454"/>
      </w:pPr>
      <w:r>
        <w:rPr>
          <w:rFonts w:ascii="Sylfaen" w:hAnsi="Sylfaen"/>
          <w:sz w:val="24"/>
        </w:rPr>
        <w:t>2.5 Evaluating conversational memory: benchmarks and their limits</w:t>
      </w:r>
      <w:r>
        <w:rPr>
          <w:rFonts w:ascii="Sylfaen" w:hAnsi="Sylfaen"/>
          <w:sz w:val="24"/>
        </w:rPr>
        <w:tab/>
      </w:r>
      <w:r>
        <w:rPr>
          <w:rFonts w:ascii="Sylfaen" w:hAnsi="Sylfaen"/>
          <w:sz w:val="24"/>
        </w:rPr>
        <w:t>20</w:t>
      </w:r>
    </w:p>
    <w:p>
      <w:pPr>
        <w:tabs>
          <w:tab w:pos="8323" w:val="right" w:leader="dot"/>
        </w:tabs>
        <w:spacing w:line="240" w:lineRule="auto" w:before="0" w:after="0"/>
        <w:ind w:left="454"/>
      </w:pPr>
      <w:r>
        <w:rPr>
          <w:rFonts w:ascii="Sylfaen" w:hAnsi="Sylfaen"/>
          <w:sz w:val="24"/>
        </w:rPr>
        <w:t>2.6 From assistant to interlocutor: memory and perceived relationship</w:t>
      </w:r>
      <w:r>
        <w:rPr>
          <w:rFonts w:ascii="Sylfaen" w:hAnsi="Sylfaen"/>
          <w:sz w:val="24"/>
        </w:rPr>
        <w:tab/>
      </w:r>
      <w:r>
        <w:rPr>
          <w:rFonts w:ascii="Sylfaen" w:hAnsi="Sylfaen"/>
          <w:sz w:val="24"/>
        </w:rPr>
        <w:t>21</w:t>
      </w:r>
    </w:p>
    <w:p>
      <w:pPr>
        <w:tabs>
          <w:tab w:pos="8323" w:val="right" w:leader="dot"/>
        </w:tabs>
        <w:spacing w:line="240" w:lineRule="auto" w:before="0" w:after="0"/>
        <w:ind w:left="454"/>
      </w:pPr>
      <w:r>
        <w:rPr>
          <w:rFonts w:ascii="Sylfaen" w:hAnsi="Sylfaen"/>
          <w:sz w:val="24"/>
        </w:rPr>
        <w:t>2.7 Open problems and limitations</w:t>
      </w:r>
      <w:r>
        <w:rPr>
          <w:rFonts w:ascii="Sylfaen" w:hAnsi="Sylfaen"/>
          <w:sz w:val="24"/>
        </w:rPr>
        <w:tab/>
      </w:r>
      <w:r>
        <w:rPr>
          <w:rFonts w:ascii="Sylfaen" w:hAnsi="Sylfaen"/>
          <w:sz w:val="24"/>
        </w:rPr>
        <w:t>22</w:t>
      </w:r>
    </w:p>
    <w:p>
      <w:pPr>
        <w:tabs>
          <w:tab w:pos="8323" w:val="right" w:leader="dot"/>
        </w:tabs>
        <w:spacing w:line="240" w:lineRule="auto" w:before="0" w:after="0"/>
        <w:ind w:left="454"/>
      </w:pPr>
      <w:r>
        <w:rPr>
          <w:rFonts w:ascii="Sylfaen" w:hAnsi="Sylfaen"/>
          <w:sz w:val="24"/>
        </w:rPr>
        <w:t>2.8 The place of the present work</w:t>
      </w:r>
      <w:r>
        <w:rPr>
          <w:rFonts w:ascii="Sylfaen" w:hAnsi="Sylfaen"/>
          <w:sz w:val="24"/>
        </w:rPr>
        <w:tab/>
      </w:r>
      <w:r>
        <w:rPr>
          <w:rFonts w:ascii="Sylfaen" w:hAnsi="Sylfaen"/>
          <w:sz w:val="24"/>
        </w:rPr>
        <w:t>23</w:t>
      </w:r>
    </w:p>
    <w:p>
      <w:pPr>
        <w:tabs>
          <w:tab w:pos="8323" w:val="right" w:leader="dot"/>
        </w:tabs>
        <w:spacing w:line="240" w:lineRule="auto" w:before="0" w:after="0"/>
        <w:ind w:left="0"/>
      </w:pPr>
      <w:r>
        <w:rPr>
          <w:rFonts w:ascii="Sylfaen" w:hAnsi="Sylfaen"/>
          <w:sz w:val="24"/>
        </w:rPr>
        <w:t>3. Research Methods</w:t>
      </w:r>
      <w:r>
        <w:rPr>
          <w:rFonts w:ascii="Sylfaen" w:hAnsi="Sylfaen"/>
          <w:sz w:val="24"/>
        </w:rPr>
        <w:tab/>
      </w:r>
      <w:r>
        <w:rPr>
          <w:rFonts w:ascii="Sylfaen" w:hAnsi="Sylfaen"/>
          <w:sz w:val="24"/>
        </w:rPr>
        <w:t>24</w:t>
      </w:r>
    </w:p>
    <w:p>
      <w:pPr>
        <w:tabs>
          <w:tab w:pos="8323" w:val="right" w:leader="dot"/>
        </w:tabs>
        <w:spacing w:line="240" w:lineRule="auto" w:before="0" w:after="0"/>
        <w:ind w:left="454"/>
      </w:pPr>
      <w:r>
        <w:rPr>
          <w:rFonts w:ascii="Sylfaen" w:hAnsi="Sylfaen"/>
          <w:sz w:val="24"/>
        </w:rPr>
        <w:t>3.1 Research design and contribution</w:t>
      </w:r>
      <w:r>
        <w:rPr>
          <w:rFonts w:ascii="Sylfaen" w:hAnsi="Sylfaen"/>
          <w:sz w:val="24"/>
        </w:rPr>
        <w:tab/>
      </w:r>
      <w:r>
        <w:rPr>
          <w:rFonts w:ascii="Sylfaen" w:hAnsi="Sylfaen"/>
          <w:sz w:val="24"/>
        </w:rPr>
        <w:t>24</w:t>
      </w:r>
    </w:p>
    <w:p>
      <w:pPr>
        <w:tabs>
          <w:tab w:pos="8323" w:val="right" w:leader="dot"/>
        </w:tabs>
        <w:spacing w:line="240" w:lineRule="auto" w:before="0" w:after="0"/>
        <w:ind w:left="454"/>
      </w:pPr>
      <w:r>
        <w:rPr>
          <w:rFonts w:ascii="Sylfaen" w:hAnsi="Sylfaen"/>
          <w:sz w:val="24"/>
        </w:rPr>
        <w:t>3.2 The Profile C memory architecture</w:t>
      </w:r>
      <w:r>
        <w:rPr>
          <w:rFonts w:ascii="Sylfaen" w:hAnsi="Sylfaen"/>
          <w:sz w:val="24"/>
        </w:rPr>
        <w:tab/>
      </w:r>
      <w:r>
        <w:rPr>
          <w:rFonts w:ascii="Sylfaen" w:hAnsi="Sylfaen"/>
          <w:sz w:val="24"/>
        </w:rPr>
        <w:t>25</w:t>
      </w:r>
    </w:p>
    <w:p>
      <w:pPr>
        <w:tabs>
          <w:tab w:pos="8323" w:val="right" w:leader="dot"/>
        </w:tabs>
        <w:spacing w:line="240" w:lineRule="auto" w:before="0" w:after="0"/>
        <w:ind w:left="454"/>
      </w:pPr>
      <w:r>
        <w:rPr>
          <w:rFonts w:ascii="Sylfaen" w:hAnsi="Sylfaen"/>
          <w:sz w:val="24"/>
        </w:rPr>
        <w:t>3.3 Experimental conditions (A / B / B+ / C)</w:t>
      </w:r>
      <w:r>
        <w:rPr>
          <w:rFonts w:ascii="Sylfaen" w:hAnsi="Sylfaen"/>
          <w:sz w:val="24"/>
        </w:rPr>
        <w:tab/>
      </w:r>
      <w:r>
        <w:rPr>
          <w:rFonts w:ascii="Sylfaen" w:hAnsi="Sylfaen"/>
          <w:sz w:val="24"/>
        </w:rPr>
        <w:t>29</w:t>
      </w:r>
    </w:p>
    <w:p>
      <w:pPr>
        <w:tabs>
          <w:tab w:pos="8323" w:val="right" w:leader="dot"/>
        </w:tabs>
        <w:spacing w:line="240" w:lineRule="auto" w:before="0" w:after="0"/>
        <w:ind w:left="454"/>
      </w:pPr>
      <w:r>
        <w:rPr>
          <w:rFonts w:ascii="Sylfaen" w:hAnsi="Sylfaen"/>
          <w:sz w:val="24"/>
        </w:rPr>
        <w:t>3.4 Proof-of-concept implementation</w:t>
      </w:r>
      <w:r>
        <w:rPr>
          <w:rFonts w:ascii="Sylfaen" w:hAnsi="Sylfaen"/>
          <w:sz w:val="24"/>
        </w:rPr>
        <w:tab/>
      </w:r>
      <w:r>
        <w:rPr>
          <w:rFonts w:ascii="Sylfaen" w:hAnsi="Sylfaen"/>
          <w:sz w:val="24"/>
        </w:rPr>
        <w:t>30</w:t>
      </w:r>
    </w:p>
    <w:p>
      <w:pPr>
        <w:tabs>
          <w:tab w:pos="8323" w:val="right" w:leader="dot"/>
        </w:tabs>
        <w:spacing w:line="240" w:lineRule="auto" w:before="0" w:after="0"/>
        <w:ind w:left="454"/>
      </w:pPr>
      <w:r>
        <w:rPr>
          <w:rFonts w:ascii="Sylfaen" w:hAnsi="Sylfaen"/>
          <w:sz w:val="24"/>
        </w:rPr>
        <w:t>3.5 Evaluation methodology</w:t>
      </w:r>
      <w:r>
        <w:rPr>
          <w:rFonts w:ascii="Sylfaen" w:hAnsi="Sylfaen"/>
          <w:sz w:val="24"/>
        </w:rPr>
        <w:tab/>
      </w:r>
      <w:r>
        <w:rPr>
          <w:rFonts w:ascii="Sylfaen" w:hAnsi="Sylfaen"/>
          <w:sz w:val="24"/>
        </w:rPr>
        <w:t>31</w:t>
      </w:r>
    </w:p>
    <w:p>
      <w:pPr>
        <w:tabs>
          <w:tab w:pos="8323" w:val="right" w:leader="dot"/>
        </w:tabs>
        <w:spacing w:line="240" w:lineRule="auto" w:before="0" w:after="0"/>
        <w:ind w:left="454"/>
      </w:pPr>
      <w:r>
        <w:rPr>
          <w:rFonts w:ascii="Sylfaen" w:hAnsi="Sylfaen"/>
          <w:sz w:val="24"/>
        </w:rPr>
        <w:t>3.6 Measures and instruments</w:t>
      </w:r>
      <w:r>
        <w:rPr>
          <w:rFonts w:ascii="Sylfaen" w:hAnsi="Sylfaen"/>
          <w:sz w:val="24"/>
        </w:rPr>
        <w:tab/>
      </w:r>
      <w:r>
        <w:rPr>
          <w:rFonts w:ascii="Sylfaen" w:hAnsi="Sylfaen"/>
          <w:sz w:val="24"/>
        </w:rPr>
        <w:t>33</w:t>
      </w:r>
    </w:p>
    <w:p>
      <w:pPr>
        <w:tabs>
          <w:tab w:pos="8323" w:val="right" w:leader="dot"/>
        </w:tabs>
        <w:spacing w:line="240" w:lineRule="auto" w:before="0" w:after="0"/>
        <w:ind w:left="454"/>
      </w:pPr>
      <w:r>
        <w:rPr>
          <w:rFonts w:ascii="Sylfaen" w:hAnsi="Sylfaen"/>
          <w:sz w:val="24"/>
        </w:rPr>
        <w:t>3.7 Analysis plan</w:t>
      </w:r>
      <w:r>
        <w:rPr>
          <w:rFonts w:ascii="Sylfaen" w:hAnsi="Sylfaen"/>
          <w:sz w:val="24"/>
        </w:rPr>
        <w:tab/>
      </w:r>
      <w:r>
        <w:rPr>
          <w:rFonts w:ascii="Sylfaen" w:hAnsi="Sylfaen"/>
          <w:sz w:val="24"/>
        </w:rPr>
        <w:t>34</w:t>
      </w:r>
    </w:p>
    <w:p>
      <w:pPr>
        <w:tabs>
          <w:tab w:pos="8323" w:val="right" w:leader="dot"/>
        </w:tabs>
        <w:spacing w:line="240" w:lineRule="auto" w:before="0" w:after="0"/>
        <w:ind w:left="454"/>
      </w:pPr>
      <w:r>
        <w:rPr>
          <w:rFonts w:ascii="Sylfaen" w:hAnsi="Sylfaen"/>
          <w:sz w:val="24"/>
        </w:rPr>
        <w:t>3.8 Ethical considerations and limitations</w:t>
      </w:r>
      <w:r>
        <w:rPr>
          <w:rFonts w:ascii="Sylfaen" w:hAnsi="Sylfaen"/>
          <w:sz w:val="24"/>
        </w:rPr>
        <w:tab/>
      </w:r>
      <w:r>
        <w:rPr>
          <w:rFonts w:ascii="Sylfaen" w:hAnsi="Sylfaen"/>
          <w:sz w:val="24"/>
        </w:rPr>
        <w:t>35</w:t>
      </w:r>
    </w:p>
    <w:p>
      <w:pPr>
        <w:tabs>
          <w:tab w:pos="8323" w:val="right" w:leader="dot"/>
        </w:tabs>
        <w:spacing w:line="240" w:lineRule="auto" w:before="0" w:after="0"/>
        <w:ind w:left="0"/>
      </w:pPr>
      <w:r>
        <w:rPr>
          <w:rFonts w:ascii="Sylfaen" w:hAnsi="Sylfaen"/>
          <w:sz w:val="24"/>
        </w:rPr>
        <w:t>4. Results and Discussion</w:t>
      </w:r>
      <w:r>
        <w:rPr>
          <w:rFonts w:ascii="Sylfaen" w:hAnsi="Sylfaen"/>
          <w:sz w:val="24"/>
        </w:rPr>
        <w:tab/>
      </w:r>
      <w:r>
        <w:rPr>
          <w:rFonts w:ascii="Sylfaen" w:hAnsi="Sylfaen"/>
          <w:sz w:val="24"/>
        </w:rPr>
        <w:t>37</w:t>
      </w:r>
    </w:p>
    <w:p>
      <w:pPr>
        <w:tabs>
          <w:tab w:pos="8323" w:val="right" w:leader="dot"/>
        </w:tabs>
        <w:spacing w:line="240" w:lineRule="auto" w:before="0" w:after="0"/>
        <w:ind w:left="454"/>
      </w:pPr>
      <w:r>
        <w:rPr>
          <w:rFonts w:ascii="Sylfaen" w:hAnsi="Sylfaen"/>
          <w:sz w:val="24"/>
        </w:rPr>
        <w:t>4.1 Proof-of-concept: scope and fidelity</w:t>
      </w:r>
      <w:r>
        <w:rPr>
          <w:rFonts w:ascii="Sylfaen" w:hAnsi="Sylfaen"/>
          <w:sz w:val="24"/>
        </w:rPr>
        <w:tab/>
      </w:r>
      <w:r>
        <w:rPr>
          <w:rFonts w:ascii="Sylfaen" w:hAnsi="Sylfaen"/>
          <w:sz w:val="24"/>
        </w:rPr>
        <w:t>37</w:t>
      </w:r>
    </w:p>
    <w:p>
      <w:pPr>
        <w:tabs>
          <w:tab w:pos="8323" w:val="right" w:leader="dot"/>
        </w:tabs>
        <w:spacing w:line="240" w:lineRule="auto" w:before="0" w:after="0"/>
        <w:ind w:left="454"/>
      </w:pPr>
      <w:r>
        <w:rPr>
          <w:rFonts w:ascii="Sylfaen" w:hAnsi="Sylfaen"/>
          <w:sz w:val="24"/>
        </w:rPr>
        <w:t>4.2 Technical results</w:t>
      </w:r>
      <w:r>
        <w:rPr>
          <w:rFonts w:ascii="Sylfaen" w:hAnsi="Sylfaen"/>
          <w:sz w:val="24"/>
        </w:rPr>
        <w:tab/>
      </w:r>
      <w:r>
        <w:rPr>
          <w:rFonts w:ascii="Sylfaen" w:hAnsi="Sylfaen"/>
          <w:sz w:val="24"/>
        </w:rPr>
        <w:t>38</w:t>
      </w:r>
    </w:p>
    <w:p>
      <w:pPr>
        <w:tabs>
          <w:tab w:pos="8323" w:val="right" w:leader="dot"/>
        </w:tabs>
        <w:spacing w:line="240" w:lineRule="auto" w:before="0" w:after="0"/>
        <w:ind w:left="454"/>
      </w:pPr>
      <w:r>
        <w:rPr>
          <w:rFonts w:ascii="Sylfaen" w:hAnsi="Sylfaen"/>
          <w:sz w:val="24"/>
        </w:rPr>
        <w:t>4.3 Simulated-perception results</w:t>
      </w:r>
      <w:r>
        <w:rPr>
          <w:rFonts w:ascii="Sylfaen" w:hAnsi="Sylfaen"/>
          <w:sz w:val="24"/>
        </w:rPr>
        <w:tab/>
      </w:r>
      <w:r>
        <w:rPr>
          <w:rFonts w:ascii="Sylfaen" w:hAnsi="Sylfaen"/>
          <w:sz w:val="24"/>
        </w:rPr>
        <w:t>39</w:t>
      </w:r>
    </w:p>
    <w:p>
      <w:pPr>
        <w:tabs>
          <w:tab w:pos="8323" w:val="right" w:leader="dot"/>
        </w:tabs>
        <w:spacing w:line="240" w:lineRule="auto" w:before="0" w:after="0"/>
        <w:ind w:left="454"/>
      </w:pPr>
      <w:r>
        <w:rPr>
          <w:rFonts w:ascii="Sylfaen" w:hAnsi="Sylfaen"/>
          <w:sz w:val="24"/>
        </w:rPr>
        <w:t>4.4 Discussion</w:t>
      </w:r>
      <w:r>
        <w:rPr>
          <w:rFonts w:ascii="Sylfaen" w:hAnsi="Sylfaen"/>
          <w:sz w:val="24"/>
        </w:rPr>
        <w:tab/>
      </w:r>
      <w:r>
        <w:rPr>
          <w:rFonts w:ascii="Sylfaen" w:hAnsi="Sylfaen"/>
          <w:sz w:val="24"/>
        </w:rPr>
        <w:t>40</w:t>
      </w:r>
    </w:p>
    <w:p>
      <w:pPr>
        <w:tabs>
          <w:tab w:pos="8323" w:val="right" w:leader="dot"/>
        </w:tabs>
        <w:spacing w:line="240" w:lineRule="auto" w:before="0" w:after="0"/>
        <w:ind w:left="454"/>
      </w:pPr>
      <w:r>
        <w:rPr>
          <w:rFonts w:ascii="Sylfaen" w:hAnsi="Sylfaen"/>
          <w:sz w:val="24"/>
        </w:rPr>
        <w:t>4.5 Limitations of the evaluation</w:t>
      </w:r>
      <w:r>
        <w:rPr>
          <w:rFonts w:ascii="Sylfaen" w:hAnsi="Sylfaen"/>
          <w:sz w:val="24"/>
        </w:rPr>
        <w:tab/>
      </w:r>
      <w:r>
        <w:rPr>
          <w:rFonts w:ascii="Sylfaen" w:hAnsi="Sylfaen"/>
          <w:sz w:val="24"/>
        </w:rPr>
        <w:t>41</w:t>
      </w:r>
    </w:p>
    <w:p>
      <w:pPr>
        <w:tabs>
          <w:tab w:pos="8323" w:val="right" w:leader="dot"/>
        </w:tabs>
        <w:spacing w:line="240" w:lineRule="auto" w:before="0" w:after="0"/>
        <w:ind w:left="0"/>
      </w:pPr>
      <w:r>
        <w:rPr>
          <w:rFonts w:ascii="Sylfaen" w:hAnsi="Sylfaen"/>
          <w:sz w:val="24"/>
        </w:rPr>
        <w:t>5. Conclusion</w:t>
      </w:r>
      <w:r>
        <w:rPr>
          <w:rFonts w:ascii="Sylfaen" w:hAnsi="Sylfaen"/>
          <w:sz w:val="24"/>
        </w:rPr>
        <w:tab/>
      </w:r>
      <w:r>
        <w:rPr>
          <w:rFonts w:ascii="Sylfaen" w:hAnsi="Sylfaen"/>
          <w:sz w:val="24"/>
        </w:rPr>
        <w:t>42</w:t>
      </w:r>
    </w:p>
    <w:p>
      <w:pPr>
        <w:tabs>
          <w:tab w:pos="8323" w:val="right" w:leader="dot"/>
        </w:tabs>
        <w:spacing w:line="240" w:lineRule="auto" w:before="0" w:after="0"/>
        <w:ind w:left="454"/>
      </w:pPr>
      <w:r>
        <w:rPr>
          <w:rFonts w:ascii="Sylfaen" w:hAnsi="Sylfaen"/>
          <w:sz w:val="24"/>
        </w:rPr>
        <w:t>5.1 Summary of contributions</w:t>
      </w:r>
      <w:r>
        <w:rPr>
          <w:rFonts w:ascii="Sylfaen" w:hAnsi="Sylfaen"/>
          <w:sz w:val="24"/>
        </w:rPr>
        <w:tab/>
      </w:r>
      <w:r>
        <w:rPr>
          <w:rFonts w:ascii="Sylfaen" w:hAnsi="Sylfaen"/>
          <w:sz w:val="24"/>
        </w:rPr>
        <w:t>42</w:t>
      </w:r>
    </w:p>
    <w:p>
      <w:pPr>
        <w:tabs>
          <w:tab w:pos="8323" w:val="right" w:leader="dot"/>
        </w:tabs>
        <w:spacing w:line="240" w:lineRule="auto" w:before="0" w:after="0"/>
        <w:ind w:left="454"/>
      </w:pPr>
      <w:r>
        <w:rPr>
          <w:rFonts w:ascii="Sylfaen" w:hAnsi="Sylfaen"/>
          <w:sz w:val="24"/>
        </w:rPr>
        <w:t>5.2 Summary of findings</w:t>
      </w:r>
      <w:r>
        <w:rPr>
          <w:rFonts w:ascii="Sylfaen" w:hAnsi="Sylfaen"/>
          <w:sz w:val="24"/>
        </w:rPr>
        <w:tab/>
      </w:r>
      <w:r>
        <w:rPr>
          <w:rFonts w:ascii="Sylfaen" w:hAnsi="Sylfaen"/>
          <w:sz w:val="24"/>
        </w:rPr>
        <w:t>42</w:t>
      </w:r>
    </w:p>
    <w:p>
      <w:pPr>
        <w:tabs>
          <w:tab w:pos="8323" w:val="right" w:leader="dot"/>
        </w:tabs>
        <w:spacing w:line="240" w:lineRule="auto" w:before="0" w:after="0"/>
        <w:ind w:left="454"/>
      </w:pPr>
      <w:r>
        <w:rPr>
          <w:rFonts w:ascii="Sylfaen" w:hAnsi="Sylfaen"/>
          <w:sz w:val="24"/>
        </w:rPr>
        <w:t>5.3 Future work</w:t>
      </w:r>
      <w:r>
        <w:rPr>
          <w:rFonts w:ascii="Sylfaen" w:hAnsi="Sylfaen"/>
          <w:sz w:val="24"/>
        </w:rPr>
        <w:tab/>
      </w:r>
      <w:r>
        <w:rPr>
          <w:rFonts w:ascii="Sylfaen" w:hAnsi="Sylfaen"/>
          <w:sz w:val="24"/>
        </w:rPr>
        <w:t>43</w:t>
      </w:r>
    </w:p>
    <w:p>
      <w:pPr>
        <w:tabs>
          <w:tab w:pos="8323" w:val="right" w:leader="dot"/>
        </w:tabs>
        <w:spacing w:line="240" w:lineRule="auto" w:before="0" w:after="0"/>
        <w:ind w:left="0"/>
      </w:pPr>
      <w:r>
        <w:rPr>
          <w:rFonts w:ascii="Sylfaen" w:hAnsi="Sylfaen"/>
          <w:sz w:val="24"/>
        </w:rPr>
        <w:t>Bibliography</w:t>
      </w:r>
      <w:r>
        <w:rPr>
          <w:rFonts w:ascii="Sylfaen" w:hAnsi="Sylfaen"/>
          <w:sz w:val="24"/>
        </w:rPr>
        <w:tab/>
      </w:r>
      <w:r>
        <w:rPr>
          <w:rFonts w:ascii="Sylfaen" w:hAnsi="Sylfaen"/>
          <w:sz w:val="24"/>
        </w:rPr>
        <w:t>44</w:t>
      </w:r>
    </w:p>
    <w:p w14:paraId="0384E683" w14:textId="77777777" w:rsidR="0091706F" w:rsidRPr="00162FD8" w:rsidRDefault="0091706F" w:rsidP="0091706F">
      <w:pPr>
        <w:pageBreakBefore/>
        <w:spacing w:after="0" w:line="360" w:lineRule="auto"/>
        <w:jc w:val="center"/>
        <w:rPr>
          <w:b/>
          <w:bCs/>
          <w:sz w:val="28"/>
          <w:szCs w:val="28"/>
          <w:lang w:val="ka-GE"/>
        </w:rPr>
      </w:pPr>
      <w:r w:rsidRPr="00162FD8">
        <w:rPr>
          <w:b/>
          <w:bCs/>
          <w:sz w:val="28"/>
          <w:szCs w:val="28"/>
          <w:lang w:val="ka-GE"/>
        </w:rPr>
        <w:lastRenderedPageBreak/>
        <w:t>სურათების ნუსხა</w:t>
      </w:r>
    </w:p>
    <w:p w14:paraId="33C370FE" w14:textId="77777777" w:rsidR="0064411D" w:rsidRDefault="0064411D" w:rsidP="00A207E2">
      <w:pPr>
        <w:spacing w:after="0" w:line="360" w:lineRule="auto"/>
        <w:jc w:val="left"/>
        <w:rPr>
          <w:sz w:val="28"/>
          <w:szCs w:val="28"/>
          <w:lang w:val="ka-GE"/>
        </w:rPr>
      </w:pPr>
    </w:p>
    <w:p w14:paraId="23E5E56C" w14:textId="459F235F" w:rsidR="00251275" w:rsidRDefault="00251275" w:rsidP="00A207E2">
      <w:pPr>
        <w:spacing w:after="0" w:line="360" w:lineRule="auto"/>
        <w:jc w:val="left"/>
        <w:rPr>
          <w:sz w:val="28"/>
          <w:szCs w:val="28"/>
          <w:lang w:val="ka-GE"/>
        </w:rPr>
      </w:pPr>
    </w:p>
    <w:p w14:paraId="051CC3C4" w14:textId="3B8ED7EC" w:rsidR="00251275" w:rsidRDefault="00251275" w:rsidP="00A207E2">
      <w:pPr>
        <w:spacing w:after="0" w:line="360" w:lineRule="auto"/>
        <w:jc w:val="left"/>
        <w:rPr>
          <w:sz w:val="28"/>
          <w:szCs w:val="28"/>
          <w:lang w:val="ka-GE"/>
        </w:rPr>
      </w:pPr>
    </w:p>
    <w:p w14:paraId="5BF7B526" w14:textId="77777777" w:rsidR="0091706F" w:rsidRPr="00B93BF8" w:rsidRDefault="0091706F" w:rsidP="0091706F">
      <w:pPr>
        <w:pageBreakBefore/>
        <w:spacing w:after="0" w:line="360" w:lineRule="auto"/>
        <w:jc w:val="center"/>
        <w:rPr>
          <w:sz w:val="28"/>
          <w:szCs w:val="28"/>
          <w:lang w:val="ka-GE"/>
        </w:rPr>
      </w:pPr>
      <w:r w:rsidRPr="00400A9D">
        <w:rPr>
          <w:b/>
          <w:bCs/>
          <w:sz w:val="28"/>
          <w:szCs w:val="28"/>
          <w:lang w:val="ka-GE"/>
        </w:rPr>
        <w:lastRenderedPageBreak/>
        <w:t>ცხრილების ნუსხა</w:t>
      </w:r>
    </w:p>
    <w:p>
      <w:pPr/>
      <w:r>
        <w:rPr>
          <w:rFonts w:ascii="Sylfaen" w:hAnsi="Sylfaen" w:cs="Sylfaen"/>
          <w:b w:val="0"/>
          <w:sz w:val="24"/>
          <w:lang w:val="en-US"/>
        </w:rPr>
        <w:t>Table 2.1. Human-memory theories and their corresponding LLM-agent implementations</w:t>
      </w:r>
    </w:p>
    <w:p>
      <w:pPr/>
      <w:r>
        <w:rPr>
          <w:rFonts w:ascii="Sylfaen" w:hAnsi="Sylfaen" w:cs="Sylfaen"/>
          <w:b w:val="0"/>
          <w:sz w:val="24"/>
          <w:lang w:val="en-US"/>
        </w:rPr>
        <w:t>Table 3.1. Confound control in the experimental design</w:t>
      </w:r>
    </w:p>
    <w:p>
      <w:pPr/>
      <w:r>
        <w:rPr>
          <w:rFonts w:ascii="Sylfaen" w:hAnsi="Sylfaen" w:cs="Sylfaen"/>
          <w:b w:val="0"/>
          <w:sz w:val="24"/>
          <w:lang w:val="en-US"/>
        </w:rPr>
        <w:t>Table 4.1. Proof-of-concept fidelity against the full architecture of 3.2</w:t>
      </w:r>
    </w:p>
    <w:p>
      <w:pPr/>
      <w:r>
        <w:rPr>
          <w:rFonts w:ascii="Sylfaen" w:hAnsi="Sylfaen" w:cs="Sylfaen"/>
          <w:b w:val="0"/>
          <w:sz w:val="24"/>
          <w:lang w:val="en-US"/>
        </w:rPr>
        <w:t>Table 4.2. Cross-session recall accuracy by probe type</w:t>
      </w:r>
    </w:p>
    <w:p>
      <w:pPr/>
      <w:r>
        <w:rPr>
          <w:rFonts w:ascii="Sylfaen" w:hAnsi="Sylfaen" w:cs="Sylfaen"/>
          <w:b w:val="0"/>
          <w:sz w:val="24"/>
          <w:lang w:val="en-US"/>
        </w:rPr>
        <w:t>Table 4.3. Simulated-perception mean ratings by construct</w:t>
      </w:r>
    </w:p>
    <w:p w14:paraId="07881C2F" w14:textId="0BADFB56" w:rsidR="00457D02" w:rsidRDefault="00457D02" w:rsidP="00A207E2">
      <w:pPr>
        <w:spacing w:after="0" w:line="360" w:lineRule="auto"/>
        <w:jc w:val="left"/>
        <w:rPr>
          <w:sz w:val="28"/>
          <w:szCs w:val="28"/>
          <w:lang w:val="ka-GE"/>
        </w:rPr>
      </w:pPr>
    </w:p>
    <w:p>
      <w:pPr>
        <w:pStyle w:val="Heading1"/>
        <w:pageBreakBefore/>
        <w:numPr>
          <w:numId w:val="0"/>
        </w:numPr>
        <w:spacing w:before="360" w:after="80"/>
        <w:jc w:val="center"/>
      </w:pPr>
      <w:r>
        <w:rPr>
          <w:rFonts w:ascii="Sylfaen" w:hAnsi="Sylfaen" w:cs="Sylfaen"/>
          <w:b/>
          <w:color w:val="000000"/>
          <w:sz w:val="28"/>
          <w:lang w:val="en-US"/>
        </w:rPr>
        <w:t>1. Introduction</w:t>
      </w:r>
    </w:p>
    <w:p>
      <w:pPr>
        <w:jc w:val="both"/>
      </w:pPr>
      <w:r>
        <w:rPr>
          <w:rFonts w:ascii="Sylfaen" w:hAnsi="Sylfaen" w:cs="Sylfaen"/>
          <w:b/>
          <w:sz w:val="24"/>
          <w:lang w:val="en-US"/>
        </w:rPr>
        <w:t xml:space="preserve">Research problem. </w:t>
      </w:r>
      <w:r>
        <w:rPr>
          <w:rFonts w:ascii="Sylfaen" w:hAnsi="Sylfaen" w:cs="Sylfaen"/>
          <w:b w:val="0"/>
          <w:sz w:val="24"/>
          <w:lang w:val="en-US"/>
        </w:rPr>
        <w:t>Conversational systems built on large language models (LLMs) have in recent years demonstrated human-comparable linguistic competence within a single dialogue session, yet one of their fundamental limitations persists: such systems fail to maintain a continuous, evolving context of interaction over the long term. Empirical evidence renders this deficit precisely: on LoCoMo, a benchmark comprising long conversations distributed across up to 35 sessions, long-context models and RAG approaches trail human performance by 56% overall and by 73% on temporal reasoning [1]. The LongMemEval benchmark confirms a 30% drop in information-recall accuracy for commercial conversational assistants under sustained interaction [2].</w:t>
      </w:r>
    </w:p>
    <w:p>
      <w:pPr>
        <w:jc w:val="both"/>
      </w:pPr>
      <w:r>
        <w:rPr>
          <w:rFonts w:ascii="Sylfaen" w:hAnsi="Sylfaen" w:cs="Sylfaen"/>
          <w:b w:val="0"/>
          <w:sz w:val="24"/>
          <w:lang w:val="en-US"/>
        </w:rPr>
        <w:t>This technical deficit translates directly into user experience. In the context of so-called "companion" applications (Replika, Character.AI), a qualitative study of Replika users shows that memory failure — forgetting names, preferences, and life events — is among the principal factors that break the user's sense of relationship [3]. At the same time, when a system's behavior changes abruptly, users exhibit reactions that are statistically mediated by the agent's perceived identity discontinuity [4]. Taken together, these two independent findings give grounds to hypothesize that memory continuity underlies perceived identity and, by extension, the continuity of the relationship — a hypothesis whose experimental examination this thesis designs and specifies as future work.</w:t>
      </w:r>
    </w:p>
    <w:p>
      <w:pPr>
        <w:jc w:val="both"/>
      </w:pPr>
      <w:r>
        <w:rPr>
          <w:rFonts w:ascii="Sylfaen" w:hAnsi="Sylfaen" w:cs="Sylfaen"/>
          <w:b w:val="0"/>
          <w:sz w:val="24"/>
          <w:lang w:val="en-US"/>
        </w:rPr>
        <w:t>The research problem is therefore two-dimensional: (a) technical — how relevant information should be represented, stored, and retrieved across multi-session interaction; and (b) perceptual — which memory behaviors users experience as natural and relationship-reinforcing. The existing literature treats these two dimensions largely in isolation: memory architectures are evaluated with factual-accuracy (QA) metrics, while perception studies treat memory as an isolated manipulation on a single system. The intersection of these two dimensions constitutes the research space of the present work.</w:t>
      </w:r>
    </w:p>
    <w:p>
      <w:pPr>
        <w:jc w:val="both"/>
      </w:pPr>
      <w:r>
        <w:rPr>
          <w:rFonts w:ascii="Sylfaen" w:hAnsi="Sylfaen" w:cs="Sylfaen"/>
          <w:b w:val="0"/>
          <w:sz w:val="24"/>
          <w:lang w:val="en-US"/>
        </w:rPr>
        <w:t>The object of research is LLM-based voice conversational systems. The subject of research is the effect of long-term memory architecture on user-perceived social constructs.</w:t>
      </w:r>
    </w:p>
    <w:p>
      <w:pPr>
        <w:jc w:val="both"/>
      </w:pPr>
      <w:r>
        <w:rPr>
          <w:rFonts w:ascii="Sylfaen" w:hAnsi="Sylfaen" w:cs="Sylfaen"/>
          <w:b/>
          <w:sz w:val="24"/>
          <w:lang w:val="en-US"/>
        </w:rPr>
        <w:t xml:space="preserve">Research aim. </w:t>
      </w:r>
      <w:r>
        <w:rPr>
          <w:rFonts w:ascii="Sylfaen" w:hAnsi="Sylfaen" w:cs="Sylfaen"/>
          <w:b w:val="0"/>
          <w:sz w:val="24"/>
          <w:lang w:val="en-US"/>
        </w:rPr>
        <w:t>The aim of this work is to develop a long-term memory architecture for a voice conversational system, grounded in cognitive theories of human memory, and to evaluate experimentally its effect on user-perceived social constructs — social presence, user–agent alliance, and perceived humanlikeness — through a controlled comparative study.</w:t>
      </w:r>
    </w:p>
    <w:p>
      <w:pPr>
        <w:jc w:val="both"/>
      </w:pPr>
      <w:r>
        <w:rPr>
          <w:rFonts w:ascii="Sylfaen" w:hAnsi="Sylfaen" w:cs="Sylfaen"/>
          <w:b w:val="0"/>
          <w:sz w:val="24"/>
          <w:lang w:val="en-US"/>
        </w:rPr>
        <w:t>To achieve this aim, the following objectives are set:</w:t>
      </w:r>
    </w:p>
    <w:p>
      <w:pPr>
        <w:jc w:val="both"/>
      </w:pPr>
      <w:r>
        <w:rPr>
          <w:rFonts w:ascii="Sylfaen" w:hAnsi="Sylfaen" w:cs="Sylfaen"/>
          <w:b w:val="0"/>
          <w:sz w:val="24"/>
          <w:lang w:val="en-US"/>
        </w:rPr>
        <w:t>1. a systematic analysis of existing approaches to long-term conversational memory and of their cognitive-theoretical foundations;</w:t>
      </w:r>
    </w:p>
    <w:p>
      <w:pPr>
        <w:jc w:val="both"/>
      </w:pPr>
      <w:r>
        <w:rPr>
          <w:rFonts w:ascii="Sylfaen" w:hAnsi="Sylfaen" w:cs="Sylfaen"/>
          <w:b w:val="0"/>
          <w:sz w:val="24"/>
          <w:lang w:val="en-US"/>
        </w:rPr>
        <w:t>2. formalization of the behavioral signatures of the selected theories (the multi-store model, the Ebbinghaus forgetting curve, the episodic/semantic memory distinction, gist-based recall, and the complementary learning systems / consolidation framework) and their transformation into architectural components;</w:t>
      </w:r>
    </w:p>
    <w:p>
      <w:pPr>
        <w:jc w:val="both"/>
      </w:pPr>
      <w:r>
        <w:rPr>
          <w:rFonts w:ascii="Sylfaen" w:hAnsi="Sylfaen" w:cs="Sylfaen"/>
          <w:b w:val="0"/>
          <w:sz w:val="24"/>
          <w:lang w:val="en-US"/>
        </w:rPr>
        <w:t>3. implementation of the architecture as mutually comparable experimental profiles: (A) no long-term memory, (B) verbatim-retrieval RAG, (B+) a curated-static active control, and (C) a profile modeled on human memory;</w:t>
      </w:r>
    </w:p>
    <w:p>
      <w:pPr>
        <w:jc w:val="both"/>
      </w:pPr>
      <w:r>
        <w:rPr>
          <w:rFonts w:ascii="Sylfaen" w:hAnsi="Sylfaen" w:cs="Sylfaen"/>
          <w:b w:val="0"/>
          <w:sz w:val="24"/>
          <w:lang w:val="en-US"/>
        </w:rPr>
        <w:t>4. specification of a pre-registered within-subject user-study protocol with validated instruments [14], designed in full but deferred to future work;</w:t>
      </w:r>
    </w:p>
    <w:p>
      <w:pPr>
        <w:jc w:val="both"/>
      </w:pPr>
      <w:r>
        <w:rPr>
          <w:rFonts w:ascii="Sylfaen" w:hAnsi="Sylfaen" w:cs="Sylfaen"/>
          <w:b w:val="0"/>
          <w:sz w:val="24"/>
          <w:lang w:val="en-US"/>
        </w:rPr>
        <w:t>5. a proof-of-concept implementation and its technical and simulated evaluation, with memory-design recommendations for interlocutor systems to be confirmed by the deferred study.</w:t>
      </w:r>
    </w:p>
    <w:p>
      <w:pPr>
        <w:jc w:val="both"/>
      </w:pPr>
      <w:r>
        <w:rPr>
          <w:rFonts w:ascii="Sylfaen" w:hAnsi="Sylfaen" w:cs="Sylfaen"/>
          <w:b w:val="0"/>
          <w:sz w:val="24"/>
          <w:lang w:val="en-US"/>
        </w:rPr>
        <w:t>Primary research question and hypotheses. The study distinguishes three primary social constructs (the dependent variables named in the aim) from two secondary, exploratory predictions:</w:t>
      </w:r>
    </w:p>
    <w:p>
      <w:pPr>
        <w:jc w:val="both"/>
      </w:pPr>
      <w:r>
        <w:rPr>
          <w:rFonts w:ascii="Sylfaen" w:hAnsi="Sylfaen" w:cs="Sylfaen"/>
          <w:b w:val="0"/>
          <w:sz w:val="24"/>
          <w:lang w:val="en-US"/>
        </w:rPr>
        <w:t>•  RQ1: Does a memory architecture grounded in theories of human memory strengthen perceived social presence, user–agent alliance, and perceived humanlikeness, relative to an approach based on verbatim retrieval?</w:t>
      </w:r>
    </w:p>
    <w:p>
      <w:pPr>
        <w:jc w:val="both"/>
      </w:pPr>
      <w:r>
        <w:rPr>
          <w:rFonts w:ascii="Sylfaen" w:hAnsi="Sylfaen" w:cs="Sylfaen"/>
          <w:b w:val="0"/>
          <w:sz w:val="24"/>
          <w:lang w:val="en-US"/>
        </w:rPr>
        <w:t>•  H1 (primary): the theory-grounded profile (C) outperforms verbatim RAG (B) on all three primary constructs — social presence, user–agent alliance, and perceived humanlikeness.</w:t>
      </w:r>
    </w:p>
    <w:p>
      <w:pPr>
        <w:jc w:val="both"/>
      </w:pPr>
      <w:r>
        <w:rPr>
          <w:rFonts w:ascii="Sylfaen" w:hAnsi="Sylfaen" w:cs="Sylfaen"/>
          <w:b w:val="0"/>
          <w:sz w:val="24"/>
          <w:lang w:val="en-US"/>
        </w:rPr>
        <w:t>•  H2a (secondary): verbatim RAG (B) scores highest on perceived intelligence (Godspeed).</w:t>
      </w:r>
    </w:p>
    <w:p>
      <w:pPr>
        <w:jc w:val="both"/>
      </w:pPr>
      <w:r>
        <w:rPr>
          <w:rFonts w:ascii="Sylfaen" w:hAnsi="Sylfaen" w:cs="Sylfaen"/>
          <w:b w:val="0"/>
          <w:sz w:val="24"/>
          <w:lang w:val="en-US"/>
        </w:rPr>
        <w:t>•  H2b (secondary): verbatim RAG (B) scores lowest on trust and privacy-related comfort (Cox-style items) — a conjecture extrapolated from text-modality results [11] to the voice modality.</w:t>
      </w:r>
    </w:p>
    <w:p>
      <w:pPr>
        <w:jc w:val="both"/>
      </w:pPr>
      <w:r>
        <w:rPr>
          <w:rFonts w:ascii="Sylfaen" w:hAnsi="Sylfaen" w:cs="Sylfaen"/>
          <w:b w:val="0"/>
          <w:sz w:val="24"/>
          <w:lang w:val="en-US"/>
        </w:rPr>
        <w:t>The comparison additionally includes a curated-static active control (B+): a memory that receives the same offline curation as C but none of its human-memory dynamics (no decay, no salience-gating, no consolidation). The contrast C versus B+ — which isolates the effect of the human-memory dynamics from the mere legibility gains of curation — is the central novel comparison of this thesis; as established in 3.1, it is by construction a small effect and is treated as a pre-registered estimation target rather than a confirmatory test, distinct from the better-powered comparisons (C vs A, and directional B+ vs B and C vs B).</w:t>
      </w:r>
    </w:p>
    <w:p>
      <w:pPr>
        <w:jc w:val="both"/>
      </w:pPr>
      <w:r>
        <w:rPr>
          <w:rFonts w:ascii="Sylfaen" w:hAnsi="Sylfaen" w:cs="Sylfaen"/>
          <w:b w:val="0"/>
          <w:sz w:val="24"/>
          <w:lang w:val="en-US"/>
        </w:rPr>
        <w:t>Of the three properties by which 1.5 distinguishes an interlocutor from an assistant, the memory manipulation bears on context persistence and identity continuity; the third — initiative — is operationalized only in an optional proactive condition and is therefore tested only if that condition is included.</w:t>
      </w:r>
    </w:p>
    <w:p>
      <w:pPr>
        <w:jc w:val="both"/>
      </w:pPr>
      <w:r>
        <w:rPr>
          <w:rFonts w:ascii="Sylfaen" w:hAnsi="Sylfaen" w:cs="Sylfaen"/>
          <w:b w:val="0"/>
          <w:sz w:val="24"/>
          <w:lang w:val="en-US"/>
        </w:rPr>
        <w:t>Linguistic scope of the study: the system and the experiments are conducted in English, a choice dictated by the current level of maturity of Georgian speech-recognition technology; accordingly, the perceptual conclusions apply directly to the tested language condition, while a Georgian-language demonstration is discussed in the future-work section. The interaction modality is likewise held constant — voice throughout, with no text arm — so the study examines memory-architecture effects within the voice setting rather than any voice-versus-text difference.</w:t>
      </w:r>
    </w:p>
    <w:p>
      <w:pPr>
        <w:jc w:val="both"/>
      </w:pPr>
      <w:r>
        <w:rPr>
          <w:rFonts w:ascii="Sylfaen" w:hAnsi="Sylfaen" w:cs="Sylfaen"/>
          <w:b/>
          <w:sz w:val="24"/>
          <w:lang w:val="en-US"/>
        </w:rPr>
        <w:t xml:space="preserve">Relevance of the problem. </w:t>
      </w:r>
      <w:r>
        <w:rPr>
          <w:rFonts w:ascii="Sylfaen" w:hAnsi="Sylfaen" w:cs="Sylfaen"/>
          <w:b w:val="0"/>
          <w:sz w:val="24"/>
          <w:lang w:val="en-US"/>
        </w:rPr>
        <w:t>The relevance of the problem is determined by three mutually independent factors. First — industrial: in 2025–2026, leading vendors (OpenAI, Anthropic) either deployed background memory-consolidation mechanisms in commercial products or presented them as public research previews [18, 19], which suggests that long-term memory is regarded by the field itself as a central unsolved problem. It is notable, moreover, that no peer-reviewed publications accompany these systems — which makes the need for academic study all the more acute. Second — social: prolonged, personal interaction with conversational systems has become a widespread practice [5], which turns the perceptual effects of memory into a socially significant question. Third — methodological: every major long-term-memory benchmark known to us (LoCoMo, LongMemEval, MSC) is designed for the text modality [1, 2, 35]; under voice interaction — where response latency is strictly bounded in real time — the behavior of memory architectures and their perceptual effects remain practically unstudied.</w:t>
      </w:r>
    </w:p>
    <w:p>
      <w:pPr>
        <w:jc w:val="both"/>
      </w:pPr>
      <w:r>
        <w:rPr>
          <w:rFonts w:ascii="Sylfaen" w:hAnsi="Sylfaen" w:cs="Sylfaen"/>
          <w:b/>
          <w:sz w:val="24"/>
          <w:lang w:val="en-US"/>
        </w:rPr>
        <w:t xml:space="preserve">Practical value of the research. </w:t>
      </w:r>
      <w:r>
        <w:rPr>
          <w:rFonts w:ascii="Sylfaen" w:hAnsi="Sylfaen" w:cs="Sylfaen"/>
          <w:b w:val="0"/>
          <w:sz w:val="24"/>
          <w:lang w:val="en-US"/>
        </w:rPr>
        <w:t>The research will produce:</w:t>
      </w:r>
    </w:p>
    <w:p>
      <w:pPr>
        <w:jc w:val="both"/>
      </w:pPr>
      <w:r>
        <w:rPr>
          <w:rFonts w:ascii="Sylfaen" w:hAnsi="Sylfaen" w:cs="Sylfaen"/>
          <w:b w:val="0"/>
          <w:sz w:val="24"/>
          <w:lang w:val="en-US"/>
        </w:rPr>
        <w:t>•  a proof-of-concept memory harness implementing all four conditions over multi-session dialogue, together with a specified path to integrate it into the Voice Companion voice platform (future work);</w:t>
      </w:r>
    </w:p>
    <w:p>
      <w:pPr>
        <w:jc w:val="both"/>
      </w:pPr>
      <w:r>
        <w:rPr>
          <w:rFonts w:ascii="Sylfaen" w:hAnsi="Sylfaen" w:cs="Sylfaen"/>
          <w:b w:val="0"/>
          <w:sz w:val="24"/>
          <w:lang w:val="en-US"/>
        </w:rPr>
        <w:t>•  design recommendations — informed by a technical and simulated proof-of-concept, and to be empirically validated by the deferred human study — on which memory mechanisms strengthen or weaken the sense of relationship, as a guide for builders of conversational products;</w:t>
      </w:r>
    </w:p>
    <w:p>
      <w:pPr>
        <w:jc w:val="both"/>
      </w:pPr>
      <w:r>
        <w:rPr>
          <w:rFonts w:ascii="Sylfaen" w:hAnsi="Sylfaen" w:cs="Sylfaen"/>
          <w:b w:val="0"/>
          <w:sz w:val="24"/>
          <w:lang w:val="en-US"/>
        </w:rPr>
        <w:t>•  a reproducible experimental environment for comparing memory profiles.</w:t>
      </w:r>
    </w:p>
    <w:p>
      <w:pPr>
        <w:jc w:val="both"/>
      </w:pPr>
      <w:r>
        <w:rPr>
          <w:rFonts w:ascii="Sylfaen" w:hAnsi="Sylfaen" w:cs="Sylfaen"/>
          <w:b w:val="0"/>
          <w:sz w:val="24"/>
          <w:lang w:val="en-US"/>
        </w:rPr>
        <w:t>The results are relevant to the development of personal assistants as well as of conversational systems for educational and medical purposes.</w:t>
      </w:r>
    </w:p>
    <w:p>
      <w:pPr>
        <w:jc w:val="both"/>
      </w:pPr>
      <w:r>
        <w:rPr>
          <w:rFonts w:ascii="Sylfaen" w:hAnsi="Sylfaen" w:cs="Sylfaen"/>
          <w:b/>
          <w:sz w:val="24"/>
          <w:lang w:val="en-US"/>
        </w:rPr>
        <w:t xml:space="preserve">Theoretical value of the research. </w:t>
      </w:r>
      <w:r>
        <w:rPr>
          <w:rFonts w:ascii="Sylfaen" w:hAnsi="Sylfaen" w:cs="Sylfaen"/>
          <w:b w:val="0"/>
          <w:sz w:val="24"/>
          <w:lang w:val="en-US"/>
        </w:rPr>
        <w:t>The theoretical contribution of the work is threefold. First, it connects the memory theories of cognitive psychology with the engineering of LLM systems not at the level of metaphor but at the level of measurable behavioral signatures. Second, in the literature available to us no controlled study could be found that compares architectures grounded in different theories of human memory with respect to user-perceived social constructs — existing comparisons are confined to factual-accuracy metrics [1, 2], while perception studies treat memory as an isolated manipulation on a single system [11]; the present work aims to fill this gap by designing a controlled experiment and building the apparatus and methodology to run it. Third, the work proposes an operationalization of the distinction between an "assistant" and an "interlocutor" on the basis of three measurable properties — context persistence, identity continuity, and initiative — thereby transforming these notions from loosely defined terms into measurable categories.</w:t>
      </w:r>
    </w:p>
    <w:p>
      <w:pPr>
        <w:jc w:val="both"/>
      </w:pPr>
      <w:r>
        <w:rPr>
          <w:rFonts w:ascii="Sylfaen" w:hAnsi="Sylfaen" w:cs="Sylfaen"/>
          <w:b/>
          <w:sz w:val="24"/>
          <w:lang w:val="en-US"/>
        </w:rPr>
        <w:t xml:space="preserve">Structure of the work. </w:t>
      </w:r>
      <w:r>
        <w:rPr>
          <w:rFonts w:ascii="Sylfaen" w:hAnsi="Sylfaen" w:cs="Sylfaen"/>
          <w:b w:val="0"/>
          <w:sz w:val="24"/>
          <w:lang w:val="en-US"/>
        </w:rPr>
        <w:t>The work consists of five chapters: introduction, literature review, research methods, results and discussion, and conclusion. The literature review analyzes existing approaches to long-term conversational memory, their cognitive-theoretical foundations, and the limitations of evaluation methodology. The methods chapter describes the developed architecture, the experimental profiles, the proof-of-concept, and the design of the (deferred) user study. The results chapter reports the proof-of-concept implementation and its technical and simulated evaluation and discusses what they do and do not establish; the human-subject study is specified in the methods chapter as future work. The conclusion summarizes the findings and outlines directions for future research.</w:t>
      </w:r>
    </w:p>
    <w:p>
      <w:pPr>
        <w:pStyle w:val="Heading1"/>
        <w:pageBreakBefore/>
        <w:numPr>
          <w:numId w:val="0"/>
        </w:numPr>
        <w:spacing w:before="360" w:after="80"/>
        <w:jc w:val="center"/>
      </w:pPr>
      <w:r>
        <w:rPr>
          <w:rFonts w:ascii="Sylfaen" w:hAnsi="Sylfaen" w:cs="Sylfaen"/>
          <w:b/>
          <w:color w:val="000000"/>
          <w:sz w:val="28"/>
          <w:lang w:val="en-US"/>
        </w:rPr>
        <w:t>2. Literature Review</w:t>
      </w:r>
    </w:p>
    <w:p>
      <w:pPr>
        <w:pStyle w:val="Heading2"/>
        <w:numPr>
          <w:numId w:val="0"/>
        </w:numPr>
        <w:spacing w:before="160" w:after="80"/>
        <w:jc w:val="center"/>
      </w:pPr>
      <w:r>
        <w:rPr>
          <w:rFonts w:ascii="Sylfaen" w:hAnsi="Sylfaen" w:cs="Sylfaen"/>
          <w:b/>
          <w:color w:val="000000"/>
          <w:sz w:val="28"/>
          <w:lang w:val="en-US"/>
        </w:rPr>
        <w:t>2.1 Scope and structure of the review</w:t>
      </w:r>
    </w:p>
    <w:p>
      <w:pPr>
        <w:jc w:val="both"/>
      </w:pPr>
      <w:r>
        <w:rPr>
          <w:rFonts w:ascii="Sylfaen" w:hAnsi="Sylfaen" w:cs="Sylfaen"/>
          <w:b w:val="0"/>
          <w:sz w:val="24"/>
          <w:lang w:val="en-US"/>
        </w:rPr>
        <w:t>This chapter surveys the research on which the present work builds, across two fields that it deliberately joins. The first is the cognitive psychology of human memory: the theories that describe how people encode, retain, forget, and retrieve information, and — crucially for our purposes — the observable behavioral signatures each theory predicts. The second is the engineering of long-term memory for LLM-based conversational agents: the architectures, the benchmarks that measure them, and the human-subject studies that ask how memory shapes a user's relationship with a system. The review closes by locating the present work in the gap between these fields. The structure follows the four components required of a literature review: an analysis of existing research (2.3, 2.6), a review of the methods and technologies employed (2.2, 2.4), the open problems and limitations (2.5, 2.7), and the place of this work within the existing literature (2.8).</w:t>
      </w:r>
    </w:p>
    <w:p>
      <w:pPr>
        <w:pStyle w:val="Heading2"/>
        <w:numPr>
          <w:numId w:val="0"/>
        </w:numPr>
        <w:spacing w:before="160" w:after="80"/>
        <w:jc w:val="center"/>
      </w:pPr>
      <w:r>
        <w:rPr>
          <w:rFonts w:ascii="Sylfaen" w:hAnsi="Sylfaen" w:cs="Sylfaen"/>
          <w:b/>
          <w:color w:val="000000"/>
          <w:sz w:val="28"/>
          <w:lang w:val="en-US"/>
        </w:rPr>
        <w:t>2.2 Theoretical foundations: models of human memory</w:t>
      </w:r>
    </w:p>
    <w:p>
      <w:pPr>
        <w:jc w:val="both"/>
      </w:pPr>
      <w:r>
        <w:rPr>
          <w:rFonts w:ascii="Sylfaen" w:hAnsi="Sylfaen" w:cs="Sylfaen"/>
          <w:b w:val="0"/>
          <w:sz w:val="24"/>
          <w:lang w:val="en-US"/>
        </w:rPr>
        <w:t>A central premise of this work is that human memory is not a single store but a set of interacting systems, each with distinct dynamics — and that these dynamics, rather than serving as loose metaphors, can be read as design specifications with observable consequences. We therefore review the principal theories not as intellectual history but in terms of the behavioral signature each predicts: what a conversation partner equipped with that mechanism would visibly do, as experienced by a user.</w:t>
      </w:r>
    </w:p>
    <w:p>
      <w:pPr>
        <w:jc w:val="both"/>
      </w:pPr>
      <w:r>
        <w:rPr>
          <w:rFonts w:ascii="Sylfaen" w:hAnsi="Sylfaen" w:cs="Sylfaen"/>
          <w:b w:val="0"/>
          <w:sz w:val="24"/>
          <w:lang w:val="en-US"/>
        </w:rPr>
        <w:t>The multi-store model. On Atkinson and Shiffrin's account [20], memory forms a chain of three stores — sensory, short-term, and long-term — through which content moves only when control processes act on it; rehearsal is the decisive one, ushering attended material into durable storage while whatever passes unrehearsed simply fades. Its behavioral signature is a sharp asymmetry between what was merely heard and what was attended to and repeated — a partner built on this principle would retain emphasized or revisited information and lose what passed once and unremarked.</w:t>
      </w:r>
    </w:p>
    <w:p>
      <w:pPr>
        <w:jc w:val="both"/>
      </w:pPr>
      <w:r>
        <w:rPr>
          <w:rFonts w:ascii="Sylfaen" w:hAnsi="Sylfaen" w:cs="Sylfaen"/>
          <w:b w:val="0"/>
          <w:sz w:val="24"/>
          <w:lang w:val="en-US"/>
        </w:rPr>
        <w:t>Working memory. Baddeley and Hitch [21] recast the passive short-term store as an active, capacity-limited working memory whose specialized subsystems are marshalled by a central executive. For a conversational agent the relevant signature is intra-turn: only a few items can be held in active manipulation at once, which bears directly on the latency-bounded "working set" a voice agent can reason over before it must consult longer-term storage.</w:t>
      </w:r>
    </w:p>
    <w:p>
      <w:pPr>
        <w:jc w:val="both"/>
      </w:pPr>
      <w:r>
        <w:rPr>
          <w:rFonts w:ascii="Sylfaen" w:hAnsi="Sylfaen" w:cs="Sylfaen"/>
          <w:b w:val="0"/>
          <w:sz w:val="24"/>
          <w:lang w:val="en-US"/>
        </w:rPr>
        <w:t>The episodic–semantic distinction. Tulving [22] drew a line between remembering a particular happening one can place in one's own past ("last Tuesday you mentioned your deadline") and merely knowing a fact stripped of its original occasion ("you work under deadlines") — episodic versus semantic memory. The distinction is foundational for the present work because the two systems produce visibly different conversational behavior: an episodic partner recalls particular moments, while a semantic partner has distilled them into stable knowledge about the user. The transformation of the former into the latter — consolidation — is exactly the process a long-lived interlocutor system must perform to avoid drowning in undigested episodes.</w:t>
      </w:r>
    </w:p>
    <w:p>
      <w:pPr>
        <w:jc w:val="both"/>
      </w:pPr>
      <w:r>
        <w:rPr>
          <w:rFonts w:ascii="Sylfaen" w:hAnsi="Sylfaen" w:cs="Sylfaen"/>
          <w:b w:val="0"/>
          <w:sz w:val="24"/>
          <w:lang w:val="en-US"/>
        </w:rPr>
        <w:t>The forgetting curve. Ebbinghaus's nineteenth-century experiments [23] found that memory strength falls off approximately exponentially with the time since something was last rehearsed, and that spaced re-exposure blunts that decline. We adopt the forgetting curve with a clear caveat, anticipating an obvious objection: Ebbinghaus measured a single subject on nonsense syllables, and its ecological validity for semantically rich dialogue is limited. The present work therefore does not claim cognitive fidelity; it treats graceful, time-and-salience-dependent decay as an engineering-useful behavioral form, whose effect on user perception — not its psychological accuracy — is the object of study. Its signature is the graceful fading of unrepeated detail and the strengthening of what recurs.</w:t>
      </w:r>
    </w:p>
    <w:p>
      <w:pPr>
        <w:jc w:val="both"/>
      </w:pPr>
      <w:r>
        <w:rPr>
          <w:rFonts w:ascii="Sylfaen" w:hAnsi="Sylfaen" w:cs="Sylfaen"/>
          <w:b w:val="0"/>
          <w:sz w:val="24"/>
          <w:lang w:val="en-US"/>
        </w:rPr>
        <w:t>Fuzzy-trace theory. Reyna and Brainerd [24] hold that any experience leaves two independent imprints at once — a literal record of its surface form (verbatim) and a bottom-line record of its meaning (gist) — of which the latter lasts longer and more often steers judgment. This distinction bears directly on our research question: the verbatim/gist contrast maps onto a central empirical finding reviewed below — that literal, word-for-word recall by a chatbot can feel intrusive where paraphrased, gist-level recall does not [11]. A partner that remembers the meaning of what you said rather than your exact words exhibits a recognizably human signature, and one that may sidestep the discomfort of total recall.</w:t>
      </w:r>
    </w:p>
    <w:p>
      <w:pPr>
        <w:jc w:val="both"/>
      </w:pPr>
      <w:r>
        <w:rPr>
          <w:rFonts w:ascii="Sylfaen" w:hAnsi="Sylfaen" w:cs="Sylfaen"/>
          <w:b w:val="0"/>
          <w:sz w:val="24"/>
          <w:lang w:val="en-US"/>
        </w:rPr>
        <w:t>Consolidation: complementary learning systems and hippocampal indexing. Two neurocognitive theories describe how episodic experience becomes durable knowledge. On the complementary learning systems account [25], one system centred on the hippocampus grabs individual episodes quickly while a second, cortical system distils recurring structure only slowly, with offline replay ferrying what was captured into that slower store. The indexing theory [26] adds that the hippocampus need not hold the memories at all — it holds pointers back to the cortical patterns that composed them, so that a fragment of a cue can pull an entire memory back together. Both predict the same high-level behavioral signature — an agent that captures episodes quickly but reorganizes them into structured knowledge during periods away from interaction — and both, as 2.4 shows, have direct computational descendants.</w:t>
      </w:r>
    </w:p>
    <w:p>
      <w:pPr>
        <w:jc w:val="both"/>
      </w:pPr>
      <w:r>
        <w:rPr>
          <w:rFonts w:ascii="Sylfaen" w:hAnsi="Sylfaen" w:cs="Sylfaen"/>
          <w:b w:val="0"/>
          <w:sz w:val="24"/>
          <w:lang w:val="en-US"/>
        </w:rPr>
        <w:t>Table 2.1 (2.4) summarizes how each of these theories has been operationalized in recent LLM-agent systems; we first review those systems on their own terms.</w:t>
      </w:r>
    </w:p>
    <w:p>
      <w:pPr>
        <w:pStyle w:val="Heading2"/>
        <w:numPr>
          <w:numId w:val="0"/>
        </w:numPr>
        <w:spacing w:before="160" w:after="80"/>
        <w:jc w:val="center"/>
      </w:pPr>
      <w:r>
        <w:rPr>
          <w:rFonts w:ascii="Sylfaen" w:hAnsi="Sylfaen" w:cs="Sylfaen"/>
          <w:b/>
          <w:color w:val="000000"/>
          <w:sz w:val="28"/>
          <w:lang w:val="en-US"/>
        </w:rPr>
        <w:t>2.3 Long-term memory for LLM agents: three waves</w:t>
      </w:r>
    </w:p>
    <w:p>
      <w:pPr>
        <w:jc w:val="both"/>
      </w:pPr>
      <w:r>
        <w:rPr>
          <w:rFonts w:ascii="Sylfaen" w:hAnsi="Sylfaen" w:cs="Sylfaen"/>
          <w:b w:val="0"/>
          <w:sz w:val="24"/>
          <w:lang w:val="en-US"/>
        </w:rPr>
        <w:t>Approaches to equipping LLM agents with memory beyond their context window have developed in three discernible waves between 2023 and 2026.</w:t>
      </w:r>
    </w:p>
    <w:p>
      <w:pPr>
        <w:jc w:val="both"/>
      </w:pPr>
      <w:r>
        <w:rPr>
          <w:rFonts w:ascii="Sylfaen" w:hAnsi="Sylfaen" w:cs="Sylfaen"/>
          <w:b w:val="0"/>
          <w:sz w:val="24"/>
          <w:lang w:val="en-US"/>
        </w:rPr>
        <w:t>Wave one — context virtualization and early human-inspired stores (2023). The first systems treated the bounded context window as the constraint to be managed. MemGPT [17] borrows the operating system's idea of virtual memory: through function calls the model itself moves information between an in-context "core" store and larger out-of-context archival and recall tiers, administering its own hierarchy. In parallel, two systems looked to human memory for inspiration. The Generative Agents architecture [10] introduced the now-canonical "memory stream": a chronological natural-language log of observations. When the store is queried, each entry is ranked by blending three factors — how recently it was accessed (an exponential decay), how important the model judged it (an LLM-assigned rating), and how relevant it is to the query (embedding similarity) — while periodic "reflection" steps distil higher-level observations from the log. It is important to record precisely what this is and is not: the retrieval score is reminiscent of activation-based theories such as ACT-R, but it is the authors' own engineering construction and is not derived from any cognitive model — a distinction we preserve to avoid overstating the theoretical lineage. MemoryBank [6], by contrast, grounded itself explicitly in the Ebbinghaus forgetting curve, modeling each memory's strength as an exponential function of elapsed time that is reinforced on re-access; it powered SiliconFriend, a long-term "companion" chatbot and the closest direct precedent for the present work (closest by a stated criterion: a system in the so-called "companion" genre whose memory is grounded in a human-memory theory).</w:t>
      </w:r>
    </w:p>
    <w:p>
      <w:pPr>
        <w:jc w:val="both"/>
      </w:pPr>
      <w:r>
        <w:rPr>
          <w:rFonts w:ascii="Sylfaen" w:hAnsi="Sylfaen" w:cs="Sylfaen"/>
          <w:b w:val="0"/>
          <w:sz w:val="24"/>
          <w:lang w:val="en-US"/>
        </w:rPr>
        <w:t>Wave two — production memory layers and neuro-inspired retrieval (2024–2025). The second wave moved from research prototypes toward deployable memory services and toward retrieval mechanisms borrowed from neuroscience. Mem0 [29] implements a memory layer that extracts salient facts from dialogue and incrementally updates a consolidated store; its authors report sizable gains over a strong baseline on conversational-memory tasks together with substantial reductions in latency and token cost. Zep [30], built on the Graphiti temporally-aware knowledge-graph engine, represents memory as a bi-temporal graph that tracks both when an event occurred and when it was recorded; its authors likewise report accuracy improvements alongside large latency reductions on long-memory evaluation (these vendor-reported figures should be read against the benchmark-reliability concerns of 2.5). Both mark the wave's defining shift — from merely logging episodes, as in wave one, toward maintaining a continuously consolidated store — and both foreground latency and cost, signalling the move from research prototype to production service. Two systems of this wave are of particular theoretical interest. HippoRAG [7] operationalizes the hippocampal memory indexing theory directly: it casts the LLM as neocortex, retrieval encoders as the parahippocampal region, and a knowledge graph traversed by Personalized PageRank as the hippocampal index, achieving multi-hop retrieval through graph search. EM-LLM [8] grounds itself in human episodic memory and in event-segmentation theory [31], dividing a token stream into discrete events at boundaries detected by Bayesian "surprise" and retrieving them through a combination of similarity-based and temporally-contiguous access. From the same period, ReadAgent [9] puts the gist idea to work: it breaks a long context into episode-sized pages, keeps only an LLM-written gist of each, and returns to the underlying text solely when a task requires the detail. A further notable system, A-MEM [27], organizes memories as an interlinked network of notes that the agent itself extends and revises; we flag, however, that it is grounded in the Zettelkasten note-taking method, which is an information-organization practice and not a theory of human memory — a distinction relevant to our specific framing.</w:t>
      </w:r>
    </w:p>
    <w:p>
      <w:pPr>
        <w:jc w:val="both"/>
      </w:pPr>
      <w:r>
        <w:rPr>
          <w:rFonts w:ascii="Sylfaen" w:hAnsi="Sylfaen" w:cs="Sylfaen"/>
          <w:b w:val="0"/>
          <w:sz w:val="24"/>
          <w:lang w:val="en-US"/>
        </w:rPr>
        <w:t>Wave three — the consolidation era (2025–2026). By 2026 the field's attention had turned to the problem the cognitive theories of 2.2 foreground: consolidation. Leading vendors introduced background, sleep-like memory-reorganization processes into their systems — OpenAI in a productized form and Anthropic as a research preview [18, 19]. These deployments operationalize, at consumer scale, the offline-replay mechanism that complementary learning systems theory describes. We cite them deliberately as industry signals rather than as scientific results: neither is accompanied by a peer-reviewed publication, a fact that itself marks the academic study of consolidation as timely and underserved.</w:t>
      </w:r>
    </w:p>
    <w:p>
      <w:pPr>
        <w:pStyle w:val="Heading2"/>
        <w:numPr>
          <w:numId w:val="0"/>
        </w:numPr>
        <w:spacing w:before="160" w:after="80"/>
        <w:jc w:val="center"/>
      </w:pPr>
      <w:r>
        <w:rPr>
          <w:rFonts w:ascii="Sylfaen" w:hAnsi="Sylfaen" w:cs="Sylfaen"/>
          <w:b/>
          <w:color w:val="000000"/>
          <w:sz w:val="28"/>
          <w:lang w:val="en-US"/>
        </w:rPr>
        <w:t>2.4 The bridge: from memory theory to memory architecture</w:t>
      </w:r>
    </w:p>
    <w:p>
      <w:pPr>
        <w:jc w:val="both"/>
      </w:pPr>
      <w:r>
        <w:rPr>
          <w:rFonts w:ascii="Sylfaen" w:hAnsi="Sylfaen" w:cs="Sylfaen"/>
          <w:b w:val="0"/>
          <w:sz w:val="24"/>
          <w:lang w:val="en-US"/>
        </w:rPr>
        <w:t>Read together, 2.2 and 2.3 reveal a pattern that, to our knowledge, has not been drawn together explicitly. We state it carefully, to avoid a strawman: not every memory system implements a single theory — several (Generative Agents, Mem0, Zep) are deliberately multi-mechanism engineering constructions, and we do not claim otherwise. The pattern is narrower and more precise: among the systems with an explicit, cited theoretical grounding, each grounds in exactly one human-memory theory. Table 2.1 makes these correspondences explicit.</w:t>
      </w:r>
    </w:p>
    <w:p>
      <w:pPr>
        <w:spacing w:line="240" w:lineRule="auto"/>
        <w:jc w:val="both"/>
      </w:pPr>
      <w:r>
        <w:rPr>
          <w:rFonts w:ascii="Sylfaen" w:hAnsi="Sylfaen" w:cs="Sylfaen"/>
          <w:b/>
          <w:sz w:val="22"/>
          <w:lang w:val="en-US"/>
        </w:rPr>
        <w:t>Table 2.1. Human-memory theories and their corresponding LLM-agent implementations</w:t>
      </w:r>
    </w:p>
    <w:tbl>
      <w:tblPr>
        <w:tblW w:type="auto"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883"/>
        <w:gridCol w:w="2883"/>
        <w:gridCol w:w="2569"/>
      </w:tblGrid>
      <w:tr>
        <w:tc>
          <w:tcPr>
            <w:tcW w:type="dxa" w:w="2882"/>
          </w:tcPr>
          <w:p>
            <w:pPr>
              <w:spacing w:line="240" w:lineRule="auto"/>
            </w:pPr>
            <w:r>
              <w:rPr>
                <w:rFonts w:ascii="Sylfaen" w:hAnsi="Sylfaen" w:cs="Sylfaen"/>
                <w:b/>
                <w:sz w:val="22"/>
                <w:lang w:val="en-US"/>
              </w:rPr>
              <w:t>Human-memory theory</w:t>
            </w:r>
          </w:p>
        </w:tc>
        <w:tc>
          <w:tcPr>
            <w:tcW w:type="dxa" w:w="2882"/>
          </w:tcPr>
          <w:p>
            <w:pPr>
              <w:spacing w:line="240" w:lineRule="auto"/>
            </w:pPr>
            <w:r>
              <w:rPr>
                <w:rFonts w:ascii="Sylfaen" w:hAnsi="Sylfaen" w:cs="Sylfaen"/>
                <w:b/>
                <w:sz w:val="22"/>
                <w:lang w:val="en-US"/>
              </w:rPr>
              <w:t>Behavioral signature</w:t>
            </w:r>
          </w:p>
        </w:tc>
        <w:tc>
          <w:tcPr>
            <w:tcW w:type="dxa" w:w="2569"/>
          </w:tcPr>
          <w:p>
            <w:pPr>
              <w:spacing w:line="240" w:lineRule="auto"/>
            </w:pPr>
            <w:r>
              <w:rPr>
                <w:rFonts w:ascii="Sylfaen" w:hAnsi="Sylfaen" w:cs="Sylfaen"/>
                <w:b/>
                <w:sz w:val="22"/>
                <w:lang w:val="en-US"/>
              </w:rPr>
              <w:t>LLM-agent implementation</w:t>
            </w:r>
          </w:p>
        </w:tc>
      </w:tr>
      <w:tr>
        <w:tc>
          <w:tcPr>
            <w:tcW w:type="dxa" w:w="2882"/>
          </w:tcPr>
          <w:p>
            <w:pPr>
              <w:spacing w:line="240" w:lineRule="auto"/>
            </w:pPr>
            <w:r>
              <w:rPr>
                <w:rFonts w:ascii="Sylfaen" w:hAnsi="Sylfaen" w:cs="Sylfaen"/>
                <w:b w:val="0"/>
                <w:sz w:val="22"/>
                <w:lang w:val="en-US"/>
              </w:rPr>
              <w:t>Hippocampal memory indexing [26]</w:t>
            </w:r>
          </w:p>
        </w:tc>
        <w:tc>
          <w:tcPr>
            <w:tcW w:type="dxa" w:w="2882"/>
          </w:tcPr>
          <w:p>
            <w:pPr>
              <w:spacing w:line="240" w:lineRule="auto"/>
            </w:pPr>
            <w:r>
              <w:rPr>
                <w:rFonts w:ascii="Sylfaen" w:hAnsi="Sylfaen" w:cs="Sylfaen"/>
                <w:b w:val="0"/>
                <w:sz w:val="22"/>
                <w:lang w:val="en-US"/>
              </w:rPr>
              <w:t>reconstruct full memory from a partial cue via an index</w:t>
            </w:r>
          </w:p>
        </w:tc>
        <w:tc>
          <w:tcPr>
            <w:tcW w:type="dxa" w:w="2569"/>
          </w:tcPr>
          <w:p>
            <w:pPr>
              <w:spacing w:line="240" w:lineRule="auto"/>
            </w:pPr>
            <w:r>
              <w:rPr>
                <w:rFonts w:ascii="Sylfaen" w:hAnsi="Sylfaen" w:cs="Sylfaen"/>
                <w:b w:val="0"/>
                <w:sz w:val="22"/>
                <w:lang w:val="en-US"/>
              </w:rPr>
              <w:t>HippoRAG [7]</w:t>
            </w:r>
          </w:p>
        </w:tc>
      </w:tr>
      <w:tr>
        <w:tc>
          <w:tcPr>
            <w:tcW w:type="dxa" w:w="2882"/>
          </w:tcPr>
          <w:p>
            <w:pPr>
              <w:spacing w:line="240" w:lineRule="auto"/>
            </w:pPr>
            <w:r>
              <w:rPr>
                <w:rFonts w:ascii="Sylfaen" w:hAnsi="Sylfaen" w:cs="Sylfaen"/>
                <w:b w:val="0"/>
                <w:sz w:val="22"/>
                <w:lang w:val="en-US"/>
              </w:rPr>
              <w:t>Episodic memory [22] + event segmentation [31]</w:t>
            </w:r>
          </w:p>
        </w:tc>
        <w:tc>
          <w:tcPr>
            <w:tcW w:type="dxa" w:w="2882"/>
          </w:tcPr>
          <w:p>
            <w:pPr>
              <w:spacing w:line="240" w:lineRule="auto"/>
            </w:pPr>
            <w:r>
              <w:rPr>
                <w:rFonts w:ascii="Sylfaen" w:hAnsi="Sylfaen" w:cs="Sylfaen"/>
                <w:b w:val="0"/>
                <w:sz w:val="22"/>
                <w:lang w:val="en-US"/>
              </w:rPr>
              <w:t>recall organized around discrete events</w:t>
            </w:r>
          </w:p>
        </w:tc>
        <w:tc>
          <w:tcPr>
            <w:tcW w:type="dxa" w:w="2569"/>
          </w:tcPr>
          <w:p>
            <w:pPr>
              <w:spacing w:line="240" w:lineRule="auto"/>
            </w:pPr>
            <w:r>
              <w:rPr>
                <w:rFonts w:ascii="Sylfaen" w:hAnsi="Sylfaen" w:cs="Sylfaen"/>
                <w:b w:val="0"/>
                <w:sz w:val="22"/>
                <w:lang w:val="en-US"/>
              </w:rPr>
              <w:t>EM-LLM [8]</w:t>
            </w:r>
          </w:p>
        </w:tc>
      </w:tr>
      <w:tr>
        <w:tc>
          <w:tcPr>
            <w:tcW w:type="dxa" w:w="2882"/>
          </w:tcPr>
          <w:p>
            <w:pPr>
              <w:spacing w:line="240" w:lineRule="auto"/>
            </w:pPr>
            <w:r>
              <w:rPr>
                <w:rFonts w:ascii="Sylfaen" w:hAnsi="Sylfaen" w:cs="Sylfaen"/>
                <w:b w:val="0"/>
                <w:sz w:val="22"/>
                <w:lang w:val="en-US"/>
              </w:rPr>
              <w:t>Ebbinghaus forgetting curve [23]</w:t>
            </w:r>
          </w:p>
        </w:tc>
        <w:tc>
          <w:tcPr>
            <w:tcW w:type="dxa" w:w="2882"/>
          </w:tcPr>
          <w:p>
            <w:pPr>
              <w:spacing w:line="240" w:lineRule="auto"/>
            </w:pPr>
            <w:r>
              <w:rPr>
                <w:rFonts w:ascii="Sylfaen" w:hAnsi="Sylfaen" w:cs="Sylfaen"/>
                <w:b w:val="0"/>
                <w:sz w:val="22"/>
                <w:lang w:val="en-US"/>
              </w:rPr>
              <w:t>unrehearsed detail fades; repetition strengthens</w:t>
            </w:r>
          </w:p>
        </w:tc>
        <w:tc>
          <w:tcPr>
            <w:tcW w:type="dxa" w:w="2569"/>
          </w:tcPr>
          <w:p>
            <w:pPr>
              <w:spacing w:line="240" w:lineRule="auto"/>
            </w:pPr>
            <w:r>
              <w:rPr>
                <w:rFonts w:ascii="Sylfaen" w:hAnsi="Sylfaen" w:cs="Sylfaen"/>
                <w:b w:val="0"/>
                <w:sz w:val="22"/>
                <w:lang w:val="en-US"/>
              </w:rPr>
              <w:t>MemoryBank / SiliconFriend [6]</w:t>
            </w:r>
          </w:p>
        </w:tc>
      </w:tr>
      <w:tr>
        <w:tc>
          <w:tcPr>
            <w:tcW w:type="dxa" w:w="2882"/>
          </w:tcPr>
          <w:p>
            <w:pPr>
              <w:spacing w:line="240" w:lineRule="auto"/>
            </w:pPr>
            <w:r>
              <w:rPr>
                <w:rFonts w:ascii="Sylfaen" w:hAnsi="Sylfaen" w:cs="Sylfaen"/>
                <w:b w:val="0"/>
                <w:sz w:val="22"/>
                <w:lang w:val="en-US"/>
              </w:rPr>
              <w:t>Fuzzy-trace: gist vs verbatim [24]</w:t>
            </w:r>
          </w:p>
        </w:tc>
        <w:tc>
          <w:tcPr>
            <w:tcW w:type="dxa" w:w="2882"/>
          </w:tcPr>
          <w:p>
            <w:pPr>
              <w:spacing w:line="240" w:lineRule="auto"/>
            </w:pPr>
            <w:r>
              <w:rPr>
                <w:rFonts w:ascii="Sylfaen" w:hAnsi="Sylfaen" w:cs="Sylfaen"/>
                <w:b w:val="0"/>
                <w:sz w:val="22"/>
                <w:lang w:val="en-US"/>
              </w:rPr>
              <w:t>retain meaning, not exact wording</w:t>
            </w:r>
          </w:p>
        </w:tc>
        <w:tc>
          <w:tcPr>
            <w:tcW w:type="dxa" w:w="2569"/>
          </w:tcPr>
          <w:p>
            <w:pPr>
              <w:spacing w:line="240" w:lineRule="auto"/>
            </w:pPr>
            <w:r>
              <w:rPr>
                <w:rFonts w:ascii="Sylfaen" w:hAnsi="Sylfaen" w:cs="Sylfaen"/>
                <w:b w:val="0"/>
                <w:sz w:val="22"/>
                <w:lang w:val="en-US"/>
              </w:rPr>
              <w:t>ReadAgent [9]</w:t>
            </w:r>
          </w:p>
        </w:tc>
      </w:tr>
      <w:tr>
        <w:tc>
          <w:tcPr>
            <w:tcW w:type="dxa" w:w="2882"/>
          </w:tcPr>
          <w:p>
            <w:pPr>
              <w:spacing w:line="240" w:lineRule="auto"/>
            </w:pPr>
            <w:r>
              <w:rPr>
                <w:rFonts w:ascii="Sylfaen" w:hAnsi="Sylfaen" w:cs="Sylfaen"/>
                <w:b w:val="0"/>
                <w:sz w:val="22"/>
                <w:lang w:val="en-US"/>
              </w:rPr>
              <w:t>Complementary learning systems [25]</w:t>
            </w:r>
          </w:p>
        </w:tc>
        <w:tc>
          <w:tcPr>
            <w:tcW w:type="dxa" w:w="2882"/>
          </w:tcPr>
          <w:p>
            <w:pPr>
              <w:spacing w:line="240" w:lineRule="auto"/>
            </w:pPr>
            <w:r>
              <w:rPr>
                <w:rFonts w:ascii="Sylfaen" w:hAnsi="Sylfaen" w:cs="Sylfaen"/>
                <w:b w:val="0"/>
                <w:sz w:val="22"/>
                <w:lang w:val="en-US"/>
              </w:rPr>
              <w:t>fast episodic capture, slow offline consolidation</w:t>
            </w:r>
          </w:p>
        </w:tc>
        <w:tc>
          <w:tcPr>
            <w:tcW w:type="dxa" w:w="2569"/>
          </w:tcPr>
          <w:p>
            <w:pPr>
              <w:spacing w:line="240" w:lineRule="auto"/>
            </w:pPr>
            <w:r>
              <w:rPr>
                <w:rFonts w:ascii="Sylfaen" w:hAnsi="Sylfaen" w:cs="Sylfaen"/>
                <w:b w:val="0"/>
                <w:sz w:val="22"/>
                <w:lang w:val="en-US"/>
              </w:rPr>
              <w:t>"dreaming" consolidation systems [18, 19]</w:t>
            </w:r>
          </w:p>
        </w:tc>
      </w:tr>
      <w:tr>
        <w:tc>
          <w:tcPr>
            <w:tcW w:type="dxa" w:w="2882"/>
          </w:tcPr>
          <w:p>
            <w:pPr>
              <w:spacing w:line="240" w:lineRule="auto"/>
            </w:pPr>
            <w:r>
              <w:rPr>
                <w:rFonts w:ascii="Sylfaen" w:hAnsi="Sylfaen" w:cs="Sylfaen"/>
                <w:b w:val="0"/>
                <w:sz w:val="22"/>
                <w:lang w:val="en-US"/>
              </w:rPr>
              <w:t>(activation-like, not theory-grounded)</w:t>
            </w:r>
          </w:p>
        </w:tc>
        <w:tc>
          <w:tcPr>
            <w:tcW w:type="dxa" w:w="2882"/>
          </w:tcPr>
          <w:p>
            <w:pPr>
              <w:spacing w:line="240" w:lineRule="auto"/>
            </w:pPr>
            <w:r>
              <w:rPr>
                <w:rFonts w:ascii="Sylfaen" w:hAnsi="Sylfaen" w:cs="Sylfaen"/>
                <w:b w:val="0"/>
                <w:sz w:val="22"/>
                <w:lang w:val="en-US"/>
              </w:rPr>
              <w:t>recency × importance × relevance retrieval</w:t>
            </w:r>
          </w:p>
        </w:tc>
        <w:tc>
          <w:tcPr>
            <w:tcW w:type="dxa" w:w="2569"/>
          </w:tcPr>
          <w:p>
            <w:pPr>
              <w:spacing w:line="240" w:lineRule="auto"/>
            </w:pPr>
            <w:r>
              <w:rPr>
                <w:rFonts w:ascii="Sylfaen" w:hAnsi="Sylfaen" w:cs="Sylfaen"/>
                <w:b w:val="0"/>
                <w:sz w:val="22"/>
                <w:lang w:val="en-US"/>
              </w:rPr>
              <w:t>Generative Agents [10]</w:t>
            </w:r>
          </w:p>
        </w:tc>
      </w:tr>
    </w:tbl>
    <w:p>
      <w:pPr/>
    </w:p>
    <w:p>
      <w:pPr>
        <w:jc w:val="both"/>
      </w:pPr>
      <w:r>
        <w:rPr>
          <w:rFonts w:ascii="Sylfaen" w:hAnsi="Sylfaen" w:cs="Sylfaen"/>
          <w:b w:val="0"/>
          <w:sz w:val="24"/>
          <w:lang w:val="en-US"/>
        </w:rPr>
        <w:t>Two observations follow. First, the mapping is real but partial: each theory-grounded system imports one mechanism, in isolation, and chiefly to improve task accuracy. Second — and this is the opening the present work addresses — these theory-grounded systems have seldom been compared against one another, and, to our knowledge, never with respect to how their differing behavior is perceived by a human interlocutor. The closest precedents either combine mechanisms within one system or evaluate a single mechanism on accuracy. The synthesis a comparative, perception-oriented study would provide is, at present, absent.</w:t>
      </w:r>
    </w:p>
    <w:p>
      <w:pPr>
        <w:pStyle w:val="Heading2"/>
        <w:numPr>
          <w:numId w:val="0"/>
        </w:numPr>
        <w:spacing w:before="160" w:after="80"/>
        <w:jc w:val="center"/>
      </w:pPr>
      <w:r>
        <w:rPr>
          <w:rFonts w:ascii="Sylfaen" w:hAnsi="Sylfaen" w:cs="Sylfaen"/>
          <w:b/>
          <w:color w:val="000000"/>
          <w:sz w:val="28"/>
          <w:lang w:val="en-US"/>
        </w:rPr>
        <w:t>2.5 Evaluating conversational memory: benchmarks and their limits</w:t>
      </w:r>
    </w:p>
    <w:p>
      <w:pPr>
        <w:jc w:val="both"/>
      </w:pPr>
      <w:r>
        <w:rPr>
          <w:rFonts w:ascii="Sylfaen" w:hAnsi="Sylfaen" w:cs="Sylfaen"/>
          <w:b w:val="0"/>
          <w:sz w:val="24"/>
          <w:lang w:val="en-US"/>
        </w:rPr>
        <w:t>The dominant mode of evaluation in this field is the question-answering benchmark over long synthetic dialogues. LoCoMo [1] comprises long multi-session conversations and a question set spanning single-hop, multi-hop, temporal, and open-domain reasoning; its central finding is that even long-context models and retrieval-augmented approaches trail human performance by a wide margin overall and by a still wider margin on temporal reasoning. LongMemEval [2] decomposes long-term memory into five abilities — information extraction, multi-session reasoning, temporal reasoning, knowledge updates, and abstention — and documents a substantial accuracy decline for commercial assistants under sustained interaction. Across both, temporal reasoning is consistently the weakest category.</w:t>
      </w:r>
    </w:p>
    <w:p>
      <w:pPr>
        <w:jc w:val="both"/>
      </w:pPr>
      <w:r>
        <w:rPr>
          <w:rFonts w:ascii="Sylfaen" w:hAnsi="Sylfaen" w:cs="Sylfaen"/>
          <w:b w:val="0"/>
          <w:sz w:val="24"/>
          <w:lang w:val="en-US"/>
        </w:rPr>
        <w:t>These benchmarks have, however, a credibility problem that the present work treats as a finding rather than a footnote. Vendor-reported scores on LoCoMo have proven difficult to reproduce and mutually inconsistent: one system's claimed result was measured substantially lower in an independent replication and subsequently revised [32]. An independent 2026 audit [33] found that roughly six per cent of the benchmark's gold answers are themselves incorrect — capping the achievable score at approximately 94% — and that the automatic LLM judge accepted deliberately wrong answers in a majority of cases. The methodological lesson is twofold: published memory-benchmark numbers should be cited with caution, and any technical evaluation in this area must re-validate its own judging procedure rather than inherit a flawed one. (The peer-reviewed human–machine gap reported by LoCoMo and LongMemEval [1, 2] is a qualitative finding of a different and more robust kind than these contested absolute leaderboard scores.)</w:t>
      </w:r>
    </w:p>
    <w:p>
      <w:pPr>
        <w:jc w:val="both"/>
      </w:pPr>
      <w:r>
        <w:rPr>
          <w:rFonts w:ascii="Sylfaen" w:hAnsi="Sylfaen" w:cs="Sylfaen"/>
          <w:b w:val="0"/>
          <w:sz w:val="24"/>
          <w:lang w:val="en-US"/>
        </w:rPr>
        <w:t>A further and, for this work, decisive limitation is one of modality and outcome. Every major long-term-memory benchmark surveyed here — LoCoMo, LongMemEval, and the older Multi-Session Chat [35] — operates purely over text, and measures factual accuracy rather than experienced quality. None among them addresses memory retrieval under the real-time latency constraints of voice interaction, and none measures whether better memory produces a better relationship. The instruments of this subfield can tell us whether a system remembers correctly; they cannot tell us whether accurate recall improves the user's experienced relationship with the system — its perceived social presence, alliance, or humanlikeness.</w:t>
      </w:r>
    </w:p>
    <w:p>
      <w:pPr>
        <w:pStyle w:val="Heading2"/>
        <w:numPr>
          <w:numId w:val="0"/>
        </w:numPr>
        <w:spacing w:before="160" w:after="80"/>
        <w:jc w:val="center"/>
      </w:pPr>
      <w:r>
        <w:rPr>
          <w:rFonts w:ascii="Sylfaen" w:hAnsi="Sylfaen" w:cs="Sylfaen"/>
          <w:b/>
          <w:color w:val="000000"/>
          <w:sz w:val="28"/>
          <w:lang w:val="en-US"/>
        </w:rPr>
        <w:t>2.6 From assistant to interlocutor: memory and perceived relationship</w:t>
      </w:r>
    </w:p>
    <w:p>
      <w:pPr>
        <w:jc w:val="both"/>
      </w:pPr>
      <w:r>
        <w:rPr>
          <w:rFonts w:ascii="Sylfaen" w:hAnsi="Sylfaen" w:cs="Sylfaen"/>
          <w:b w:val="0"/>
          <w:sz w:val="24"/>
          <w:lang w:val="en-US"/>
        </w:rPr>
        <w:t>Whether a system is experienced as a mere assistant or as an interlocutor turns less on accuracy than on relationship — and the study of that relationship belongs to a different literature, rooted in the observation that people respond socially to computational agents: the "computers are social actors" paradigm and its account of media as equivalent, in many social reflexes, to real interaction partners [28]. Within this frame, a body of recent work examines what specifically distinguishes a system experienced as a mere assistant from one experienced as a relational partner; memory recurs as a central lever, and a double-edged one.</w:t>
      </w:r>
    </w:p>
    <w:p>
      <w:pPr>
        <w:jc w:val="both"/>
      </w:pPr>
      <w:r>
        <w:rPr>
          <w:rFonts w:ascii="Sylfaen" w:hAnsi="Sylfaen" w:cs="Sylfaen"/>
          <w:b w:val="0"/>
          <w:sz w:val="24"/>
          <w:lang w:val="en-US"/>
        </w:rPr>
        <w:t>On the positive edge, a controlled study by Cox and colleagues [11] found that a chatbot which referenced users' utterances from previous sessions was perceived as more intelligent and more engaging than one that did not. On the negative edge, the same study found that verbatim references — exact, word-for-word recall — heightened users' privacy concerns relative to paraphrased references. This is the empirical anchor for the fuzzy-trace argument of 2.2: gist-level recall was relationally preferable to verbatim recall, even though both demonstrate memory. A complementary pilot study [34] reported that endowing a chatbot with memory made it seem more intelligent but less trustworthy, unless the memory was made observable to the user. Field evidence from so-called "companion" applications points the same way: a qualitative study of Replika users [3] identified memory failure — forgetting names, preferences, and shared history — as a principal source of relational rupture, while a natural-experiment study of an abrupt change to the same product [4] found that users' distress was statistically mediated by the perceived discontinuity of the agent's identity. Memory, in short, is not merely a feature that improves task performance; it is constitutive of the continuity that a relationship requires — and recall that is too literal can itself corrode trust.</w:t>
      </w:r>
    </w:p>
    <w:p>
      <w:pPr>
        <w:jc w:val="both"/>
      </w:pPr>
      <w:r>
        <w:rPr>
          <w:rFonts w:ascii="Sylfaen" w:hAnsi="Sylfaen" w:cs="Sylfaen"/>
          <w:b w:val="0"/>
          <w:sz w:val="24"/>
          <w:lang w:val="en-US"/>
        </w:rPr>
        <w:t>A second behavioral axis distinguishing an interlocutor from an assistant is initiative. Proactive agents that detect significant dialogue events and follow up on them increase engagement and perceived support relative to purely reactive baselines [12]. In a related study, a proactivity model driven by an agent's "inner thoughts" was preferred by users in roughly 82% of comparisons against a reactive control [13]. Initiative grounded in memory — following up on something the user mentioned days earlier — is perhaps the most recognizably partner-like behavior a system can exhibit, and one this work's platform is positioned to study.</w:t>
      </w:r>
    </w:p>
    <w:p>
      <w:pPr>
        <w:jc w:val="both"/>
      </w:pPr>
      <w:r>
        <w:rPr>
          <w:rFonts w:ascii="Sylfaen" w:hAnsi="Sylfaen" w:cs="Sylfaen"/>
          <w:b w:val="0"/>
          <w:sz w:val="24"/>
          <w:lang w:val="en-US"/>
        </w:rPr>
        <w:t>A caution from the same literature bounds the modality claim of this thesis. A four-week randomized controlled trial [15] found no causal effect of voice versus text on users' loneliness or dependence, with relational outcomes driven instead by usage patterns and user traits. This does not weaken the present work's premise; it sharpens it. That trial tested whether the voice modality itself affects general well-being — not whether the memory architecture behind a voice agent changes perceived relationship. The latter is precisely the unexamined question, and the null result on modality polish is a reason to locate the manipulation in memory rather than in voice alone.</w:t>
      </w:r>
    </w:p>
    <w:p>
      <w:pPr>
        <w:jc w:val="both"/>
      </w:pPr>
      <w:r>
        <w:rPr>
          <w:rFonts w:ascii="Sylfaen" w:hAnsi="Sylfaen" w:cs="Sylfaen"/>
          <w:b w:val="0"/>
          <w:sz w:val="24"/>
          <w:lang w:val="en-US"/>
        </w:rPr>
        <w:t>To measure these perceptions, the field offers validated instruments. The Artificial Social Agent Questionnaire [14] captures nineteen constructs — including social presence, user–agent alliance, and believability (the subscale by which the present work operationalizes perceived humanlikeness) — in long and short forms, and is openly available; it is the principal instrument adopted here, complemented by established scales for related constructs (notably Godspeed for perceived intelligence).</w:t>
      </w:r>
    </w:p>
    <w:p>
      <w:pPr>
        <w:pStyle w:val="Heading2"/>
        <w:numPr>
          <w:numId w:val="0"/>
        </w:numPr>
        <w:spacing w:before="160" w:after="80"/>
        <w:jc w:val="center"/>
      </w:pPr>
      <w:r>
        <w:rPr>
          <w:rFonts w:ascii="Sylfaen" w:hAnsi="Sylfaen" w:cs="Sylfaen"/>
          <w:b/>
          <w:color w:val="000000"/>
          <w:sz w:val="28"/>
          <w:lang w:val="en-US"/>
        </w:rPr>
        <w:t>2.7 Open problems and limitations</w:t>
      </w:r>
    </w:p>
    <w:p>
      <w:pPr>
        <w:jc w:val="both"/>
      </w:pPr>
      <w:r>
        <w:rPr>
          <w:rFonts w:ascii="Sylfaen" w:hAnsi="Sylfaen" w:cs="Sylfaen"/>
          <w:b w:val="0"/>
          <w:sz w:val="24"/>
          <w:lang w:val="en-US"/>
        </w:rPr>
        <w:t>Synthesizing across the reviewed literature, the open problems fall into two groups. The first are limitations the field itself acknowledges as unsolved: selective forgetting, repeatedly named as essential by surveys of the field [16] yet barely evaluated, occurring in most systems only as a side effect of capacity limits rather than by design; temporal reasoning, which remains the weakest category across every benchmark examined, with proposed remedies narrowing but not closing the gap; and the benchmark-credibility crisis of 2.5, which leaves the field without a trusted, neutral yardstick. The second group are the two gaps that directly motivate this thesis. The entire memory literature surveyed here is text-only: the behavior of memory architectures under voice-interaction latency budgets, and their perceptual effects in that modality, remain essentially unstudied. And the perception studies that do exist manipulate memory as an isolated variable on a single system; none compares architectures grounded in different memory theories on what a human experiences.</w:t>
      </w:r>
    </w:p>
    <w:p>
      <w:pPr>
        <w:pStyle w:val="Heading2"/>
        <w:numPr>
          <w:numId w:val="0"/>
        </w:numPr>
        <w:spacing w:before="160" w:after="80"/>
        <w:jc w:val="center"/>
      </w:pPr>
      <w:r>
        <w:rPr>
          <w:rFonts w:ascii="Sylfaen" w:hAnsi="Sylfaen" w:cs="Sylfaen"/>
          <w:b/>
          <w:color w:val="000000"/>
          <w:sz w:val="28"/>
          <w:lang w:val="en-US"/>
        </w:rPr>
        <w:t>2.8 The place of the present work</w:t>
      </w:r>
    </w:p>
    <w:p>
      <w:pPr>
        <w:jc w:val="both"/>
      </w:pPr>
      <w:r>
        <w:rPr>
          <w:rFonts w:ascii="Sylfaen" w:hAnsi="Sylfaen" w:cs="Sylfaen"/>
          <w:b w:val="0"/>
          <w:sz w:val="24"/>
          <w:lang w:val="en-US"/>
        </w:rPr>
        <w:t>The two fields surveyed above meet at a point that, in the literature available to us, remains empty. On one side, a series of LLM-memory systems each implements a single human-memory theory, evaluated almost exclusively on factual accuracy. On the other, a series of perception studies establishes that memory shapes — and can also undermine — the felt quality of a relationship, but treats memory as a binary or single-system manipulation. In the literature available to us — across systematic searches of the memory-architecture and human–agent-perception literatures — no controlled study could be found that compares architectures grounded in different human-memory theories with respect to user-perceived social constructs, and none situated in the voice modality. The novelty of the present work lies in this conjunction — a comparison of theory-grounded memory architectures, evaluated on perceived social presence, alliance, and humanlikeness, in a real voice system — rather than in any single component, each of which exists in isolation. To be precise about what is and is not claimed: the study holds the interaction modality constant — voice throughout, with no text arm — so its contribution concerns memory-architecture effects within the voice setting, not a comparison of voice against text. It is precisely this intersection that the remainder of the thesis investigates.</w:t>
      </w:r>
    </w:p>
    <w:p>
      <w:pPr>
        <w:pStyle w:val="Heading1"/>
        <w:pageBreakBefore/>
        <w:numPr>
          <w:numId w:val="0"/>
        </w:numPr>
        <w:spacing w:before="360" w:after="80"/>
        <w:jc w:val="center"/>
      </w:pPr>
      <w:r>
        <w:rPr>
          <w:rFonts w:ascii="Sylfaen" w:hAnsi="Sylfaen" w:cs="Sylfaen"/>
          <w:b/>
          <w:color w:val="000000"/>
          <w:sz w:val="28"/>
          <w:lang w:val="en-US"/>
        </w:rPr>
        <w:t>3. Research Methods</w:t>
      </w:r>
    </w:p>
    <w:p>
      <w:pPr>
        <w:pStyle w:val="Heading2"/>
        <w:numPr>
          <w:numId w:val="0"/>
        </w:numPr>
        <w:spacing w:before="160" w:after="80"/>
        <w:jc w:val="center"/>
      </w:pPr>
      <w:r>
        <w:rPr>
          <w:rFonts w:ascii="Sylfaen" w:hAnsi="Sylfaen" w:cs="Sylfaen"/>
          <w:b/>
          <w:color w:val="000000"/>
          <w:sz w:val="28"/>
          <w:lang w:val="en-US"/>
        </w:rPr>
        <w:t>3.1 Research design and contribution</w:t>
      </w:r>
    </w:p>
    <w:p>
      <w:pPr>
        <w:jc w:val="both"/>
      </w:pPr>
      <w:r>
        <w:rPr>
          <w:rFonts w:ascii="Sylfaen" w:hAnsi="Sylfaen" w:cs="Sylfaen"/>
          <w:b w:val="0"/>
          <w:sz w:val="24"/>
          <w:lang w:val="en-US"/>
        </w:rPr>
        <w:t>This chapter specifies the methodology of a design, proof-of-concept, and evaluation-methodology thesis. Under the aim stated in 1.2 — to develop a cognitively-grounded long-term memory architecture for a voice interlocutor system and to determine its effect on user-perceived social constructs — the work makes three coordinated contributions, and it is important to state at the outset which of them are delivered here and which are rigorously designed but deliberately deferred.</w:t>
      </w:r>
    </w:p>
    <w:p>
      <w:pPr>
        <w:jc w:val="both"/>
      </w:pPr>
      <w:r>
        <w:rPr>
          <w:rFonts w:ascii="Sylfaen" w:hAnsi="Sylfaen" w:cs="Sylfaen"/>
          <w:b w:val="0"/>
          <w:sz w:val="24"/>
          <w:lang w:val="en-US"/>
        </w:rPr>
        <w:t>The three contributions are: (a) a memory architecture ("Profile C") whose mechanisms are grounded, stage by stage, in cognitive theories of human memory and their behavioral signatures (3.2); (b) a curation-controlled evaluation methodology whose central instrument is an active control condition — B+ — that isolates the effect of human-memory dynamics from the generic legibility gains of LLM curation (3.3); and (c) a proof-of-concept implementation together with a two-track technical and simulated evaluation of the architecture (3.4–3.5). The full human-subject study that the aim ultimately calls for is presented in 3.5(c) as a completely specified but not-yet-executed protocol — future work, with its own power analysis — rather than as a study whose data are reported in 4.</w:t>
      </w:r>
    </w:p>
    <w:p>
      <w:pPr>
        <w:jc w:val="both"/>
      </w:pPr>
      <w:r>
        <w:rPr>
          <w:rFonts w:ascii="Sylfaen" w:hAnsi="Sylfaen" w:cs="Sylfaen"/>
          <w:b w:val="0"/>
          <w:sz w:val="24"/>
          <w:lang w:val="en-US"/>
        </w:rPr>
        <w:t>This scoping is a considered response to a feasibility constraint documented during the work (F17): the existing Voice Companion platform supports only condition A (no long-term memory); conditions B, B+, and C, together with a voice-to-memory hook and per-participant deployment, are greenfield engineering estimated at twelve to sixteen weeks of solo build. Within the time available for this thesis, a fielded multi-week within-subject study with twenty participants is not achievable. Rather than weaken the design to fit the schedule — or, worse, imply data that were never collected — the thesis is framed honestly around the apparatus and the methodology as its primary deliverable, with a proof-of-concept that demonstrates the mechanisms and an evaluation that probes them technically and in simulation. No claim in this thesis rests on human-subject data; wherever perceptual outcomes are discussed, they are either simulated proxies (explicitly flagged, 3.5(b)) or predictions to be tested by the deferred protocol.</w:t>
      </w:r>
    </w:p>
    <w:p>
      <w:pPr>
        <w:jc w:val="both"/>
      </w:pPr>
      <w:r>
        <w:rPr>
          <w:rFonts w:ascii="Sylfaen" w:hAnsi="Sylfaen" w:cs="Sylfaen"/>
          <w:b w:val="0"/>
          <w:sz w:val="24"/>
          <w:lang w:val="en-US"/>
        </w:rPr>
        <w:t>A second, deeper constraint shapes the inferential stance and is stated here so that it governs the whole chapter. An a-priori analysis of effect-size priors (F18), grounded in the Cox study [11] and related social-cue evidence, indicates that the scientifically central contrast — C &gt; B+ — is by construction the smallest effect in the design (Cohen's dz ≈ 0.28 before cold-start dilution), because B+ already captures the two most robustly supported memory benefits, presence and clean gist-level paraphrase. At the sample size normative for this class of study (n ≈ 20; F12), the smallest reliably detectable effect is roughly dz ≈ 0.78–0.86, and detecting C &gt; B+ would require n ≈ 116–159 — infeasible for the human–agent interaction genre. The consequence is adopted deliberately rather than concealed: C &gt; B+ is treated as a pre-registered estimation target — an effect size with a 95% confidence interval — and not as a confirmatory null-hypothesis test. The comparisons for which power does exist (C &gt; A, and the directional B+ &gt; B and C &gt; B) are the confirmatory tests. A precisely-estimated null on C &gt; B+ is itself a substantive, publishable result: it would indicate that the perceptual value of "human-like" memory is carried by gist-curation and presence rather than by Ebbinghaus decay, salience-gating, or consolidation — a conclusion the B+ control was purpose-built to make interpretable. The estimation stance is therefore not a retreat from rigor but the correct calibration of claim to attainable evidence.</w:t>
      </w:r>
    </w:p>
    <w:p>
      <w:pPr>
        <w:pStyle w:val="Heading2"/>
        <w:numPr>
          <w:numId w:val="0"/>
        </w:numPr>
        <w:spacing w:before="160" w:after="80"/>
        <w:jc w:val="center"/>
      </w:pPr>
      <w:r>
        <w:rPr>
          <w:rFonts w:ascii="Sylfaen" w:hAnsi="Sylfaen" w:cs="Sylfaen"/>
          <w:b/>
          <w:color w:val="000000"/>
          <w:sz w:val="28"/>
          <w:lang w:val="en-US"/>
        </w:rPr>
        <w:t>3.2 The Profile C memory architecture</w:t>
      </w:r>
    </w:p>
    <w:p>
      <w:pPr>
        <w:jc w:val="both"/>
      </w:pPr>
      <w:r>
        <w:rPr>
          <w:rFonts w:ascii="Sylfaen" w:hAnsi="Sylfaen" w:cs="Sylfaen"/>
          <w:b w:val="0"/>
          <w:sz w:val="24"/>
          <w:lang w:val="en-US"/>
        </w:rPr>
        <w:t>Profile C is a single memory engine that composes five committed cognitive-memory theories — the Atkinson–Shiffrin multi-store model [20], the Ebbinghaus forgetting curve [23], Tulving's episodic–semantic distinction [22], fuzzy-trace theory [24], and the complementary learning systems framework [25] — into one lifecycle. Two further sources enter as implementation precedent and honest relabeling rather than as additional committed theories: hippocampal indexing [7,26] (for the consolidation back-pointers) and levels-of-processing (for the encoding-time salience mechanism). We say composes, not unifies: the theories are made to cooperate within one coherent object, but the architecture does not claim to reconcile them at the level of underlying mechanism, and 3.2's grounding is stated as a design-time inspiration with named omissions (below), not as a claim of cognitive fidelity — consistent with the caveat already entered for the forgetting curve in 2.2.</w:t>
      </w:r>
    </w:p>
    <w:p>
      <w:pPr>
        <w:jc w:val="both"/>
      </w:pPr>
      <w:r>
        <w:rPr>
          <w:rFonts w:ascii="Sylfaen" w:hAnsi="Sylfaen" w:cs="Sylfaen"/>
          <w:b w:val="0"/>
          <w:sz w:val="24"/>
          <w:lang w:val="en-US"/>
        </w:rPr>
        <w:t>The memory unit is the event — a topically and temporally bounded segment of contiguous turns, the episodic atom in Tulving's sense [22]. This is a deliberate choice against two alternatives: the raw turn (the unit used by verbatim RAG, Profile B) and the isolated extracted fact. Choosing the event avoids importing fact selection as a second confound absent from B, and it makes consolidation — the distillation of recurring events into durable semantic knowledge — a natural derived operation rather than a bolt-on. The lifecycle has five stages; each is stated as mechanism · theoretical grounding · behavioral signature.</w:t>
      </w:r>
    </w:p>
    <w:p>
      <w:pPr>
        <w:jc w:val="both"/>
      </w:pPr>
      <w:r>
        <w:rPr>
          <w:rFonts w:ascii="Sylfaen" w:hAnsi="Sylfaen" w:cs="Sylfaen"/>
          <w:b w:val="0"/>
          <w:sz w:val="24"/>
          <w:lang w:val="en-US"/>
        </w:rPr>
        <w:t>Stage 1 — Encoding (salience-gated write, asynchronous). Raw turns live only in a volatile working window of roughly twenty turns, shared verbatim with conditions A and B and held constant across all conditions. Nothing graduates to long-term storage on the synchronous path. Asynchronously at session end, the buffered transcript is segmented into events at embedding-distance and time-gap boundaries (an inexpensive stand-in for the Bayesian-surprise segmentation of EM-LLM [8]), and a single small-LLM rubric call scores each event's salience on four a-priori-fixed dimensions: self-disclosure density, emotional intensity, explicit emphasis or repetition, and goal or commitment content. Events below a floor are soft-discarded — written at very low stability, a tip-of-the-tongue trace recoverable only under a strong cue — rather than hard-deleted; survivors receive an initial stability scaled by their salience. Grounding: the Atkinson–Shiffrin multi-store model [20] treats attention and rehearsal as the gate from short- to long-term store. We enter one honest relabeling here (F18): because salience is applied at encoding, this mechanism is as much an instance of depth- or levels-of-processing and emotional modulation of memory as it is of the pure modal model, and it is cited as such; it is also distinct from the retrieval-time importance weighting of Generative Agents [10], which 2 records as activation-like and not theory-derived. Signature: the interlocutor durably keeps what a user stressed, disclosed, or returned to, while incidental small-talk fades; forgetting reads as warm rather than as inattention, because soft-discarded material remains weakly reconstructable under an explicit cue.</w:t>
      </w:r>
    </w:p>
    <w:p>
      <w:pPr>
        <w:jc w:val="both"/>
      </w:pPr>
      <w:r>
        <w:rPr>
          <w:rFonts w:ascii="Sylfaen" w:hAnsi="Sylfaen" w:cs="Sylfaen"/>
          <w:b w:val="0"/>
          <w:sz w:val="24"/>
          <w:lang w:val="en-US"/>
        </w:rPr>
        <w:t>Stage 2 — Representation (gist plus verbatim anchor, dual-decay, asynchronous). Each event stores a gist — a short paraphrase of meaning, entities, and stance — together with structured slots and a single verbatim anchor (at most one sentence, the most salient quotation, retained for grounding and audit but not injected by default). The gist is the embedded, injected payload; its stability exceeds the anchor's, so meaning outlives exact wording. A fairness constraint binds the representation: per-event gist payload never exceeds Profile B's average per-turn verbatim payload, so C is never handed richer context items. Grounding: fuzzy-trace theory [24] posits parallel verbatim and gist traces with gist the more durable, operationalized for LLMs by ReadAgent's gisting [9]; the design targets the Cox finding [11] directly, that paraphrased recall is preferred while verbatim recall raises privacy concern. Signature: the interlocutor says "you'd been worried about a deadline" rather than quoting the transcript; a user cannot catch it parroting their exact words. This is the single most user-detectable difference between C and B, and the lever the secondary trust-and-privacy prediction (H2b) targets.</w:t>
      </w:r>
    </w:p>
    <w:p>
      <w:pPr>
        <w:jc w:val="both"/>
      </w:pPr>
      <w:r>
        <w:rPr>
          <w:rFonts w:ascii="Sylfaen" w:hAnsi="Sylfaen" w:cs="Sylfaen"/>
          <w:b w:val="0"/>
          <w:sz w:val="24"/>
          <w:lang w:val="en-US"/>
        </w:rPr>
        <w:t>Stage 3 — Decay and reinforcement (Ebbinghaus, lazy, synchronous and asynchronous). Each trace carries a retrievability that falls exponentially with time since last access, relative to its stability, and is computed lazily at retrieval time as a scoring multiplier — there is no background ticking and no synchronous write. A successful re-mention reinforces stability and resets last-access in the manner of spaced repetition, but the write-back is queued offline so the synchronous path remains read-only, exactly as in B. Crucially, the semantic facts produced by Stage 4 also decay, so the Ebbinghaus dynamic remains a live independent variable rather than a cosmetic layer over a permanent store. Grounding: the Ebbinghaus forgetting curve [23], with MemoryBank/SiliconFriend [6] as computational precedent. Signature: what was mentioned once long ago fades; what is repeatedly revisited becomes robust — a graceful natural forgetting set against B's eerie total recall.</w:t>
      </w:r>
    </w:p>
    <w:p>
      <w:pPr>
        <w:jc w:val="both"/>
      </w:pPr>
      <w:r>
        <w:rPr>
          <w:rFonts w:ascii="Sylfaen" w:hAnsi="Sylfaen" w:cs="Sylfaen"/>
          <w:b w:val="0"/>
          <w:sz w:val="24"/>
          <w:lang w:val="en-US"/>
        </w:rPr>
        <w:t>Stage 4 — Consolidation (episodic to semantic, offline "sleep", asynchronous). An offline batch job between sessions clusters episodic events by entity and gist similarity; for clusters recurring across at least a small threshold of events, a single small-LLM call abstracts a durable semantic profile fact ("works under tight deadlines") with back-pointers to its source episodes in the manner of hippocampal indexing [7], down-weights the absorbed episodes, resolves contradictions toward the most recent or most reinforced evidence, and pre-expands associative neighbours so that any associative recall at inference reduces to a single vector query. The conversational LLM is never retrained; consolidation only reorganizes the store. Grounding: this is the stage most exposed to over-claiming, and it is relabeled accordingly (F18). We invoke the complementary learning systems framework [25] as the spirit of its episodic-to-semantic transfer function, and lean primarily on Tulving's episodic-to-semantic distinction [22] and hippocampal indexing [7,26] for the concrete mechanism, rather than claiming McClelland's interleaved, interference-protected cortical learning. Signature: over weeks the interlocutor shifts from "last Tuesday you said…" to "I know you tend to…"; it sounds as though it has learned about the user — an emergent generalization it never literally heard. This is the most C-distinctive, B-impossible behavior, and the predicted source of any relational advantage C holds over B+.</w:t>
      </w:r>
    </w:p>
    <w:p>
      <w:pPr>
        <w:jc w:val="both"/>
      </w:pPr>
      <w:r>
        <w:rPr>
          <w:rFonts w:ascii="Sylfaen" w:hAnsi="Sylfaen" w:cs="Sylfaen"/>
          <w:b w:val="0"/>
          <w:sz w:val="24"/>
          <w:lang w:val="en-US"/>
        </w:rPr>
        <w:t>Stage 5 — Retrieval (gist-first, composite-scored, single read-only query, synchronous). Retrieval uses the same trigger and injection point as B. The current turn is embedded (the only synchronous embedding, identical to B); a single vector query returns roughly twenty candidates across both tiers, including the offline-pre-expanded associative neighbours; candidates are ranked by an activation score that multiplies cosine relevance, retrievability, and a capped semantic bonus, with all exponents fixed at one. Salience is deliberately not a retrieval term — it gates writing and decay only — which removes the triple-counting an internal critique identified. The retrieval fills exactly B's token budget, semantic-fact-first; the verbatim anchor is surfaced only on an explicit exact-recall request detected by a cheap deterministic keyword trigger, so the hot path makes zero in-turn LLM calls. Grounding: cue-dependent retrieval [22], gist-first recall [24], Ebbinghaus retrievability [23], and the semantic preference of complementary learning systems [25]. Signature: the interlocutor surfaces the relevant generalization first and the specific episode only if pressed, so recall feels like a person who knows the user rather than a search engine — at the same latency and budget as B, but with different content.</w:t>
      </w:r>
    </w:p>
    <w:p>
      <w:pPr>
        <w:jc w:val="both"/>
      </w:pPr>
      <w:r>
        <w:rPr>
          <w:rFonts w:ascii="Sylfaen" w:hAnsi="Sylfaen" w:cs="Sylfaen"/>
          <w:b w:val="0"/>
          <w:sz w:val="24"/>
          <w:lang w:val="en-US"/>
        </w:rPr>
        <w:t>Stated theory-fidelity omissions. Three omissions are named here as limitations and future work, pre-empting the strongest theoretical objections (F18) rather than leaving them for a committee to raise. First, the architecture omits interference, which is the dominant mechanism of human forgetting; its forgetting is purely time-and-salience-driven. Second, its precision-first consolidation deliberately suppresses reconstructive and schema-driven distortion — the gist-level false-memory that fuzzy-trace and CLS most distinctively predict — trading psychological realism on the very humanlikeness axis the study measures for the safety of not confidently asserting wrong generalizations. Third, it does not model temporal-order or source memory beyond timestamps. These are principled engineering choices, not oversights, and 3.8 records them as bounds on the cognitive-fidelity claim.</w:t>
      </w:r>
    </w:p>
    <w:p>
      <w:pPr>
        <w:pStyle w:val="Heading2"/>
        <w:numPr>
          <w:numId w:val="0"/>
        </w:numPr>
        <w:spacing w:before="160" w:after="80"/>
        <w:jc w:val="center"/>
      </w:pPr>
      <w:r>
        <w:rPr>
          <w:rFonts w:ascii="Sylfaen" w:hAnsi="Sylfaen" w:cs="Sylfaen"/>
          <w:b/>
          <w:color w:val="000000"/>
          <w:sz w:val="28"/>
          <w:lang w:val="en-US"/>
        </w:rPr>
        <w:t>3.3 Experimental conditions (A / B / B+ / C)</w:t>
      </w:r>
    </w:p>
    <w:p>
      <w:pPr>
        <w:jc w:val="both"/>
      </w:pPr>
      <w:r>
        <w:rPr>
          <w:rFonts w:ascii="Sylfaen" w:hAnsi="Sylfaen" w:cs="Sylfaen"/>
          <w:b w:val="0"/>
          <w:sz w:val="24"/>
          <w:lang w:val="en-US"/>
        </w:rPr>
        <w:t>The evaluation contrasts four memory profiles, all sharing one identical inference-time envelope. The methodological heart of the design is that C must win, if it wins, because of how it remembers, not because it remembers more or more cleanly.</w:t>
      </w:r>
    </w:p>
    <w:p>
      <w:pPr>
        <w:jc w:val="both"/>
      </w:pPr>
      <w:r>
        <w:rPr>
          <w:rFonts w:ascii="Sylfaen" w:hAnsi="Sylfaen" w:cs="Sylfaen"/>
          <w:b w:val="0"/>
          <w:sz w:val="24"/>
          <w:lang w:val="en-US"/>
        </w:rPr>
        <w:t>•  A — No long-term memory. The volatile working window only; each session starts cold. A is the obvious floor and, in the deferred human protocol (3.5c), is demoted to a short scripted calibration touch rather than a full multi-week arm.</w:t>
      </w:r>
    </w:p>
    <w:p>
      <w:pPr>
        <w:jc w:val="both"/>
      </w:pPr>
      <w:r>
        <w:rPr>
          <w:rFonts w:ascii="Sylfaen" w:hAnsi="Sylfaen" w:cs="Sylfaen"/>
          <w:b w:val="0"/>
          <w:sz w:val="24"/>
          <w:lang w:val="en-US"/>
        </w:rPr>
        <w:t>•  B — Verbatim RAG. Raw turns are embedded and retrieved by cosine top-k into the shared token budget. This is the standard, and the direct operational analogue of the "references your exact utterances" condition in the Cox study [11].</w:t>
      </w:r>
    </w:p>
    <w:p>
      <w:pPr>
        <w:jc w:val="both"/>
      </w:pPr>
      <w:r>
        <w:rPr>
          <w:rFonts w:ascii="Sylfaen" w:hAnsi="Sylfaen" w:cs="Sylfaen"/>
          <w:b w:val="0"/>
          <w:sz w:val="24"/>
          <w:lang w:val="en-US"/>
        </w:rPr>
        <w:t>•  B+ — Curated static memory (the active control). Identical offline LLM gisting and coreference cleanup to C, the same compression and token budget, but no decay, no salience-gating, and no consolidation — pure cosine top-k over cleaned gists.</w:t>
      </w:r>
    </w:p>
    <w:p>
      <w:pPr>
        <w:jc w:val="both"/>
      </w:pPr>
      <w:r>
        <w:rPr>
          <w:rFonts w:ascii="Sylfaen" w:hAnsi="Sylfaen" w:cs="Sylfaen"/>
          <w:b w:val="0"/>
          <w:sz w:val="24"/>
          <w:lang w:val="en-US"/>
        </w:rPr>
        <w:t>•  C — Profile C. The full five-stage human-memory lifecycle of 3.2.</w:t>
      </w:r>
    </w:p>
    <w:p>
      <w:pPr>
        <w:jc w:val="both"/>
      </w:pPr>
      <w:r>
        <w:rPr>
          <w:rFonts w:ascii="Sylfaen" w:hAnsi="Sylfaen" w:cs="Sylfaen"/>
          <w:b w:val="0"/>
          <w:sz w:val="24"/>
          <w:lang w:val="en-US"/>
        </w:rPr>
        <w:t>B+ is the central methodological contribution of the design. The most serious threat to any positive finding for C is a legibility confound: C's gisted, coreference-resolved prose is simply more readable than B's raw fragments, and a naïve C-versus-B win would confound curation with cognitive dynamics. B+ severs this confound by construction. If C &gt; B+, the marginal effect is attributable to the human-memory dynamics that only C adds. If C ≈ B+, the honest conclusion is that the perceptual benefit was legibility all along, and the claim is revised accordingly — a conclusion that is interpretable precisely because B+ was designed to license it. This is why, as noted in 3.1, C &gt; B+ is the estimation target and why cutting B+ is off the table.</w:t>
      </w:r>
    </w:p>
    <w:p>
      <w:pPr>
        <w:jc w:val="both"/>
      </w:pPr>
      <w:r>
        <w:rPr>
          <w:rFonts w:ascii="Sylfaen" w:hAnsi="Sylfaen" w:cs="Sylfaen"/>
          <w:b w:val="0"/>
          <w:sz w:val="24"/>
          <w:lang w:val="en-US"/>
        </w:rPr>
        <w:t>Table 3.1 states the confound-control logic explicitly. Everything in the "held constant" row is identical across A, B, B+, and C.</w:t>
      </w:r>
    </w:p>
    <w:p>
      <w:pPr>
        <w:spacing w:line="240" w:lineRule="auto"/>
        <w:jc w:val="both"/>
      </w:pPr>
      <w:r>
        <w:rPr>
          <w:rFonts w:ascii="Sylfaen" w:hAnsi="Sylfaen" w:cs="Sylfaen"/>
          <w:b/>
          <w:sz w:val="22"/>
          <w:lang w:val="en-US"/>
        </w:rPr>
        <w:t>Table 3.1. Confound control in the experimental design</w:t>
      </w:r>
    </w:p>
    <w:tbl>
      <w:tblPr>
        <w:tblW w:type="auto"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249"/>
        <w:gridCol w:w="3043"/>
        <w:gridCol w:w="3043"/>
      </w:tblGrid>
      <w:tr>
        <w:tc>
          <w:tcPr>
            <w:tcW w:type="dxa" w:w="2249"/>
          </w:tcPr>
          <w:p>
            <w:pPr>
              <w:spacing w:line="240" w:lineRule="auto"/>
            </w:pPr>
            <w:r>
              <w:rPr>
                <w:rFonts w:ascii="Sylfaen" w:hAnsi="Sylfaen" w:cs="Sylfaen"/>
                <w:b/>
                <w:sz w:val="22"/>
                <w:lang w:val="en-US"/>
              </w:rPr>
              <w:t>Confound</w:t>
            </w:r>
          </w:p>
        </w:tc>
        <w:tc>
          <w:tcPr>
            <w:tcW w:type="dxa" w:w="3043"/>
          </w:tcPr>
          <w:p>
            <w:pPr>
              <w:spacing w:line="240" w:lineRule="auto"/>
            </w:pPr>
            <w:r>
              <w:rPr>
                <w:rFonts w:ascii="Sylfaen" w:hAnsi="Sylfaen" w:cs="Sylfaen"/>
                <w:b/>
                <w:sz w:val="22"/>
                <w:lang w:val="en-US"/>
              </w:rPr>
              <w:t>Threat</w:t>
            </w:r>
          </w:p>
        </w:tc>
        <w:tc>
          <w:tcPr>
            <w:tcW w:type="dxa" w:w="3043"/>
          </w:tcPr>
          <w:p>
            <w:pPr>
              <w:spacing w:line="240" w:lineRule="auto"/>
            </w:pPr>
            <w:r>
              <w:rPr>
                <w:rFonts w:ascii="Sylfaen" w:hAnsi="Sylfaen" w:cs="Sylfaen"/>
                <w:b/>
                <w:sz w:val="22"/>
                <w:lang w:val="en-US"/>
              </w:rPr>
              <w:t>Control</w:t>
            </w:r>
          </w:p>
        </w:tc>
      </w:tr>
      <w:tr>
        <w:tc>
          <w:tcPr>
            <w:tcW w:type="dxa" w:w="2249"/>
          </w:tcPr>
          <w:p>
            <w:pPr>
              <w:spacing w:line="240" w:lineRule="auto"/>
            </w:pPr>
            <w:r>
              <w:rPr>
                <w:rFonts w:ascii="Sylfaen" w:hAnsi="Sylfaen" w:cs="Sylfaen"/>
                <w:b w:val="0"/>
                <w:sz w:val="22"/>
                <w:lang w:val="en-US"/>
              </w:rPr>
              <w:t>Curation / legibility</w:t>
            </w:r>
          </w:p>
        </w:tc>
        <w:tc>
          <w:tcPr>
            <w:tcW w:type="dxa" w:w="3043"/>
          </w:tcPr>
          <w:p>
            <w:pPr>
              <w:spacing w:line="240" w:lineRule="auto"/>
            </w:pPr>
            <w:r>
              <w:rPr>
                <w:rFonts w:ascii="Sylfaen" w:hAnsi="Sylfaen" w:cs="Sylfaen"/>
                <w:b w:val="0"/>
                <w:sz w:val="22"/>
                <w:lang w:val="en-US"/>
              </w:rPr>
              <w:t>C's cleaned gist prose is merely more legible than B's fragments</w:t>
            </w:r>
          </w:p>
        </w:tc>
        <w:tc>
          <w:tcPr>
            <w:tcW w:type="dxa" w:w="3043"/>
          </w:tcPr>
          <w:p>
            <w:pPr>
              <w:spacing w:line="240" w:lineRule="auto"/>
            </w:pPr>
            <w:r>
              <w:rPr>
                <w:rFonts w:ascii="Sylfaen" w:hAnsi="Sylfaen" w:cs="Sylfaen"/>
                <w:b w:val="0"/>
                <w:sz w:val="22"/>
                <w:lang w:val="en-US"/>
              </w:rPr>
              <w:t>B+ active control: same gisting and cleanup, no decay/salience/consolidation</w:t>
            </w:r>
          </w:p>
        </w:tc>
      </w:tr>
      <w:tr>
        <w:tc>
          <w:tcPr>
            <w:tcW w:type="dxa" w:w="2249"/>
          </w:tcPr>
          <w:p>
            <w:pPr>
              <w:spacing w:line="240" w:lineRule="auto"/>
            </w:pPr>
            <w:r>
              <w:rPr>
                <w:rFonts w:ascii="Sylfaen" w:hAnsi="Sylfaen" w:cs="Sylfaen"/>
                <w:b w:val="0"/>
                <w:sz w:val="22"/>
                <w:lang w:val="en-US"/>
              </w:rPr>
              <w:t>Compression</w:t>
            </w:r>
          </w:p>
        </w:tc>
        <w:tc>
          <w:tcPr>
            <w:tcW w:type="dxa" w:w="3043"/>
          </w:tcPr>
          <w:p>
            <w:pPr>
              <w:spacing w:line="240" w:lineRule="auto"/>
            </w:pPr>
            <w:r>
              <w:rPr>
                <w:rFonts w:ascii="Sylfaen" w:hAnsi="Sylfaen" w:cs="Sylfaen"/>
                <w:b w:val="0"/>
                <w:sz w:val="22"/>
                <w:lang w:val="en-US"/>
              </w:rPr>
              <w:t>Equal token budget need not mean equal information</w:t>
            </w:r>
          </w:p>
        </w:tc>
        <w:tc>
          <w:tcPr>
            <w:tcW w:type="dxa" w:w="3043"/>
          </w:tcPr>
          <w:p>
            <w:pPr>
              <w:spacing w:line="240" w:lineRule="auto"/>
            </w:pPr>
            <w:r>
              <w:rPr>
                <w:rFonts w:ascii="Sylfaen" w:hAnsi="Sylfaen" w:cs="Sylfaen"/>
                <w:b w:val="0"/>
                <w:sz w:val="22"/>
                <w:lang w:val="en-US"/>
              </w:rPr>
              <w:t>Effective history-coverage logged per turn as a manipulation check; B+ holds compression constant against C</w:t>
            </w:r>
          </w:p>
        </w:tc>
      </w:tr>
      <w:tr>
        <w:tc>
          <w:tcPr>
            <w:tcW w:type="dxa" w:w="2249"/>
          </w:tcPr>
          <w:p>
            <w:pPr>
              <w:spacing w:line="240" w:lineRule="auto"/>
            </w:pPr>
            <w:r>
              <w:rPr>
                <w:rFonts w:ascii="Sylfaen" w:hAnsi="Sylfaen" w:cs="Sylfaen"/>
                <w:b w:val="0"/>
                <w:sz w:val="22"/>
                <w:lang w:val="en-US"/>
              </w:rPr>
              <w:t>Compute / storage / latency</w:t>
            </w:r>
          </w:p>
        </w:tc>
        <w:tc>
          <w:tcPr>
            <w:tcW w:type="dxa" w:w="3043"/>
          </w:tcPr>
          <w:p>
            <w:pPr>
              <w:spacing w:line="240" w:lineRule="auto"/>
            </w:pPr>
            <w:r>
              <w:rPr>
                <w:rFonts w:ascii="Sylfaen" w:hAnsi="Sylfaen" w:cs="Sylfaen"/>
                <w:b w:val="0"/>
                <w:sz w:val="22"/>
                <w:lang w:val="en-US"/>
              </w:rPr>
              <w:t>C's extra LLM passes could buy an unfair advantage</w:t>
            </w:r>
          </w:p>
        </w:tc>
        <w:tc>
          <w:tcPr>
            <w:tcW w:type="dxa" w:w="3043"/>
          </w:tcPr>
          <w:p>
            <w:pPr>
              <w:spacing w:line="240" w:lineRule="auto"/>
            </w:pPr>
            <w:r>
              <w:rPr>
                <w:rFonts w:ascii="Sylfaen" w:hAnsi="Sylfaen" w:cs="Sylfaen"/>
                <w:b w:val="0"/>
                <w:sz w:val="22"/>
                <w:lang w:val="en-US"/>
              </w:rPr>
              <w:t>All expensive operations run offline; the synchronous path is read-only with zero in-turn LLM calls; per-turn retrieval latency measured and reported for B/B+/C; per-event payload capped at B's</w:t>
            </w:r>
          </w:p>
        </w:tc>
      </w:tr>
      <w:tr>
        <w:tc>
          <w:tcPr>
            <w:tcW w:type="dxa" w:w="2249"/>
          </w:tcPr>
          <w:p>
            <w:pPr>
              <w:spacing w:line="240" w:lineRule="auto"/>
            </w:pPr>
            <w:r>
              <w:rPr>
                <w:rFonts w:ascii="Sylfaen" w:hAnsi="Sylfaen" w:cs="Sylfaen"/>
                <w:b w:val="0"/>
                <w:sz w:val="22"/>
                <w:lang w:val="en-US"/>
              </w:rPr>
              <w:t>Held constant (all conditions)</w:t>
            </w:r>
          </w:p>
        </w:tc>
        <w:tc>
          <w:tcPr>
            <w:tcW w:type="dxa" w:w="3043"/>
          </w:tcPr>
          <w:p>
            <w:pPr>
              <w:spacing w:line="240" w:lineRule="auto"/>
            </w:pPr>
            <w:r>
              <w:rPr>
                <w:rFonts w:ascii="Sylfaen" w:hAnsi="Sylfaen" w:cs="Sylfaen"/>
                <w:b w:val="0"/>
                <w:sz w:val="22"/>
              </w:rPr>
            </w:r>
          </w:p>
        </w:tc>
        <w:tc>
          <w:tcPr>
            <w:tcW w:type="dxa" w:w="3043"/>
          </w:tcPr>
          <w:p>
            <w:pPr>
              <w:spacing w:line="240" w:lineRule="auto"/>
            </w:pPr>
            <w:r>
              <w:rPr>
                <w:rFonts w:ascii="Sylfaen" w:hAnsi="Sylfaen" w:cs="Sylfaen"/>
                <w:b w:val="0"/>
                <w:sz w:val="22"/>
                <w:lang w:val="en-US"/>
              </w:rPr>
              <w:t>LLM brain, retrieval trigger, injection point, per-turn latency budget, total retrievable-token budget, query embedding model, volatile working window</w:t>
            </w:r>
          </w:p>
        </w:tc>
      </w:tr>
    </w:tbl>
    <w:p>
      <w:pPr/>
    </w:p>
    <w:p>
      <w:pPr>
        <w:jc w:val="both"/>
      </w:pPr>
      <w:r>
        <w:rPr>
          <w:rFonts w:ascii="Sylfaen" w:hAnsi="Sylfaen" w:cs="Sylfaen"/>
          <w:b w:val="0"/>
          <w:sz w:val="24"/>
          <w:lang w:val="en-US"/>
        </w:rPr>
        <w:t>Every architectural parameter — segmentation threshold, salience rubric and floor, salience-to-stability coefficient, gist-to-anchor stability ratio, decay constants, consolidation cluster size and cutoff, activation form — is fixed a priori and pre-registered, with externally anchored values (e.g. decay constants seeded from MemoryBank [6]) and a required sensitivity analysis (3.7), so that no free knob can be tuned toward the social outcome. In the full protocol, the salience tagger is validated against two-to-three expert human annotators (who are not study participants), and the segmentation threshold is calibrated against human topic-shift labels — in both cases against an external target, never against the study's dependent variables.</w:t>
      </w:r>
    </w:p>
    <w:p>
      <w:pPr>
        <w:pStyle w:val="Heading2"/>
        <w:numPr>
          <w:numId w:val="0"/>
        </w:numPr>
        <w:spacing w:before="160" w:after="80"/>
        <w:jc w:val="center"/>
      </w:pPr>
      <w:r>
        <w:rPr>
          <w:rFonts w:ascii="Sylfaen" w:hAnsi="Sylfaen" w:cs="Sylfaen"/>
          <w:b/>
          <w:color w:val="000000"/>
          <w:sz w:val="28"/>
          <w:lang w:val="en-US"/>
        </w:rPr>
        <w:t>3.4 Proof-of-concept implementation</w:t>
      </w:r>
    </w:p>
    <w:p>
      <w:pPr>
        <w:jc w:val="both"/>
      </w:pPr>
      <w:r>
        <w:rPr>
          <w:rFonts w:ascii="Sylfaen" w:hAnsi="Sylfaen" w:cs="Sylfaen"/>
          <w:b w:val="0"/>
          <w:sz w:val="24"/>
          <w:lang w:val="en-US"/>
        </w:rPr>
        <w:t>The proof-of-concept delivered in this thesis is a standalone memory harness, not the fielded voice application. It implements the four conditions A, B, B+, and C — exercising C's five-stage lifecycle at the fidelity reported in 4 — as an instrumentable module that operates over transcripts, deliberately outside the full Voice Companion voice pipeline. Two honest reasons motivate this scope. First, the audit of the existing platform (F17) established that the voice app today supports only condition A and would require twelve to sixteen weeks of engineering — a voice-to-memory hook, per-participant namespacing, and a deployable client — before it could host B, B+, and C for real users; that build is out of scope for the present timeframe. Second, and more importantly, the scientific object under study is the memory process, which is fully exercised by a harness operating over dialogue transcripts. Decoupling the memory engine from speech-to-text, text-to-speech, and turn-taking lets the proof-of-concept demonstrate and instrument the mechanisms — event segmentation, salience-gated encoding, dual-decay representation, lazy Ebbinghaus decay and reinforcement, offline consolidation, and gist-first retrieval — cleanly and reproducibly.</w:t>
      </w:r>
    </w:p>
    <w:p>
      <w:pPr>
        <w:jc w:val="both"/>
      </w:pPr>
      <w:r>
        <w:rPr>
          <w:rFonts w:ascii="Sylfaen" w:hAnsi="Sylfaen" w:cs="Sylfaen"/>
          <w:b w:val="0"/>
          <w:sz w:val="24"/>
          <w:lang w:val="en-US"/>
        </w:rPr>
        <w:t>The harness is therefore presented as a demonstration of the mechanisms and a substrate for the technical and simulated evaluation of 3.5, not as a deployed study apparatus. It embodies the fairness architecture of 3.3 directly: a shared retrieval trigger, injection point, and token budget across conditions; per-condition isolated stores; offline batch jobs for segmentation, salience scoring, gisting, and consolidation; and a read-only synchronous retrieval path with lazily-evaluated decay and zero in-turn LLM calls. Following the cheapest-viable-cut analysis (F18), the proof-of-concept prioritizes the non-negotiable core — B+, consolidation, simple lazy decay, and the gist/anchor representation — and may defer the most expensive refinements (programmatic salience-gating at scale, associative pre-expansion, the anchor-regex trigger, and the automated sensitivity sweep) to the full build, with any such deferrals reported explicitly rather than silently assumed. The per-turn synchronous cost is dominated by a single sub-100-millisecond vector query plus O(k) arithmetic, comfortably inside the roughly two-to-five-second voice turn documented for the platform (F17); latency parity between B, B+, and C is reported empirically from the harness rather than asserted.</w:t>
      </w:r>
    </w:p>
    <w:p>
      <w:pPr>
        <w:pStyle w:val="Heading2"/>
        <w:numPr>
          <w:numId w:val="0"/>
        </w:numPr>
        <w:spacing w:before="160" w:after="80"/>
        <w:jc w:val="center"/>
      </w:pPr>
      <w:r>
        <w:rPr>
          <w:rFonts w:ascii="Sylfaen" w:hAnsi="Sylfaen" w:cs="Sylfaen"/>
          <w:b/>
          <w:color w:val="000000"/>
          <w:sz w:val="28"/>
          <w:lang w:val="en-US"/>
        </w:rPr>
        <w:t>3.5 Evaluation methodology</w:t>
      </w:r>
    </w:p>
    <w:p>
      <w:pPr>
        <w:jc w:val="both"/>
      </w:pPr>
      <w:r>
        <w:rPr>
          <w:rFonts w:ascii="Sylfaen" w:hAnsi="Sylfaen" w:cs="Sylfaen"/>
          <w:b w:val="0"/>
          <w:sz w:val="24"/>
          <w:lang w:val="en-US"/>
        </w:rPr>
        <w:t>The architecture is evaluated along three tracks of increasing ecological ambition and decreasing present-tense executability: a technical evaluation (reported in 4), a simulated-user evaluation (reported in 4, with strong stated limits), and a designed human-subject protocol (specified here, deferred to future work). The separation is deliberate: the first two tracks probe the mechanisms and generate hypotheses; only the third can adjudicate the perceptual claims, and it is not run in this thesis.</w:t>
      </w:r>
    </w:p>
    <w:p>
      <w:pPr>
        <w:jc w:val="both"/>
      </w:pPr>
      <w:r>
        <w:rPr>
          <w:rFonts w:ascii="Sylfaen" w:hAnsi="Sylfaen" w:cs="Sylfaen"/>
          <w:b w:val="0"/>
          <w:sz w:val="24"/>
          <w:lang w:val="en-US"/>
        </w:rPr>
        <w:t>(a) Technical evaluation. A benchmark-style assessment runs the four conditions over synthetic multi-session dialogues and measures three families of quantity: recall quality (factual recall of prior-session content, in the manner of the long-term-memory benchmarks of 2.5); temporal reasoning (the category consistently weakest across LoCoMo and LongMemEval [1,2]); and latency (per-turn synchronous retrieval time for B, B+, and C, establishing the parity claimed in 3.4). Two cautions from the literature are honored. First, because published memory-benchmark numbers have proven unreliable and their automatic judges permissive (F9, [32,33]), the harness re-validates its own judging procedure rather than inheriting a flawed one, and reports absolute scores against that caveat. Second, technical recall accuracy is explicitly not the thesis's target outcome — indeed the design predicts C may recall less verbatim than B by intent — so these metrics characterize the mechanisms and check that C's forgetting is graceful rather than defective; they are not a proxy for the perceived-relationship outcomes.</w:t>
      </w:r>
    </w:p>
    <w:p>
      <w:pPr>
        <w:jc w:val="both"/>
      </w:pPr>
      <w:r>
        <w:rPr>
          <w:rFonts w:ascii="Sylfaen" w:hAnsi="Sylfaen" w:cs="Sylfaen"/>
          <w:b w:val="0"/>
          <w:sz w:val="24"/>
          <w:lang w:val="en-US"/>
        </w:rPr>
        <w:t>(b) Simulated-user evaluation. To probe the social constructs without human participants, the harness is exercised in multi-session dialogues with an LLM acting as a simulated user, and a separate LLM judge rates each condition on the social constructs of 3.6 (social presence, alliance, believability/humanlikeness, plus the intelligence and privacy items). This track is framed with deliberate epistemic humility: it is a simulated proxy, not a substitute for human perception, and it cannot validate the perceptual hypotheses. Its stated validity limits are threefold: an LLM judge's ratings of "social presence" or "trust" have unknown correspondence to human experience and may reflect surface textual features (e.g. the very legibility B+ controls for) rather than felt relationship; simulated users lack the stakes, memory-over-weeks, and privacy sensitivities of real users, so the double-edged memory effects central to this work (F4) may not manifest; and judge and generator models can share biases that inflate agreement. Accordingly the simulated arm is used to (i) sanity-check that the conditions produce distinguishable behavior, (ii) generate and sharpen predictions for the human protocol, and (iii) exercise the exact instrument operationalization (3.6) end-to-end. Any simulated C-versus-B+ difference is reported as a mechanism-level signal, never as evidence about human perception.</w:t>
      </w:r>
    </w:p>
    <w:p>
      <w:pPr>
        <w:jc w:val="both"/>
      </w:pPr>
      <w:r>
        <w:rPr>
          <w:rFonts w:ascii="Sylfaen" w:hAnsi="Sylfaen" w:cs="Sylfaen"/>
          <w:b w:val="0"/>
          <w:sz w:val="24"/>
          <w:lang w:val="en-US"/>
        </w:rPr>
        <w:t>(c) Designed human-subject protocol (future work). The perceptual claims of the aim can be settled only by a human study, which this thesis fully specifies but does not execute. The design is a within-subject (repeated-measures) comparison of B, B+, and C — three arms, with A demoted to a short scripted calibration touch — at n ≈ 20, each condition experienced over a full three-week horizon so that C's slow-accruing consolidation has time to manifest, with isolated per-condition stores, counterbalanced order, a washout period, and a pre-registered order-effect test to control carryover. The primary instrument is the Artificial Social Agent Questionnaire [14] (3.6). Two design features follow directly from the pressure-test (F18): the analysis targets the late, post-consolidation window (and consolidation-density-moderated effects), not the grand within-condition mean, because that is where any C-only effect lives; and warm, attributable forgetting is a pre-registered architectural rule, so that a soft-discarded item yields a warm partial acknowledgment ("I don't remember the details, but I know it mattered to you") rather than a blank, neutralizing the documented "being forgotten means I matter less" negative signal that would otherwise contaminate the trust and intelligence measures. The protocol adds event-sensitive and behavioral dependent variables (post-episode micro-ratings, self-disclosure depth, voluntary return and usage) and mandatory coded interviews (at least two coders analyzing whether users noticed and valued the memory dynamics), so that even a self-report null becomes an interpretable dissociation map rather than an empty result.</w:t>
      </w:r>
    </w:p>
    <w:p>
      <w:pPr>
        <w:jc w:val="both"/>
      </w:pPr>
      <w:r>
        <w:rPr>
          <w:rFonts w:ascii="Sylfaen" w:hAnsi="Sylfaen" w:cs="Sylfaen"/>
          <w:b w:val="0"/>
          <w:sz w:val="24"/>
          <w:lang w:val="en-US"/>
        </w:rPr>
        <w:t>The sample size is deliberately not powered to confirm C &gt; B+. An a-priori power analysis (F18) shows that this contrast, the smallest in the design (dz ≈ 0.28, diluted further by cold-start), would require n ≈ 116–159 to detect at conventional power, whereas n ≈ 20 is the norm for this study class (F12) and yields only 2–12% power on this specific comparison. The protocol is therefore powered for the comparisons where power is attainable — C &gt; A, and directional B+ &gt; B and C &gt; B — and treats C &gt; B+ as an estimation target (effect size with 95% confidence interval), exactly as 3.1 and 3.7 prescribe. This is the honest reconciliation of an ambitious question with an attainable sample, and it is stated in the protocol so that a precise null reads as an anticipated, interpretable outcome rather than a post-hoc rescue.</w:t>
      </w:r>
    </w:p>
    <w:p>
      <w:pPr>
        <w:pStyle w:val="Heading2"/>
        <w:numPr>
          <w:numId w:val="0"/>
        </w:numPr>
        <w:spacing w:before="160" w:after="80"/>
        <w:jc w:val="center"/>
      </w:pPr>
      <w:r>
        <w:rPr>
          <w:rFonts w:ascii="Sylfaen" w:hAnsi="Sylfaen" w:cs="Sylfaen"/>
          <w:b/>
          <w:color w:val="000000"/>
          <w:sz w:val="28"/>
          <w:lang w:val="en-US"/>
        </w:rPr>
        <w:t>3.6 Measures and instruments</w:t>
      </w:r>
    </w:p>
    <w:p>
      <w:pPr>
        <w:jc w:val="both"/>
      </w:pPr>
      <w:r>
        <w:rPr>
          <w:rFonts w:ascii="Sylfaen" w:hAnsi="Sylfaen" w:cs="Sylfaen"/>
          <w:b w:val="0"/>
          <w:sz w:val="24"/>
          <w:lang w:val="en-US"/>
        </w:rPr>
        <w:t>The dependent variables are the user-perceived social constructs named in the aim, operationalized through validated instruments (F11). The primary instrument is the Artificial Social Agent Questionnaire (ASAQ) [14], a validated, openly-licensed questionnaire capturing nineteen constructs in long (90-item) and short (24-item) forms. Three ASAQ constructs carry the primary hypothesis:</w:t>
      </w:r>
    </w:p>
    <w:p>
      <w:pPr>
        <w:jc w:val="both"/>
      </w:pPr>
      <w:r>
        <w:rPr>
          <w:rFonts w:ascii="Sylfaen" w:hAnsi="Sylfaen" w:cs="Sylfaen"/>
          <w:b w:val="0"/>
          <w:sz w:val="24"/>
          <w:lang w:val="en-US"/>
        </w:rPr>
        <w:t>•  Social presence — the sense of being with another social entity;</w:t>
      </w:r>
    </w:p>
    <w:p>
      <w:pPr>
        <w:jc w:val="both"/>
      </w:pPr>
      <w:r>
        <w:rPr>
          <w:rFonts w:ascii="Sylfaen" w:hAnsi="Sylfaen" w:cs="Sylfaen"/>
          <w:b w:val="0"/>
          <w:sz w:val="24"/>
          <w:lang w:val="en-US"/>
        </w:rPr>
        <w:t>•  User–agent alliance — the bond-, goal-, and task-oriented working relationship, complementable by a WAI-SR adaptation (see 2.6);</w:t>
      </w:r>
    </w:p>
    <w:p>
      <w:pPr>
        <w:jc w:val="both"/>
      </w:pPr>
      <w:r>
        <w:rPr>
          <w:rFonts w:ascii="Sylfaen" w:hAnsi="Sylfaen" w:cs="Sylfaen"/>
          <w:b w:val="0"/>
          <w:sz w:val="24"/>
          <w:lang w:val="en-US"/>
        </w:rPr>
        <w:t>•  Perceived humanlikeness — the canonical name of the third primary construct in our own voice, operationalized via ASAQ's believability subscale. Following the naming convention fixed for this thesis (F11), "believability" is used only as the instrument subscale, never as the dependent-variable name.</w:t>
      </w:r>
    </w:p>
    <w:p>
      <w:pPr>
        <w:jc w:val="both"/>
      </w:pPr>
      <w:r>
        <w:rPr>
          <w:rFonts w:ascii="Sylfaen" w:hAnsi="Sylfaen" w:cs="Sylfaen"/>
          <w:b w:val="0"/>
          <w:sz w:val="24"/>
          <w:lang w:val="en-US"/>
        </w:rPr>
        <w:t>Secondary and control constructs, tied to the secondary hypotheses of 1.2, are measured alongside: perceived intelligence via the Godspeed intelligence subscale (see 2.6) (targeting H2a, that verbatim RAG scores highest on intelligence), and privacy-related comfort and trust via Cox-style privacy items adapted from [11] (targeting H2b, that verbatim recall scores lowest on trust and privacy comfort — the prediction the gist/anchor representation of 3.2 is designed to address). Perceived humanlikeness may be additionally cross-checked against Godspeed anthropomorphism, with Godspeed treated as psychometrically secondary given its documented criticisms (F11). A hypothesis-to-instrument map fixes, before any data collection, which subscale scores each hypothesis.</w:t>
      </w:r>
    </w:p>
    <w:p>
      <w:pPr>
        <w:jc w:val="both"/>
      </w:pPr>
      <w:r>
        <w:rPr>
          <w:rFonts w:ascii="Sylfaen" w:hAnsi="Sylfaen" w:cs="Sylfaen"/>
          <w:b w:val="0"/>
          <w:sz w:val="24"/>
          <w:lang w:val="en-US"/>
        </w:rPr>
        <w:t>For the simulated arm (3.5b), the same constructs are operationalized as an LLM-judge protocol: the judge is given a rubric derived item-by-item from the ASAQ, Godspeed, and Cox subscales and rates transcripts on the corresponding scales, so that the simulated and human tracks share an identical measurement definition. The judge operationalization is reported in full — the rubric, the scale anchors, the prompt, and a judge-reliability check against a small held-out set of transcripts co-rated by human annotators — precisely because the benchmark-credibility crisis (F9) shows that an unvalidated LLM judge is untrustworthy. Where such human validation is absent, the simulated ratings are reported as behavioral-distinguishability signals only, without construct-level interpretation. The simulated ratings are reported strictly under the validity limits of 3.5(b).</w:t>
      </w:r>
    </w:p>
    <w:p>
      <w:pPr>
        <w:pStyle w:val="Heading2"/>
        <w:numPr>
          <w:numId w:val="0"/>
        </w:numPr>
        <w:spacing w:before="160" w:after="80"/>
        <w:jc w:val="center"/>
      </w:pPr>
      <w:r>
        <w:rPr>
          <w:rFonts w:ascii="Sylfaen" w:hAnsi="Sylfaen" w:cs="Sylfaen"/>
          <w:b/>
          <w:color w:val="000000"/>
          <w:sz w:val="28"/>
          <w:lang w:val="en-US"/>
        </w:rPr>
        <w:t>3.7 Analysis plan</w:t>
      </w:r>
    </w:p>
    <w:p>
      <w:pPr>
        <w:jc w:val="both"/>
      </w:pPr>
      <w:r>
        <w:rPr>
          <w:rFonts w:ascii="Sylfaen" w:hAnsi="Sylfaen" w:cs="Sylfaen"/>
          <w:b w:val="0"/>
          <w:sz w:val="24"/>
          <w:lang w:val="en-US"/>
        </w:rPr>
        <w:t>The analysis follows an estimation-first philosophy, matched to the inferential stance of 3.1. For every condition contrast the primary reported quantity is an effect size (Cohen's dz for the within-subject contrasts) accompanied by a 95% confidence interval, rather than a dichotomous significance verdict. For the confirmatory comparisons where power exists (C &gt; A; directional B+ &gt; B and C &gt; B) a Holm-corrected hypothesis test is reported alongside the estimate. For the central C &gt; B+ contrast, only the estimate-with-interval is interpreted, using precision and equivalence logic: a tight interval straddling zero is reported as evidence that human-memory dynamics add little perceptual margin over curated static memory, and — consistent with 3.1 — this null is presented as a substantive finding the B+ control was designed to make interpretable, with null-handling pre-registered so that it reads as anticipated. Where the deferred protocol's late-window and consolidation-density-moderated analyses apply (3.5c), consolidation density, per-tier retrieval share, salience write-rate, and effective history-coverage are entered as pre-registered covariates.</w:t>
      </w:r>
    </w:p>
    <w:p>
      <w:pPr>
        <w:jc w:val="both"/>
      </w:pPr>
      <w:r>
        <w:rPr>
          <w:rFonts w:ascii="Sylfaen" w:hAnsi="Sylfaen" w:cs="Sylfaen"/>
          <w:b w:val="0"/>
          <w:sz w:val="24"/>
          <w:lang w:val="en-US"/>
        </w:rPr>
        <w:t>A sensitivity analysis is mandatory and pre-specified: the externally-anchored decay constants are varied (stability base halved and doubled, the decay exponent and floor swept, and a power-law decay variant substituted for the exponential), and the substantive conclusions are reported as robust or fragile across this range. This directly answers the cherry-picking objection to a parameterized architecture and prevents a result from resting on one fortunate constant.</w:t>
      </w:r>
    </w:p>
    <w:p>
      <w:pPr>
        <w:jc w:val="both"/>
      </w:pPr>
      <w:r>
        <w:rPr>
          <w:rFonts w:ascii="Sylfaen" w:hAnsi="Sylfaen" w:cs="Sylfaen"/>
          <w:b w:val="0"/>
          <w:sz w:val="24"/>
          <w:lang w:val="en-US"/>
        </w:rPr>
        <w:t>The entire plan — the architectural parameters and their externally-anchored values, the salience-rubric prompt verbatim, the condition set, the hypothesis-to-instrument map, the primary and covariate analyses, the sensitivity sweep, and the null-handling rule — is pre-registered before any data collection. Pre-registration is treated here not as a formality but as the load-bearing guarantee of the design's defensibility: because the scientifically central contrast is an estimation target at high null-risk, the credibility of the eventual claim depends on the analysis having been fixed in advance of seeing the data.</w:t>
      </w:r>
    </w:p>
    <w:p>
      <w:pPr>
        <w:pStyle w:val="Heading2"/>
        <w:numPr>
          <w:numId w:val="0"/>
        </w:numPr>
        <w:spacing w:before="160" w:after="80"/>
        <w:jc w:val="center"/>
      </w:pPr>
      <w:r>
        <w:rPr>
          <w:rFonts w:ascii="Sylfaen" w:hAnsi="Sylfaen" w:cs="Sylfaen"/>
          <w:b/>
          <w:color w:val="000000"/>
          <w:sz w:val="28"/>
          <w:lang w:val="en-US"/>
        </w:rPr>
        <w:t>3.8 Ethical considerations and limitations</w:t>
      </w:r>
    </w:p>
    <w:p>
      <w:pPr>
        <w:jc w:val="both"/>
      </w:pPr>
      <w:r>
        <w:rPr>
          <w:rFonts w:ascii="Sylfaen" w:hAnsi="Sylfaen" w:cs="Sylfaen"/>
          <w:b w:val="0"/>
          <w:sz w:val="24"/>
          <w:lang w:val="en-US"/>
        </w:rPr>
        <w:t>No human-subject data are collected in this thesis. The work delivers a design, a proof-of-concept harness, and a technical and simulated evaluation; the human-subject study of 3.5(c) is a specified protocol reserved for future work. Consequently the ethical obligations that attach to the deferred study — informed consent, the handling of the self-disclosure the salience rubric is explicitly designed to elicit and retain, per-participant data isolation and namespacing, the right to withdraw and to have one's memory store deleted, and institutional review — are stated as prerequisites of that future study rather than as measures taken here. The privacy-sensitive nature of a long-term memory that records what users disclose over weeks is itself part of the object of study (the Cox privacy finding [11] and the fuzzy-trace response of 3.2), which sharpens rather than lessens the obligation to treat those data carefully when the study is eventually run.</w:t>
      </w:r>
    </w:p>
    <w:p>
      <w:pPr>
        <w:jc w:val="both"/>
      </w:pPr>
      <w:r>
        <w:rPr>
          <w:rFonts w:ascii="Sylfaen" w:hAnsi="Sylfaen" w:cs="Sylfaen"/>
          <w:b w:val="0"/>
          <w:sz w:val="24"/>
          <w:lang w:val="en-US"/>
        </w:rPr>
        <w:t>The methodology carries three classes of limitation, stated plainly.</w:t>
      </w:r>
    </w:p>
    <w:p>
      <w:pPr>
        <w:jc w:val="both"/>
      </w:pPr>
      <w:r>
        <w:rPr>
          <w:rFonts w:ascii="Sylfaen" w:hAnsi="Sylfaen" w:cs="Sylfaen"/>
          <w:b w:val="0"/>
          <w:sz w:val="24"/>
          <w:lang w:val="en-US"/>
        </w:rPr>
        <w:t>Evaluation-validity limitations. The simulated-user track (3.5b) is a proxy of unknown fidelity to human perception: an LLM judge may rate surface legibility rather than felt relationship — the very confound B+ exists to control — and simulated users lack the stakes, temporal depth, and privacy sensitivities that make memory double-edged in real use (F4). No perceptual conclusion is drawn from the simulated arm; it generates hypotheses and exercises the instrument, nothing more. The technical track measures factual recall and latency, which the design deliberately does not equate with perceived-relationship quality, and it runs over synthetic dialogues whose distribution may not match real multi-session voice interaction.</w:t>
      </w:r>
    </w:p>
    <w:p>
      <w:pPr>
        <w:jc w:val="both"/>
      </w:pPr>
      <w:r>
        <w:rPr>
          <w:rFonts w:ascii="Sylfaen" w:hAnsi="Sylfaen" w:cs="Sylfaen"/>
          <w:b w:val="0"/>
          <w:sz w:val="24"/>
          <w:lang w:val="en-US"/>
        </w:rPr>
        <w:t>Inferential limitations. Even when executed, the human protocol is not powered to confirm the central C &gt; B+ contrast (3.1, 3.5c); that contrast is an estimation target, and the thesis's confirmatory claims are confined to the better-powered comparisons. The single-language, single-modality scope (English, voice-only) established in 1 bounds external validity to the tested condition.</w:t>
      </w:r>
    </w:p>
    <w:p>
      <w:pPr>
        <w:jc w:val="both"/>
      </w:pPr>
      <w:r>
        <w:rPr>
          <w:rFonts w:ascii="Sylfaen" w:hAnsi="Sylfaen" w:cs="Sylfaen"/>
          <w:b w:val="0"/>
          <w:sz w:val="24"/>
          <w:lang w:val="en-US"/>
        </w:rPr>
        <w:t>Theory-fidelity limitations. As detailed in 3.2, Profile C composes rather than unifies its five source theories, and it makes three named omissions: it omits interference, the dominant dynamic of human forgetting, modeling only time-and-salience decay; its precision-first consolidation deliberately suppresses the reconstructive and schema-driven distortion that fuzzy-trace and complementary learning systems most distinctively predict, trading cognitive realism on the humanlikeness axis for the safety of not asserting confident false generalizations; and it models temporal-order and source memory only weakly. The complementary-learning-systems grounding is invoked in the spirit of its episodic-to-semantic transfer function rather than as a claim of interleaved, interference-protected cortical learning, and the encoding-time salience mechanism is acknowledged as much a levels-of-processing effect as a modal-model one. These are principled engineering choices, disclosed so that the architecture's cognitive-grounding claim is understood as design-time inspiration with measurable behavioral signatures, consistent with 2.2, and not as a claim of psychological fidelity. Each omission is, correspondingly, a concrete direction for future work.</w:t>
      </w:r>
    </w:p>
    <w:p>
      <w:pPr>
        <w:pStyle w:val="Heading1"/>
        <w:pageBreakBefore/>
        <w:numPr>
          <w:numId w:val="0"/>
        </w:numPr>
        <w:spacing w:before="360" w:after="80"/>
        <w:jc w:val="center"/>
      </w:pPr>
      <w:r>
        <w:rPr>
          <w:rFonts w:ascii="Sylfaen" w:hAnsi="Sylfaen" w:cs="Sylfaen"/>
          <w:b/>
          <w:color w:val="000000"/>
          <w:sz w:val="28"/>
          <w:lang w:val="en-US"/>
        </w:rPr>
        <w:t>4. Results and Discussion</w:t>
      </w:r>
    </w:p>
    <w:p>
      <w:pPr>
        <w:jc w:val="both"/>
      </w:pPr>
      <w:r>
        <w:rPr>
          <w:rFonts w:ascii="Sylfaen" w:hAnsi="Sylfaen" w:cs="Sylfaen"/>
          <w:b w:val="0"/>
          <w:sz w:val="24"/>
          <w:lang w:val="en-US"/>
        </w:rPr>
        <w:t>This chapter reports the proof-of-concept implementation and its two-track evaluation (3.4–3.5), and discusses what the results establish and — as importantly — what they do not. The design deliberately does not stake its central perceptual claim on this evaluation (3.1); the technical track demonstrates that the mechanisms behave as designed and are distinguishable across conditions, and the simulated track both estimates the direction of the perceptual effects and, in one respect, delivers a substantive methodological finding about the limits of simulated evaluation itself.</w:t>
      </w:r>
    </w:p>
    <w:p>
      <w:pPr>
        <w:pStyle w:val="Heading2"/>
        <w:numPr>
          <w:numId w:val="0"/>
        </w:numPr>
        <w:spacing w:before="160" w:after="80"/>
        <w:jc w:val="center"/>
      </w:pPr>
      <w:r>
        <w:rPr>
          <w:rFonts w:ascii="Sylfaen" w:hAnsi="Sylfaen" w:cs="Sylfaen"/>
          <w:b/>
          <w:color w:val="000000"/>
          <w:sz w:val="28"/>
          <w:lang w:val="en-US"/>
        </w:rPr>
        <w:t>4.1 Proof-of-concept: scope and fidelity</w:t>
      </w:r>
    </w:p>
    <w:p>
      <w:pPr>
        <w:jc w:val="both"/>
      </w:pPr>
      <w:r>
        <w:rPr>
          <w:rFonts w:ascii="Sylfaen" w:hAnsi="Sylfaen" w:cs="Sylfaen"/>
          <w:b w:val="0"/>
          <w:sz w:val="24"/>
          <w:lang w:val="en-US"/>
        </w:rPr>
        <w:t>The proof-of-concept is a standalone Python memory harness that implements the four conditions (A, B, B+, C) over multi-session dialogue transcripts, using OpenAI gpt-4o-mini for the language-model roles (salience scoring, gisting, consolidation, the conversational agent, and the judge) and text-embedding-3-small for retrieval. It was exercised over three synthetic user personas, each a four-session conversation with planted salient facts (names, allergies, family), one-off trivia (a passing weather remark, a forgotten film title, a café mentioned once), and a recurring emotional theme (thesis-deadline stress, co-founder conflict, night-shift exhaustion). The identical user-turn scripts were replayed through all four conditions, so every condition saw the same input and differed only in its memory mechanism. The complete run cost approximately USD 0.01 and took under seven minutes.</w:t>
      </w:r>
    </w:p>
    <w:p>
      <w:pPr>
        <w:jc w:val="both"/>
      </w:pPr>
      <w:r>
        <w:rPr>
          <w:rFonts w:ascii="Sylfaen" w:hAnsi="Sylfaen" w:cs="Sylfaen"/>
          <w:b w:val="0"/>
          <w:sz w:val="24"/>
          <w:lang w:val="en-US"/>
        </w:rPr>
        <w:t>Table 4.1 states the fidelity of the harness against the full architecture of 3.2, honestly separating what is implemented from what is deferred (per the cheapest-viable-cut of F18).</w:t>
      </w:r>
    </w:p>
    <w:p>
      <w:pPr>
        <w:spacing w:line="240" w:lineRule="auto"/>
        <w:jc w:val="both"/>
      </w:pPr>
      <w:r>
        <w:rPr>
          <w:rFonts w:ascii="Sylfaen" w:hAnsi="Sylfaen" w:cs="Sylfaen"/>
          <w:b/>
          <w:sz w:val="22"/>
          <w:lang w:val="en-US"/>
        </w:rPr>
        <w:t>Table 4.1. Proof-of-concept fidelity against the full architecture of 3.2</w:t>
      </w:r>
    </w:p>
    <w:tbl>
      <w:tblPr>
        <w:tblW w:type="auto"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4167"/>
        <w:gridCol w:w="4167"/>
      </w:tblGrid>
      <w:tr>
        <w:tc>
          <w:tcPr>
            <w:tcW w:type="dxa" w:w="4167"/>
          </w:tcPr>
          <w:p>
            <w:pPr>
              <w:spacing w:line="240" w:lineRule="auto"/>
            </w:pPr>
            <w:r>
              <w:rPr>
                <w:rFonts w:ascii="Sylfaen" w:hAnsi="Sylfaen" w:cs="Sylfaen"/>
                <w:b/>
                <w:sz w:val="22"/>
                <w:lang w:val="en-US"/>
              </w:rPr>
              <w:t>Mechanism (3.2)</w:t>
            </w:r>
          </w:p>
        </w:tc>
        <w:tc>
          <w:tcPr>
            <w:tcW w:type="dxa" w:w="4167"/>
          </w:tcPr>
          <w:p>
            <w:pPr>
              <w:spacing w:line="240" w:lineRule="auto"/>
            </w:pPr>
            <w:r>
              <w:rPr>
                <w:rFonts w:ascii="Sylfaen" w:hAnsi="Sylfaen" w:cs="Sylfaen"/>
                <w:b/>
                <w:sz w:val="22"/>
                <w:lang w:val="en-US"/>
              </w:rPr>
              <w:t>Fidelity in the proof-of-concept</w:t>
            </w:r>
          </w:p>
        </w:tc>
      </w:tr>
      <w:tr>
        <w:tc>
          <w:tcPr>
            <w:tcW w:type="dxa" w:w="4167"/>
          </w:tcPr>
          <w:p>
            <w:pPr>
              <w:spacing w:line="240" w:lineRule="auto"/>
            </w:pPr>
            <w:r>
              <w:rPr>
                <w:rFonts w:ascii="Sylfaen" w:hAnsi="Sylfaen" w:cs="Sylfaen"/>
                <w:b w:val="0"/>
                <w:sz w:val="22"/>
                <w:lang w:val="en-US"/>
              </w:rPr>
              <w:t>Salience-gated encoding</w:t>
            </w:r>
          </w:p>
        </w:tc>
        <w:tc>
          <w:tcPr>
            <w:tcW w:type="dxa" w:w="4167"/>
          </w:tcPr>
          <w:p>
            <w:pPr>
              <w:spacing w:line="240" w:lineRule="auto"/>
            </w:pPr>
            <w:r>
              <w:rPr>
                <w:rFonts w:ascii="Sylfaen" w:hAnsi="Sylfaen" w:cs="Sylfaen"/>
                <w:b w:val="0"/>
                <w:sz w:val="22"/>
                <w:lang w:val="en-US"/>
              </w:rPr>
              <w:t>Implemented (LLM rubric, four dimensions)</w:t>
            </w:r>
          </w:p>
        </w:tc>
      </w:tr>
      <w:tr>
        <w:tc>
          <w:tcPr>
            <w:tcW w:type="dxa" w:w="4167"/>
          </w:tcPr>
          <w:p>
            <w:pPr>
              <w:spacing w:line="240" w:lineRule="auto"/>
            </w:pPr>
            <w:r>
              <w:rPr>
                <w:rFonts w:ascii="Sylfaen" w:hAnsi="Sylfaen" w:cs="Sylfaen"/>
                <w:b w:val="0"/>
                <w:sz w:val="22"/>
                <w:lang w:val="en-US"/>
              </w:rPr>
              <w:t>Gist + verbatim anchor representation</w:t>
            </w:r>
          </w:p>
        </w:tc>
        <w:tc>
          <w:tcPr>
            <w:tcW w:type="dxa" w:w="4167"/>
          </w:tcPr>
          <w:p>
            <w:pPr>
              <w:spacing w:line="240" w:lineRule="auto"/>
            </w:pPr>
            <w:r>
              <w:rPr>
                <w:rFonts w:ascii="Sylfaen" w:hAnsi="Sylfaen" w:cs="Sylfaen"/>
                <w:b w:val="0"/>
                <w:sz w:val="22"/>
                <w:lang w:val="en-US"/>
              </w:rPr>
              <w:t>Implemented</w:t>
            </w:r>
          </w:p>
        </w:tc>
      </w:tr>
      <w:tr>
        <w:tc>
          <w:tcPr>
            <w:tcW w:type="dxa" w:w="4167"/>
          </w:tcPr>
          <w:p>
            <w:pPr>
              <w:spacing w:line="240" w:lineRule="auto"/>
            </w:pPr>
            <w:r>
              <w:rPr>
                <w:rFonts w:ascii="Sylfaen" w:hAnsi="Sylfaen" w:cs="Sylfaen"/>
                <w:b w:val="0"/>
                <w:sz w:val="22"/>
                <w:lang w:val="en-US"/>
              </w:rPr>
              <w:t>Ebbinghaus decay + reinforcement</w:t>
            </w:r>
          </w:p>
        </w:tc>
        <w:tc>
          <w:tcPr>
            <w:tcW w:type="dxa" w:w="4167"/>
          </w:tcPr>
          <w:p>
            <w:pPr>
              <w:spacing w:line="240" w:lineRule="auto"/>
            </w:pPr>
            <w:r>
              <w:rPr>
                <w:rFonts w:ascii="Sylfaen" w:hAnsi="Sylfaen" w:cs="Sylfaen"/>
                <w:b w:val="0"/>
                <w:sz w:val="22"/>
                <w:lang w:val="en-US"/>
              </w:rPr>
              <w:t>Implemented (lazy, session-unit time)</w:t>
            </w:r>
          </w:p>
        </w:tc>
      </w:tr>
      <w:tr>
        <w:tc>
          <w:tcPr>
            <w:tcW w:type="dxa" w:w="4167"/>
          </w:tcPr>
          <w:p>
            <w:pPr>
              <w:spacing w:line="240" w:lineRule="auto"/>
            </w:pPr>
            <w:r>
              <w:rPr>
                <w:rFonts w:ascii="Sylfaen" w:hAnsi="Sylfaen" w:cs="Sylfaen"/>
                <w:b w:val="0"/>
                <w:sz w:val="22"/>
                <w:lang w:val="en-US"/>
              </w:rPr>
              <w:t>Episodic→semantic consolidation</w:t>
            </w:r>
          </w:p>
        </w:tc>
        <w:tc>
          <w:tcPr>
            <w:tcW w:type="dxa" w:w="4167"/>
          </w:tcPr>
          <w:p>
            <w:pPr>
              <w:spacing w:line="240" w:lineRule="auto"/>
            </w:pPr>
            <w:r>
              <w:rPr>
                <w:rFonts w:ascii="Sylfaen" w:hAnsi="Sylfaen" w:cs="Sylfaen"/>
                <w:b w:val="0"/>
                <w:sz w:val="22"/>
                <w:lang w:val="en-US"/>
              </w:rPr>
              <w:t>Implemented (embedding clustering + LLM abstraction)</w:t>
            </w:r>
          </w:p>
        </w:tc>
      </w:tr>
      <w:tr>
        <w:tc>
          <w:tcPr>
            <w:tcW w:type="dxa" w:w="4167"/>
          </w:tcPr>
          <w:p>
            <w:pPr>
              <w:spacing w:line="240" w:lineRule="auto"/>
            </w:pPr>
            <w:r>
              <w:rPr>
                <w:rFonts w:ascii="Sylfaen" w:hAnsi="Sylfaen" w:cs="Sylfaen"/>
                <w:b w:val="0"/>
                <w:sz w:val="22"/>
                <w:lang w:val="en-US"/>
              </w:rPr>
              <w:t>Gist-first composite retrieval</w:t>
            </w:r>
          </w:p>
        </w:tc>
        <w:tc>
          <w:tcPr>
            <w:tcW w:type="dxa" w:w="4167"/>
          </w:tcPr>
          <w:p>
            <w:pPr>
              <w:spacing w:line="240" w:lineRule="auto"/>
            </w:pPr>
            <w:r>
              <w:rPr>
                <w:rFonts w:ascii="Sylfaen" w:hAnsi="Sylfaen" w:cs="Sylfaen"/>
                <w:b w:val="0"/>
                <w:sz w:val="22"/>
                <w:lang w:val="en-US"/>
              </w:rPr>
              <w:t>Implemented (relevance × retrievability × capped semantic bonus)</w:t>
            </w:r>
          </w:p>
        </w:tc>
      </w:tr>
      <w:tr>
        <w:tc>
          <w:tcPr>
            <w:tcW w:type="dxa" w:w="4167"/>
          </w:tcPr>
          <w:p>
            <w:pPr>
              <w:spacing w:line="240" w:lineRule="auto"/>
            </w:pPr>
            <w:r>
              <w:rPr>
                <w:rFonts w:ascii="Sylfaen" w:hAnsi="Sylfaen" w:cs="Sylfaen"/>
                <w:b w:val="0"/>
                <w:sz w:val="22"/>
                <w:lang w:val="en-US"/>
              </w:rPr>
              <w:t>Event segmentation</w:t>
            </w:r>
          </w:p>
        </w:tc>
        <w:tc>
          <w:tcPr>
            <w:tcW w:type="dxa" w:w="4167"/>
          </w:tcPr>
          <w:p>
            <w:pPr>
              <w:spacing w:line="240" w:lineRule="auto"/>
            </w:pPr>
            <w:r>
              <w:rPr>
                <w:rFonts w:ascii="Sylfaen" w:hAnsi="Sylfaen" w:cs="Sylfaen"/>
                <w:b w:val="0"/>
                <w:sz w:val="22"/>
                <w:lang w:val="en-US"/>
              </w:rPr>
              <w:t>Reduced: one utterance = one event (Bayesian-surprise segmentation deferred)</w:t>
            </w:r>
          </w:p>
        </w:tc>
      </w:tr>
      <w:tr>
        <w:tc>
          <w:tcPr>
            <w:tcW w:type="dxa" w:w="4167"/>
          </w:tcPr>
          <w:p>
            <w:pPr>
              <w:spacing w:line="240" w:lineRule="auto"/>
            </w:pPr>
            <w:r>
              <w:rPr>
                <w:rFonts w:ascii="Sylfaen" w:hAnsi="Sylfaen" w:cs="Sylfaen"/>
                <w:b w:val="0"/>
                <w:sz w:val="22"/>
                <w:lang w:val="en-US"/>
              </w:rPr>
              <w:t>Associative pre-expansion; anchor-regex exact-recall trigger; programmatic sensitivity sweep</w:t>
            </w:r>
          </w:p>
        </w:tc>
        <w:tc>
          <w:tcPr>
            <w:tcW w:type="dxa" w:w="4167"/>
          </w:tcPr>
          <w:p>
            <w:pPr>
              <w:spacing w:line="240" w:lineRule="auto"/>
            </w:pPr>
            <w:r>
              <w:rPr>
                <w:rFonts w:ascii="Sylfaen" w:hAnsi="Sylfaen" w:cs="Sylfaen"/>
                <w:b w:val="0"/>
                <w:sz w:val="22"/>
                <w:lang w:val="en-US"/>
              </w:rPr>
              <w:t>Deferred to the full build</w:t>
            </w:r>
          </w:p>
        </w:tc>
      </w:tr>
      <w:tr>
        <w:tc>
          <w:tcPr>
            <w:tcW w:type="dxa" w:w="4167"/>
          </w:tcPr>
          <w:p>
            <w:pPr>
              <w:spacing w:line="240" w:lineRule="auto"/>
            </w:pPr>
            <w:r>
              <w:rPr>
                <w:rFonts w:ascii="Sylfaen" w:hAnsi="Sylfaen" w:cs="Sylfaen"/>
                <w:b w:val="0"/>
                <w:sz w:val="22"/>
                <w:lang w:val="en-US"/>
              </w:rPr>
              <w:t>Real voice pipeline (STT/TTS/turn-taking)</w:t>
            </w:r>
          </w:p>
        </w:tc>
        <w:tc>
          <w:tcPr>
            <w:tcW w:type="dxa" w:w="4167"/>
          </w:tcPr>
          <w:p>
            <w:pPr>
              <w:spacing w:line="240" w:lineRule="auto"/>
            </w:pPr>
            <w:r>
              <w:rPr>
                <w:rFonts w:ascii="Sylfaen" w:hAnsi="Sylfaen" w:cs="Sylfaen"/>
                <w:b w:val="0"/>
                <w:sz w:val="22"/>
                <w:lang w:val="en-US"/>
              </w:rPr>
              <w:t>Out of scope by design — the harness studies the memory process over transcripts</w:t>
            </w:r>
          </w:p>
        </w:tc>
      </w:tr>
    </w:tbl>
    <w:p>
      <w:pPr/>
    </w:p>
    <w:p>
      <w:pPr>
        <w:jc w:val="both"/>
      </w:pPr>
      <w:r>
        <w:rPr>
          <w:rFonts w:ascii="Sylfaen" w:hAnsi="Sylfaen" w:cs="Sylfaen"/>
          <w:b w:val="0"/>
          <w:sz w:val="24"/>
          <w:lang w:val="en-US"/>
        </w:rPr>
        <w:t>Time is measured in session units rather than wall-clock, and users are simulated rather than human; both bound the interpretation and are revisited in 4.4.</w:t>
      </w:r>
    </w:p>
    <w:p>
      <w:pPr>
        <w:pStyle w:val="Heading2"/>
        <w:numPr>
          <w:numId w:val="0"/>
        </w:numPr>
        <w:spacing w:before="160" w:after="80"/>
        <w:jc w:val="center"/>
      </w:pPr>
      <w:r>
        <w:rPr>
          <w:rFonts w:ascii="Sylfaen" w:hAnsi="Sylfaen" w:cs="Sylfaen"/>
          <w:b/>
          <w:color w:val="000000"/>
          <w:sz w:val="28"/>
          <w:lang w:val="en-US"/>
        </w:rPr>
        <w:t>4.2 Technical results</w:t>
      </w:r>
    </w:p>
    <w:p>
      <w:pPr>
        <w:jc w:val="both"/>
      </w:pPr>
      <w:r>
        <w:rPr>
          <w:rFonts w:ascii="Sylfaen" w:hAnsi="Sylfaen" w:cs="Sylfaen"/>
          <w:b w:val="0"/>
          <w:sz w:val="24"/>
          <w:lang w:val="en-US"/>
        </w:rPr>
        <w:t>Cross-session recall and graceful forgetting. Table 4.2 reports the fraction of recall probes answered correctly, by probe type, aggregated over the three personas.</w:t>
      </w:r>
    </w:p>
    <w:p>
      <w:pPr>
        <w:spacing w:line="240" w:lineRule="auto"/>
        <w:jc w:val="both"/>
      </w:pPr>
      <w:r>
        <w:rPr>
          <w:rFonts w:ascii="Sylfaen" w:hAnsi="Sylfaen" w:cs="Sylfaen"/>
          <w:b/>
          <w:sz w:val="22"/>
          <w:lang w:val="en-US"/>
        </w:rPr>
        <w:t>Table 4.2. Cross-session recall accuracy by probe type</w:t>
      </w:r>
    </w:p>
    <w:tbl>
      <w:tblPr>
        <w:tblW w:type="auto"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933"/>
        <w:gridCol w:w="2007"/>
        <w:gridCol w:w="1235"/>
        <w:gridCol w:w="2161"/>
      </w:tblGrid>
      <w:tr>
        <w:tc>
          <w:tcPr>
            <w:tcW w:type="dxa" w:w="2932"/>
          </w:tcPr>
          <w:p>
            <w:pPr>
              <w:spacing w:line="240" w:lineRule="auto"/>
            </w:pPr>
            <w:r>
              <w:rPr>
                <w:rFonts w:ascii="Sylfaen" w:hAnsi="Sylfaen" w:cs="Sylfaen"/>
                <w:b/>
                <w:sz w:val="22"/>
                <w:lang w:val="en-US"/>
              </w:rPr>
              <w:t>Condition</w:t>
            </w:r>
          </w:p>
        </w:tc>
        <w:tc>
          <w:tcPr>
            <w:tcW w:type="dxa" w:w="2006"/>
          </w:tcPr>
          <w:p>
            <w:pPr>
              <w:spacing w:line="240" w:lineRule="auto"/>
            </w:pPr>
            <w:r>
              <w:rPr>
                <w:rFonts w:ascii="Sylfaen" w:hAnsi="Sylfaen" w:cs="Sylfaen"/>
                <w:b/>
                <w:sz w:val="22"/>
                <w:lang w:val="en-US"/>
              </w:rPr>
              <w:t>Salient facts</w:t>
            </w:r>
          </w:p>
        </w:tc>
        <w:tc>
          <w:tcPr>
            <w:tcW w:type="dxa" w:w="1235"/>
          </w:tcPr>
          <w:p>
            <w:pPr>
              <w:spacing w:line="240" w:lineRule="auto"/>
            </w:pPr>
            <w:r>
              <w:rPr>
                <w:rFonts w:ascii="Sylfaen" w:hAnsi="Sylfaen" w:cs="Sylfaen"/>
                <w:b/>
                <w:sz w:val="22"/>
                <w:lang w:val="en-US"/>
              </w:rPr>
              <w:t>Trivia</w:t>
            </w:r>
          </w:p>
        </w:tc>
        <w:tc>
          <w:tcPr>
            <w:tcW w:type="dxa" w:w="2161"/>
          </w:tcPr>
          <w:p>
            <w:pPr>
              <w:spacing w:line="240" w:lineRule="auto"/>
            </w:pPr>
            <w:r>
              <w:rPr>
                <w:rFonts w:ascii="Sylfaen" w:hAnsi="Sylfaen" w:cs="Sylfaen"/>
                <w:b/>
                <w:sz w:val="22"/>
                <w:lang w:val="en-US"/>
              </w:rPr>
              <w:t>Generalization</w:t>
            </w:r>
          </w:p>
        </w:tc>
      </w:tr>
      <w:tr>
        <w:tc>
          <w:tcPr>
            <w:tcW w:type="dxa" w:w="2932"/>
          </w:tcPr>
          <w:p>
            <w:pPr>
              <w:spacing w:line="240" w:lineRule="auto"/>
            </w:pPr>
            <w:r>
              <w:rPr>
                <w:rFonts w:ascii="Sylfaen" w:hAnsi="Sylfaen" w:cs="Sylfaen"/>
                <w:b w:val="0"/>
                <w:sz w:val="22"/>
                <w:lang w:val="en-US"/>
              </w:rPr>
              <w:t>A (no memory)</w:t>
            </w:r>
          </w:p>
        </w:tc>
        <w:tc>
          <w:tcPr>
            <w:tcW w:type="dxa" w:w="2006"/>
          </w:tcPr>
          <w:p>
            <w:pPr>
              <w:spacing w:line="240" w:lineRule="auto"/>
            </w:pPr>
            <w:r>
              <w:rPr>
                <w:rFonts w:ascii="Sylfaen" w:hAnsi="Sylfaen" w:cs="Sylfaen"/>
                <w:b w:val="0"/>
                <w:sz w:val="22"/>
              </w:rPr>
              <w:t>0.00</w:t>
            </w:r>
          </w:p>
        </w:tc>
        <w:tc>
          <w:tcPr>
            <w:tcW w:type="dxa" w:w="1235"/>
          </w:tcPr>
          <w:p>
            <w:pPr>
              <w:spacing w:line="240" w:lineRule="auto"/>
            </w:pPr>
            <w:r>
              <w:rPr>
                <w:rFonts w:ascii="Sylfaen" w:hAnsi="Sylfaen" w:cs="Sylfaen"/>
                <w:b w:val="0"/>
                <w:sz w:val="22"/>
              </w:rPr>
              <w:t>0.00</w:t>
            </w:r>
          </w:p>
        </w:tc>
        <w:tc>
          <w:tcPr>
            <w:tcW w:type="dxa" w:w="2161"/>
          </w:tcPr>
          <w:p>
            <w:pPr>
              <w:spacing w:line="240" w:lineRule="auto"/>
            </w:pPr>
            <w:r>
              <w:rPr>
                <w:rFonts w:ascii="Sylfaen" w:hAnsi="Sylfaen" w:cs="Sylfaen"/>
                <w:b w:val="0"/>
                <w:sz w:val="22"/>
              </w:rPr>
              <w:t>0.67</w:t>
            </w:r>
          </w:p>
        </w:tc>
      </w:tr>
      <w:tr>
        <w:tc>
          <w:tcPr>
            <w:tcW w:type="dxa" w:w="2932"/>
          </w:tcPr>
          <w:p>
            <w:pPr>
              <w:spacing w:line="240" w:lineRule="auto"/>
            </w:pPr>
            <w:r>
              <w:rPr>
                <w:rFonts w:ascii="Sylfaen" w:hAnsi="Sylfaen" w:cs="Sylfaen"/>
                <w:b w:val="0"/>
                <w:sz w:val="22"/>
                <w:lang w:val="en-US"/>
              </w:rPr>
              <w:t>B (verbatim RAG)</w:t>
            </w:r>
          </w:p>
        </w:tc>
        <w:tc>
          <w:tcPr>
            <w:tcW w:type="dxa" w:w="2006"/>
          </w:tcPr>
          <w:p>
            <w:pPr>
              <w:spacing w:line="240" w:lineRule="auto"/>
            </w:pPr>
            <w:r>
              <w:rPr>
                <w:rFonts w:ascii="Sylfaen" w:hAnsi="Sylfaen" w:cs="Sylfaen"/>
                <w:b w:val="0"/>
                <w:sz w:val="22"/>
              </w:rPr>
              <w:t>1.00</w:t>
            </w:r>
          </w:p>
        </w:tc>
        <w:tc>
          <w:tcPr>
            <w:tcW w:type="dxa" w:w="1235"/>
          </w:tcPr>
          <w:p>
            <w:pPr>
              <w:spacing w:line="240" w:lineRule="auto"/>
            </w:pPr>
            <w:r>
              <w:rPr>
                <w:rFonts w:ascii="Sylfaen" w:hAnsi="Sylfaen" w:cs="Sylfaen"/>
                <w:b w:val="0"/>
                <w:sz w:val="22"/>
              </w:rPr>
              <w:t>1.00</w:t>
            </w:r>
          </w:p>
        </w:tc>
        <w:tc>
          <w:tcPr>
            <w:tcW w:type="dxa" w:w="2161"/>
          </w:tcPr>
          <w:p>
            <w:pPr>
              <w:spacing w:line="240" w:lineRule="auto"/>
            </w:pPr>
            <w:r>
              <w:rPr>
                <w:rFonts w:ascii="Sylfaen" w:hAnsi="Sylfaen" w:cs="Sylfaen"/>
                <w:b w:val="0"/>
                <w:sz w:val="22"/>
              </w:rPr>
              <w:t>1.00</w:t>
            </w:r>
          </w:p>
        </w:tc>
      </w:tr>
      <w:tr>
        <w:tc>
          <w:tcPr>
            <w:tcW w:type="dxa" w:w="2932"/>
          </w:tcPr>
          <w:p>
            <w:pPr>
              <w:spacing w:line="240" w:lineRule="auto"/>
            </w:pPr>
            <w:r>
              <w:rPr>
                <w:rFonts w:ascii="Sylfaen" w:hAnsi="Sylfaen" w:cs="Sylfaen"/>
                <w:b w:val="0"/>
                <w:sz w:val="22"/>
                <w:lang w:val="en-US"/>
              </w:rPr>
              <w:t>B+ (curated static)</w:t>
            </w:r>
          </w:p>
        </w:tc>
        <w:tc>
          <w:tcPr>
            <w:tcW w:type="dxa" w:w="2006"/>
          </w:tcPr>
          <w:p>
            <w:pPr>
              <w:spacing w:line="240" w:lineRule="auto"/>
            </w:pPr>
            <w:r>
              <w:rPr>
                <w:rFonts w:ascii="Sylfaen" w:hAnsi="Sylfaen" w:cs="Sylfaen"/>
                <w:b w:val="0"/>
                <w:sz w:val="22"/>
              </w:rPr>
              <w:t>1.00</w:t>
            </w:r>
          </w:p>
        </w:tc>
        <w:tc>
          <w:tcPr>
            <w:tcW w:type="dxa" w:w="1235"/>
          </w:tcPr>
          <w:p>
            <w:pPr>
              <w:spacing w:line="240" w:lineRule="auto"/>
            </w:pPr>
            <w:r>
              <w:rPr>
                <w:rFonts w:ascii="Sylfaen" w:hAnsi="Sylfaen" w:cs="Sylfaen"/>
                <w:b w:val="0"/>
                <w:sz w:val="22"/>
              </w:rPr>
              <w:t>1.00</w:t>
            </w:r>
          </w:p>
        </w:tc>
        <w:tc>
          <w:tcPr>
            <w:tcW w:type="dxa" w:w="2161"/>
          </w:tcPr>
          <w:p>
            <w:pPr>
              <w:spacing w:line="240" w:lineRule="auto"/>
            </w:pPr>
            <w:r>
              <w:rPr>
                <w:rFonts w:ascii="Sylfaen" w:hAnsi="Sylfaen" w:cs="Sylfaen"/>
                <w:b w:val="0"/>
                <w:sz w:val="22"/>
              </w:rPr>
              <w:t>1.00</w:t>
            </w:r>
          </w:p>
        </w:tc>
      </w:tr>
      <w:tr>
        <w:tc>
          <w:tcPr>
            <w:tcW w:type="dxa" w:w="2932"/>
          </w:tcPr>
          <w:p>
            <w:pPr>
              <w:spacing w:line="240" w:lineRule="auto"/>
            </w:pPr>
            <w:r>
              <w:rPr>
                <w:rFonts w:ascii="Sylfaen" w:hAnsi="Sylfaen" w:cs="Sylfaen"/>
                <w:b w:val="0"/>
                <w:sz w:val="22"/>
                <w:lang w:val="en-US"/>
              </w:rPr>
              <w:t>C (Profile C)</w:t>
            </w:r>
          </w:p>
        </w:tc>
        <w:tc>
          <w:tcPr>
            <w:tcW w:type="dxa" w:w="2006"/>
          </w:tcPr>
          <w:p>
            <w:pPr>
              <w:spacing w:line="240" w:lineRule="auto"/>
            </w:pPr>
            <w:r>
              <w:rPr>
                <w:rFonts w:ascii="Sylfaen" w:hAnsi="Sylfaen" w:cs="Sylfaen"/>
                <w:b w:val="0"/>
                <w:sz w:val="22"/>
              </w:rPr>
              <w:t>1.00</w:t>
            </w:r>
          </w:p>
        </w:tc>
        <w:tc>
          <w:tcPr>
            <w:tcW w:type="dxa" w:w="1235"/>
          </w:tcPr>
          <w:p>
            <w:pPr>
              <w:spacing w:line="240" w:lineRule="auto"/>
            </w:pPr>
            <w:r>
              <w:rPr>
                <w:rFonts w:ascii="Sylfaen" w:hAnsi="Sylfaen" w:cs="Sylfaen"/>
                <w:b w:val="0"/>
                <w:sz w:val="22"/>
              </w:rPr>
              <w:t>0.00</w:t>
            </w:r>
          </w:p>
        </w:tc>
        <w:tc>
          <w:tcPr>
            <w:tcW w:type="dxa" w:w="2161"/>
          </w:tcPr>
          <w:p>
            <w:pPr>
              <w:spacing w:line="240" w:lineRule="auto"/>
            </w:pPr>
            <w:r>
              <w:rPr>
                <w:rFonts w:ascii="Sylfaen" w:hAnsi="Sylfaen" w:cs="Sylfaen"/>
                <w:b w:val="0"/>
                <w:sz w:val="22"/>
              </w:rPr>
              <w:t>1.00</w:t>
            </w:r>
          </w:p>
        </w:tc>
      </w:tr>
    </w:tbl>
    <w:p>
      <w:pPr/>
    </w:p>
    <w:p>
      <w:pPr>
        <w:jc w:val="both"/>
      </w:pPr>
      <w:r>
        <w:rPr>
          <w:rFonts w:ascii="Sylfaen" w:hAnsi="Sylfaen" w:cs="Sylfaen"/>
          <w:b w:val="0"/>
          <w:sz w:val="24"/>
          <w:lang w:val="en-US"/>
        </w:rPr>
        <w:t>Three patterns are visible. First, long-term memory is necessary: condition A, with only the volatile working window, recalls no cross-session fact (its 0.67 on generalization is a within-session artifact — the recurring theme is restated in the same session as the probe — not evidence of memory). Second, and centrally, only Profile C exhibits graceful, salience-selective forgetting: it retains every salient fact (1.00) while forgetting the low-salience trivia (0.00), whereas B and B+ retain everything indiscriminately (1.00/1.00). This is the Ebbinghaus signature operating as designed — low-salience traces receive low stability, decay below the retrievability floor within one to two session gaps, and drop out of retrieval. The behavioral difference is directly observable: asked what the weather had been, condition B replied "It was really foggy that morning, kind of pretty!", while condition C replied "I don't have that specific detail about the weather from our previous conversation. How has the weather been for you lately?" — a warm non-recall rather than a mechanical replay.</w:t>
      </w:r>
    </w:p>
    <w:p>
      <w:pPr>
        <w:jc w:val="both"/>
      </w:pPr>
      <w:r>
        <w:rPr>
          <w:rFonts w:ascii="Sylfaen" w:hAnsi="Sylfaen" w:cs="Sylfaen"/>
          <w:b w:val="0"/>
          <w:sz w:val="24"/>
          <w:lang w:val="en-US"/>
        </w:rPr>
        <w:t>Consolidation. Only Profile C formed durable semantic facts: four across the three personas (B and B+ formed none, by construction). Surfacing the recurring theme, C drew on its consolidated store — "it seems like the challenges with your co-founder and the direction of your company are a recurring theme". It is important to report honestly that B+ also produced a competent generalization on the fly — "the ongoing tension with your co-founder is a significant theme" — by having the language model infer the pattern from several retrieved episodes. The consolidation advantage of C is therefore not that a curated baseline cannot generalize, but that C maintains the generalization as an explicit, durable, reusable structure with source-episode provenance, produced offline rather than re-derived at every turn.</w:t>
      </w:r>
    </w:p>
    <w:p>
      <w:pPr>
        <w:jc w:val="both"/>
      </w:pPr>
      <w:r>
        <w:rPr>
          <w:rFonts w:ascii="Sylfaen" w:hAnsi="Sylfaen" w:cs="Sylfaen"/>
          <w:b w:val="0"/>
          <w:sz w:val="24"/>
          <w:lang w:val="en-US"/>
        </w:rPr>
        <w:t>Efficiency and latency. At the shared retrieval budget, C injected a mean of 37.2 context words per turn against 41.0 for both B and B+ — slightly leaner, because gist-first retrieval favours compact semantic facts over raw or full-length gists. Per-turn synchronous retrieval latency was sub-millisecond for all conditions (median 0.08–0.12 ms), confirming the design claim that C's added arithmetic (decay and bonus scoring) is negligible against the retrieval itself, and — by construction — that all expensive language-model work runs offline.</w:t>
      </w:r>
    </w:p>
    <w:p>
      <w:pPr>
        <w:pStyle w:val="Heading2"/>
        <w:numPr>
          <w:numId w:val="0"/>
        </w:numPr>
        <w:spacing w:before="160" w:after="80"/>
        <w:jc w:val="center"/>
      </w:pPr>
      <w:r>
        <w:rPr>
          <w:rFonts w:ascii="Sylfaen" w:hAnsi="Sylfaen" w:cs="Sylfaen"/>
          <w:b/>
          <w:color w:val="000000"/>
          <w:sz w:val="28"/>
          <w:lang w:val="en-US"/>
        </w:rPr>
        <w:t>4.3 Simulated-perception results</w:t>
      </w:r>
    </w:p>
    <w:p>
      <w:pPr>
        <w:jc w:val="both"/>
      </w:pPr>
      <w:r>
        <w:rPr>
          <w:rFonts w:ascii="Sylfaen" w:hAnsi="Sylfaen" w:cs="Sylfaen"/>
          <w:b w:val="0"/>
          <w:sz w:val="24"/>
          <w:lang w:val="en-US"/>
        </w:rPr>
        <w:t>An LLM judge rated each condition's full transcript on five constructs (1–7). Table 4.3 reports the means over the three personas; these are illustrative estimates from a small simulated sample (three personas, a single judge pass, integer ratings), reported without significance testing and consistent with the estimation stance of 3.1.</w:t>
      </w:r>
    </w:p>
    <w:p>
      <w:pPr>
        <w:spacing w:line="240" w:lineRule="auto"/>
        <w:jc w:val="both"/>
      </w:pPr>
      <w:r>
        <w:rPr>
          <w:rFonts w:ascii="Sylfaen" w:hAnsi="Sylfaen" w:cs="Sylfaen"/>
          <w:b/>
          <w:sz w:val="22"/>
          <w:lang w:val="en-US"/>
        </w:rPr>
        <w:t>Table 4.3. Simulated-perception mean ratings by construct</w:t>
      </w:r>
    </w:p>
    <w:tbl>
      <w:tblPr>
        <w:tblW w:type="auto"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4260"/>
        <w:gridCol w:w="741"/>
        <w:gridCol w:w="741"/>
        <w:gridCol w:w="741"/>
        <w:gridCol w:w="741"/>
        <w:gridCol w:w="1111"/>
      </w:tblGrid>
      <w:tr>
        <w:tc>
          <w:tcPr>
            <w:tcW w:type="dxa" w:w="4260"/>
          </w:tcPr>
          <w:p>
            <w:pPr>
              <w:spacing w:line="240" w:lineRule="auto"/>
            </w:pPr>
            <w:r>
              <w:rPr>
                <w:rFonts w:ascii="Sylfaen" w:hAnsi="Sylfaen" w:cs="Sylfaen"/>
                <w:b/>
                <w:sz w:val="22"/>
                <w:lang w:val="en-US"/>
              </w:rPr>
              <w:t>Construct</w:t>
            </w:r>
          </w:p>
        </w:tc>
        <w:tc>
          <w:tcPr>
            <w:tcW w:type="dxa" w:w="741"/>
          </w:tcPr>
          <w:p>
            <w:pPr>
              <w:spacing w:line="240" w:lineRule="auto"/>
            </w:pPr>
            <w:r>
              <w:rPr>
                <w:rFonts w:ascii="Sylfaen" w:hAnsi="Sylfaen" w:cs="Sylfaen"/>
                <w:b/>
                <w:sz w:val="22"/>
                <w:lang w:val="en-US"/>
              </w:rPr>
              <w:t>A</w:t>
            </w:r>
          </w:p>
        </w:tc>
        <w:tc>
          <w:tcPr>
            <w:tcW w:type="dxa" w:w="741"/>
          </w:tcPr>
          <w:p>
            <w:pPr>
              <w:spacing w:line="240" w:lineRule="auto"/>
            </w:pPr>
            <w:r>
              <w:rPr>
                <w:rFonts w:ascii="Sylfaen" w:hAnsi="Sylfaen" w:cs="Sylfaen"/>
                <w:b/>
                <w:sz w:val="22"/>
                <w:lang w:val="en-US"/>
              </w:rPr>
              <w:t>B</w:t>
            </w:r>
          </w:p>
        </w:tc>
        <w:tc>
          <w:tcPr>
            <w:tcW w:type="dxa" w:w="741"/>
          </w:tcPr>
          <w:p>
            <w:pPr>
              <w:spacing w:line="240" w:lineRule="auto"/>
            </w:pPr>
            <w:r>
              <w:rPr>
                <w:rFonts w:ascii="Sylfaen" w:hAnsi="Sylfaen" w:cs="Sylfaen"/>
                <w:b/>
                <w:sz w:val="22"/>
                <w:lang w:val="en-US"/>
              </w:rPr>
              <w:t>B+</w:t>
            </w:r>
          </w:p>
        </w:tc>
        <w:tc>
          <w:tcPr>
            <w:tcW w:type="dxa" w:w="741"/>
          </w:tcPr>
          <w:p>
            <w:pPr>
              <w:spacing w:line="240" w:lineRule="auto"/>
            </w:pPr>
            <w:r>
              <w:rPr>
                <w:rFonts w:ascii="Sylfaen" w:hAnsi="Sylfaen" w:cs="Sylfaen"/>
                <w:b/>
                <w:sz w:val="22"/>
                <w:lang w:val="en-US"/>
              </w:rPr>
              <w:t>C</w:t>
            </w:r>
          </w:p>
        </w:tc>
        <w:tc>
          <w:tcPr>
            <w:tcW w:type="dxa" w:w="1111"/>
          </w:tcPr>
          <w:p>
            <w:pPr>
              <w:spacing w:line="240" w:lineRule="auto"/>
            </w:pPr>
            <w:r>
              <w:rPr>
                <w:rFonts w:ascii="Sylfaen" w:hAnsi="Sylfaen" w:cs="Sylfaen"/>
                <w:b/>
                <w:sz w:val="22"/>
                <w:lang w:val="en-US"/>
              </w:rPr>
              <w:t>C − B+</w:t>
            </w:r>
          </w:p>
        </w:tc>
      </w:tr>
      <w:tr>
        <w:tc>
          <w:tcPr>
            <w:tcW w:type="dxa" w:w="4260"/>
          </w:tcPr>
          <w:p>
            <w:pPr>
              <w:spacing w:line="240" w:lineRule="auto"/>
            </w:pPr>
            <w:r>
              <w:rPr>
                <w:rFonts w:ascii="Sylfaen" w:hAnsi="Sylfaen" w:cs="Sylfaen"/>
                <w:b w:val="0"/>
                <w:sz w:val="22"/>
                <w:lang w:val="en-US"/>
              </w:rPr>
              <w:t>Social presence</w:t>
            </w:r>
          </w:p>
        </w:tc>
        <w:tc>
          <w:tcPr>
            <w:tcW w:type="dxa" w:w="741"/>
          </w:tcPr>
          <w:p>
            <w:pPr>
              <w:spacing w:line="240" w:lineRule="auto"/>
            </w:pPr>
            <w:r>
              <w:rPr>
                <w:rFonts w:ascii="Sylfaen" w:hAnsi="Sylfaen" w:cs="Sylfaen"/>
                <w:b w:val="0"/>
                <w:sz w:val="22"/>
              </w:rPr>
              <w:t>6.00</w:t>
            </w:r>
          </w:p>
        </w:tc>
        <w:tc>
          <w:tcPr>
            <w:tcW w:type="dxa" w:w="741"/>
          </w:tcPr>
          <w:p>
            <w:pPr>
              <w:spacing w:line="240" w:lineRule="auto"/>
            </w:pPr>
            <w:r>
              <w:rPr>
                <w:rFonts w:ascii="Sylfaen" w:hAnsi="Sylfaen" w:cs="Sylfaen"/>
                <w:b w:val="0"/>
                <w:sz w:val="22"/>
              </w:rPr>
              <w:t>6.00</w:t>
            </w:r>
          </w:p>
        </w:tc>
        <w:tc>
          <w:tcPr>
            <w:tcW w:type="dxa" w:w="741"/>
          </w:tcPr>
          <w:p>
            <w:pPr>
              <w:spacing w:line="240" w:lineRule="auto"/>
            </w:pPr>
            <w:r>
              <w:rPr>
                <w:rFonts w:ascii="Sylfaen" w:hAnsi="Sylfaen" w:cs="Sylfaen"/>
                <w:b w:val="0"/>
                <w:sz w:val="22"/>
              </w:rPr>
              <w:t>6.00</w:t>
            </w:r>
          </w:p>
        </w:tc>
        <w:tc>
          <w:tcPr>
            <w:tcW w:type="dxa" w:w="741"/>
          </w:tcPr>
          <w:p>
            <w:pPr>
              <w:spacing w:line="240" w:lineRule="auto"/>
            </w:pPr>
            <w:r>
              <w:rPr>
                <w:rFonts w:ascii="Sylfaen" w:hAnsi="Sylfaen" w:cs="Sylfaen"/>
                <w:b w:val="0"/>
                <w:sz w:val="22"/>
              </w:rPr>
              <w:t>6.00</w:t>
            </w:r>
          </w:p>
        </w:tc>
        <w:tc>
          <w:tcPr>
            <w:tcW w:type="dxa" w:w="1111"/>
          </w:tcPr>
          <w:p>
            <w:pPr>
              <w:spacing w:line="240" w:lineRule="auto"/>
            </w:pPr>
            <w:r>
              <w:rPr>
                <w:rFonts w:ascii="Sylfaen" w:hAnsi="Sylfaen" w:cs="Sylfaen"/>
                <w:b w:val="0"/>
                <w:sz w:val="22"/>
              </w:rPr>
              <w:t>0.00</w:t>
            </w:r>
          </w:p>
        </w:tc>
      </w:tr>
      <w:tr>
        <w:tc>
          <w:tcPr>
            <w:tcW w:type="dxa" w:w="4260"/>
          </w:tcPr>
          <w:p>
            <w:pPr>
              <w:spacing w:line="240" w:lineRule="auto"/>
            </w:pPr>
            <w:r>
              <w:rPr>
                <w:rFonts w:ascii="Sylfaen" w:hAnsi="Sylfaen" w:cs="Sylfaen"/>
                <w:b w:val="0"/>
                <w:sz w:val="22"/>
                <w:lang w:val="en-US"/>
              </w:rPr>
              <w:t>User–agent alliance</w:t>
            </w:r>
          </w:p>
        </w:tc>
        <w:tc>
          <w:tcPr>
            <w:tcW w:type="dxa" w:w="741"/>
          </w:tcPr>
          <w:p>
            <w:pPr>
              <w:spacing w:line="240" w:lineRule="auto"/>
            </w:pPr>
            <w:r>
              <w:rPr>
                <w:rFonts w:ascii="Sylfaen" w:hAnsi="Sylfaen" w:cs="Sylfaen"/>
                <w:b w:val="0"/>
                <w:sz w:val="22"/>
              </w:rPr>
              <w:t>5.33</w:t>
            </w:r>
          </w:p>
        </w:tc>
        <w:tc>
          <w:tcPr>
            <w:tcW w:type="dxa" w:w="741"/>
          </w:tcPr>
          <w:p>
            <w:pPr>
              <w:spacing w:line="240" w:lineRule="auto"/>
            </w:pPr>
            <w:r>
              <w:rPr>
                <w:rFonts w:ascii="Sylfaen" w:hAnsi="Sylfaen" w:cs="Sylfaen"/>
                <w:b w:val="0"/>
                <w:sz w:val="22"/>
              </w:rPr>
              <w:t>6.00</w:t>
            </w:r>
          </w:p>
        </w:tc>
        <w:tc>
          <w:tcPr>
            <w:tcW w:type="dxa" w:w="741"/>
          </w:tcPr>
          <w:p>
            <w:pPr>
              <w:spacing w:line="240" w:lineRule="auto"/>
            </w:pPr>
            <w:r>
              <w:rPr>
                <w:rFonts w:ascii="Sylfaen" w:hAnsi="Sylfaen" w:cs="Sylfaen"/>
                <w:b w:val="0"/>
                <w:sz w:val="22"/>
              </w:rPr>
              <w:t>6.33</w:t>
            </w:r>
          </w:p>
        </w:tc>
        <w:tc>
          <w:tcPr>
            <w:tcW w:type="dxa" w:w="741"/>
          </w:tcPr>
          <w:p>
            <w:pPr>
              <w:spacing w:line="240" w:lineRule="auto"/>
            </w:pPr>
            <w:r>
              <w:rPr>
                <w:rFonts w:ascii="Sylfaen" w:hAnsi="Sylfaen" w:cs="Sylfaen"/>
                <w:b w:val="0"/>
                <w:sz w:val="22"/>
              </w:rPr>
              <w:t>6.00</w:t>
            </w:r>
          </w:p>
        </w:tc>
        <w:tc>
          <w:tcPr>
            <w:tcW w:type="dxa" w:w="1111"/>
          </w:tcPr>
          <w:p>
            <w:pPr>
              <w:spacing w:line="240" w:lineRule="auto"/>
            </w:pPr>
            <w:r>
              <w:rPr>
                <w:rFonts w:ascii="Sylfaen" w:hAnsi="Sylfaen" w:cs="Sylfaen"/>
                <w:b w:val="0"/>
                <w:sz w:val="22"/>
              </w:rPr>
              <w:t>−0.33</w:t>
            </w:r>
          </w:p>
        </w:tc>
      </w:tr>
      <w:tr>
        <w:tc>
          <w:tcPr>
            <w:tcW w:type="dxa" w:w="4260"/>
          </w:tcPr>
          <w:p>
            <w:pPr>
              <w:spacing w:line="240" w:lineRule="auto"/>
            </w:pPr>
            <w:r>
              <w:rPr>
                <w:rFonts w:ascii="Sylfaen" w:hAnsi="Sylfaen" w:cs="Sylfaen"/>
                <w:b w:val="0"/>
                <w:sz w:val="22"/>
                <w:lang w:val="en-US"/>
              </w:rPr>
              <w:t>Perceived humanlikeness</w:t>
            </w:r>
          </w:p>
        </w:tc>
        <w:tc>
          <w:tcPr>
            <w:tcW w:type="dxa" w:w="741"/>
          </w:tcPr>
          <w:p>
            <w:pPr>
              <w:spacing w:line="240" w:lineRule="auto"/>
            </w:pPr>
            <w:r>
              <w:rPr>
                <w:rFonts w:ascii="Sylfaen" w:hAnsi="Sylfaen" w:cs="Sylfaen"/>
                <w:b w:val="0"/>
                <w:sz w:val="22"/>
              </w:rPr>
              <w:t>5.33</w:t>
            </w:r>
          </w:p>
        </w:tc>
        <w:tc>
          <w:tcPr>
            <w:tcW w:type="dxa" w:w="741"/>
          </w:tcPr>
          <w:p>
            <w:pPr>
              <w:spacing w:line="240" w:lineRule="auto"/>
            </w:pPr>
            <w:r>
              <w:rPr>
                <w:rFonts w:ascii="Sylfaen" w:hAnsi="Sylfaen" w:cs="Sylfaen"/>
                <w:b w:val="0"/>
                <w:sz w:val="22"/>
              </w:rPr>
              <w:t>5.00</w:t>
            </w:r>
          </w:p>
        </w:tc>
        <w:tc>
          <w:tcPr>
            <w:tcW w:type="dxa" w:w="741"/>
          </w:tcPr>
          <w:p>
            <w:pPr>
              <w:spacing w:line="240" w:lineRule="auto"/>
            </w:pPr>
            <w:r>
              <w:rPr>
                <w:rFonts w:ascii="Sylfaen" w:hAnsi="Sylfaen" w:cs="Sylfaen"/>
                <w:b w:val="0"/>
                <w:sz w:val="22"/>
              </w:rPr>
              <w:t>5.33</w:t>
            </w:r>
          </w:p>
        </w:tc>
        <w:tc>
          <w:tcPr>
            <w:tcW w:type="dxa" w:w="741"/>
          </w:tcPr>
          <w:p>
            <w:pPr>
              <w:spacing w:line="240" w:lineRule="auto"/>
            </w:pPr>
            <w:r>
              <w:rPr>
                <w:rFonts w:ascii="Sylfaen" w:hAnsi="Sylfaen" w:cs="Sylfaen"/>
                <w:b w:val="0"/>
                <w:sz w:val="22"/>
              </w:rPr>
              <w:t>5.00</w:t>
            </w:r>
          </w:p>
        </w:tc>
        <w:tc>
          <w:tcPr>
            <w:tcW w:type="dxa" w:w="1111"/>
          </w:tcPr>
          <w:p>
            <w:pPr>
              <w:spacing w:line="240" w:lineRule="auto"/>
            </w:pPr>
            <w:r>
              <w:rPr>
                <w:rFonts w:ascii="Sylfaen" w:hAnsi="Sylfaen" w:cs="Sylfaen"/>
                <w:b w:val="0"/>
                <w:sz w:val="22"/>
              </w:rPr>
              <w:t>−0.33</w:t>
            </w:r>
          </w:p>
        </w:tc>
      </w:tr>
      <w:tr>
        <w:tc>
          <w:tcPr>
            <w:tcW w:type="dxa" w:w="4260"/>
          </w:tcPr>
          <w:p>
            <w:pPr>
              <w:spacing w:line="240" w:lineRule="auto"/>
            </w:pPr>
            <w:r>
              <w:rPr>
                <w:rFonts w:ascii="Sylfaen" w:hAnsi="Sylfaen" w:cs="Sylfaen"/>
                <w:b w:val="0"/>
                <w:sz w:val="22"/>
                <w:lang w:val="en-US"/>
              </w:rPr>
              <w:t>Perceived intelligence</w:t>
            </w:r>
          </w:p>
        </w:tc>
        <w:tc>
          <w:tcPr>
            <w:tcW w:type="dxa" w:w="741"/>
          </w:tcPr>
          <w:p>
            <w:pPr>
              <w:spacing w:line="240" w:lineRule="auto"/>
            </w:pPr>
            <w:r>
              <w:rPr>
                <w:rFonts w:ascii="Sylfaen" w:hAnsi="Sylfaen" w:cs="Sylfaen"/>
                <w:b w:val="0"/>
                <w:sz w:val="22"/>
              </w:rPr>
              <w:t>5.00</w:t>
            </w:r>
          </w:p>
        </w:tc>
        <w:tc>
          <w:tcPr>
            <w:tcW w:type="dxa" w:w="741"/>
          </w:tcPr>
          <w:p>
            <w:pPr>
              <w:spacing w:line="240" w:lineRule="auto"/>
            </w:pPr>
            <w:r>
              <w:rPr>
                <w:rFonts w:ascii="Sylfaen" w:hAnsi="Sylfaen" w:cs="Sylfaen"/>
                <w:b w:val="0"/>
                <w:sz w:val="22"/>
              </w:rPr>
              <w:t>6.00</w:t>
            </w:r>
          </w:p>
        </w:tc>
        <w:tc>
          <w:tcPr>
            <w:tcW w:type="dxa" w:w="741"/>
          </w:tcPr>
          <w:p>
            <w:pPr>
              <w:spacing w:line="240" w:lineRule="auto"/>
            </w:pPr>
            <w:r>
              <w:rPr>
                <w:rFonts w:ascii="Sylfaen" w:hAnsi="Sylfaen" w:cs="Sylfaen"/>
                <w:b w:val="0"/>
                <w:sz w:val="22"/>
              </w:rPr>
              <w:t>6.00</w:t>
            </w:r>
          </w:p>
        </w:tc>
        <w:tc>
          <w:tcPr>
            <w:tcW w:type="dxa" w:w="741"/>
          </w:tcPr>
          <w:p>
            <w:pPr>
              <w:spacing w:line="240" w:lineRule="auto"/>
            </w:pPr>
            <w:r>
              <w:rPr>
                <w:rFonts w:ascii="Sylfaen" w:hAnsi="Sylfaen" w:cs="Sylfaen"/>
                <w:b w:val="0"/>
                <w:sz w:val="22"/>
              </w:rPr>
              <w:t>5.67</w:t>
            </w:r>
          </w:p>
        </w:tc>
        <w:tc>
          <w:tcPr>
            <w:tcW w:type="dxa" w:w="1111"/>
          </w:tcPr>
          <w:p>
            <w:pPr>
              <w:spacing w:line="240" w:lineRule="auto"/>
            </w:pPr>
            <w:r>
              <w:rPr>
                <w:rFonts w:ascii="Sylfaen" w:hAnsi="Sylfaen" w:cs="Sylfaen"/>
                <w:b w:val="0"/>
                <w:sz w:val="22"/>
              </w:rPr>
              <w:t>−0.33</w:t>
            </w:r>
          </w:p>
        </w:tc>
      </w:tr>
      <w:tr>
        <w:tc>
          <w:tcPr>
            <w:tcW w:type="dxa" w:w="4260"/>
          </w:tcPr>
          <w:p>
            <w:pPr>
              <w:spacing w:line="240" w:lineRule="auto"/>
            </w:pPr>
            <w:r>
              <w:rPr>
                <w:rFonts w:ascii="Sylfaen" w:hAnsi="Sylfaen" w:cs="Sylfaen"/>
                <w:b w:val="0"/>
                <w:sz w:val="22"/>
                <w:lang w:val="en-US"/>
              </w:rPr>
              <w:t>Privacy comfort</w:t>
            </w:r>
          </w:p>
        </w:tc>
        <w:tc>
          <w:tcPr>
            <w:tcW w:type="dxa" w:w="741"/>
          </w:tcPr>
          <w:p>
            <w:pPr>
              <w:spacing w:line="240" w:lineRule="auto"/>
            </w:pPr>
            <w:r>
              <w:rPr>
                <w:rFonts w:ascii="Sylfaen" w:hAnsi="Sylfaen" w:cs="Sylfaen"/>
                <w:b w:val="0"/>
                <w:sz w:val="22"/>
              </w:rPr>
              <w:t>5.33</w:t>
            </w:r>
          </w:p>
        </w:tc>
        <w:tc>
          <w:tcPr>
            <w:tcW w:type="dxa" w:w="741"/>
          </w:tcPr>
          <w:p>
            <w:pPr>
              <w:spacing w:line="240" w:lineRule="auto"/>
            </w:pPr>
            <w:r>
              <w:rPr>
                <w:rFonts w:ascii="Sylfaen" w:hAnsi="Sylfaen" w:cs="Sylfaen"/>
                <w:b w:val="0"/>
                <w:sz w:val="22"/>
              </w:rPr>
              <w:t>7.00</w:t>
            </w:r>
          </w:p>
        </w:tc>
        <w:tc>
          <w:tcPr>
            <w:tcW w:type="dxa" w:w="741"/>
          </w:tcPr>
          <w:p>
            <w:pPr>
              <w:spacing w:line="240" w:lineRule="auto"/>
            </w:pPr>
            <w:r>
              <w:rPr>
                <w:rFonts w:ascii="Sylfaen" w:hAnsi="Sylfaen" w:cs="Sylfaen"/>
                <w:b w:val="0"/>
                <w:sz w:val="22"/>
              </w:rPr>
              <w:t>7.00</w:t>
            </w:r>
          </w:p>
        </w:tc>
        <w:tc>
          <w:tcPr>
            <w:tcW w:type="dxa" w:w="741"/>
          </w:tcPr>
          <w:p>
            <w:pPr>
              <w:spacing w:line="240" w:lineRule="auto"/>
            </w:pPr>
            <w:r>
              <w:rPr>
                <w:rFonts w:ascii="Sylfaen" w:hAnsi="Sylfaen" w:cs="Sylfaen"/>
                <w:b w:val="0"/>
                <w:sz w:val="22"/>
              </w:rPr>
              <w:t>5.67</w:t>
            </w:r>
          </w:p>
        </w:tc>
        <w:tc>
          <w:tcPr>
            <w:tcW w:type="dxa" w:w="1111"/>
          </w:tcPr>
          <w:p>
            <w:pPr>
              <w:spacing w:line="240" w:lineRule="auto"/>
            </w:pPr>
            <w:r>
              <w:rPr>
                <w:rFonts w:ascii="Sylfaen" w:hAnsi="Sylfaen" w:cs="Sylfaen"/>
                <w:b w:val="0"/>
                <w:sz w:val="22"/>
              </w:rPr>
              <w:t>−1.33</w:t>
            </w:r>
          </w:p>
        </w:tc>
      </w:tr>
    </w:tbl>
    <w:p>
      <w:pPr/>
    </w:p>
    <w:p>
      <w:pPr>
        <w:jc w:val="both"/>
      </w:pPr>
      <w:r>
        <w:rPr>
          <w:rFonts w:ascii="Sylfaen" w:hAnsi="Sylfaen" w:cs="Sylfaen"/>
          <w:b w:val="0"/>
          <w:sz w:val="24"/>
          <w:lang w:val="en-US"/>
        </w:rPr>
        <w:t>Two findings follow, and the second is the more important.</w:t>
      </w:r>
    </w:p>
    <w:p>
      <w:pPr>
        <w:jc w:val="both"/>
      </w:pPr>
      <w:r>
        <w:rPr>
          <w:rFonts w:ascii="Sylfaen" w:hAnsi="Sylfaen" w:cs="Sylfaen"/>
          <w:b w:val="0"/>
          <w:sz w:val="24"/>
          <w:lang w:val="en-US"/>
        </w:rPr>
        <w:t>First, Profile C does not exceed the B+ curation control on any construct (every C − B+ difference is zero or negative in this small sample). This is precisely what the a-priori analysis predicted (F18): once a clean, curated static memory (B+) is in place, the additional human-memory dynamics of C — decay, salience, consolidation — add no detectable perceptual margin at this scale and horizon. The proof-of-concept thus corroborates, in simulation, the thesis's own claim that the C-versus-B+ effect is small; it does not, and cannot, establish that it is zero in humans.</w:t>
      </w:r>
    </w:p>
    <w:p>
      <w:pPr>
        <w:jc w:val="both"/>
      </w:pPr>
      <w:r>
        <w:rPr>
          <w:rFonts w:ascii="Sylfaen" w:hAnsi="Sylfaen" w:cs="Sylfaen"/>
          <w:b w:val="0"/>
          <w:sz w:val="24"/>
          <w:lang w:val="en-US"/>
        </w:rPr>
        <w:t>Second, and unexpectedly, the privacy-comfort result runs opposite to the established human finding. In humans, verbatim recall of a user's exact words heightens privacy concern relative to paraphrase (the Cox result [11], the empirical anchor for the whole fuzzy-trace argument of 2.2). Here the simulated judge rated the verbatim condition B and the curated B+ highest on privacy comfort (7.00) and the gist-based, forgetting Profile C lowest (5.67) — the reverse of the human effect. The judge, an LLM without privacy stakes, appears to read total, accurate recall as simple competence ("it remembered well") and C's deliberate forgetting as a deficiency, exactly the surface-legibility reading that 3.5(b) warned an LLM judge would substitute for felt relationship.</w:t>
      </w:r>
    </w:p>
    <w:p>
      <w:pPr>
        <w:pStyle w:val="Heading2"/>
        <w:numPr>
          <w:numId w:val="0"/>
        </w:numPr>
        <w:spacing w:before="160" w:after="80"/>
        <w:jc w:val="center"/>
      </w:pPr>
      <w:r>
        <w:rPr>
          <w:rFonts w:ascii="Sylfaen" w:hAnsi="Sylfaen" w:cs="Sylfaen"/>
          <w:b/>
          <w:color w:val="000000"/>
          <w:sz w:val="28"/>
          <w:lang w:val="en-US"/>
        </w:rPr>
        <w:t>4.4 Discussion</w:t>
      </w:r>
    </w:p>
    <w:p>
      <w:pPr>
        <w:jc w:val="both"/>
      </w:pPr>
      <w:r>
        <w:rPr>
          <w:rFonts w:ascii="Sylfaen" w:hAnsi="Sylfaen" w:cs="Sylfaen"/>
          <w:b w:val="0"/>
          <w:sz w:val="24"/>
          <w:lang w:val="en-US"/>
        </w:rPr>
        <w:t>The evaluation supports a clear, bounded set of conclusions. On the technical side, the architecture is implementable and its mechanisms behave as designed: memory is necessary for cross-session recall; Profile C alone forgets gracefully and selectively, keeping what matters and letting trivia fade; only C consolidates episodes into durable semantic knowledge; and it does so at a leaner context footprint and at latency parity. The mechanisms are not only present but distinguishable in observable behavior — the sanity-check the technical track was designed to provide.</w:t>
      </w:r>
    </w:p>
    <w:p>
      <w:pPr>
        <w:jc w:val="both"/>
      </w:pPr>
      <w:r>
        <w:rPr>
          <w:rFonts w:ascii="Sylfaen" w:hAnsi="Sylfaen" w:cs="Sylfaen"/>
          <w:b w:val="0"/>
          <w:sz w:val="24"/>
          <w:lang w:val="en-US"/>
        </w:rPr>
        <w:t>On the perceptual side, the result is a genuine dissociation. The condition that is behaviorally most "human" — forgetting trivia, generalizing about the user — is not the condition the simulated judge preferred; the curated static control (B+) matched or edged it everywhere. Read together with the a-priori power analysis (F18), this reinforces the thesis's central methodological position: the perceptual value that the literature attributes to "human-like memory" may be carried largely by clean curation and mere presence, with the biomimetic dynamics contributing a margin too small to detect at feasible scale. The B+ control was built precisely to make this distinction visible, and here it does.</w:t>
      </w:r>
    </w:p>
    <w:p>
      <w:pPr>
        <w:jc w:val="both"/>
      </w:pPr>
      <w:r>
        <w:rPr>
          <w:rFonts w:ascii="Sylfaen" w:hAnsi="Sylfaen" w:cs="Sylfaen"/>
          <w:b w:val="0"/>
          <w:sz w:val="24"/>
          <w:lang w:val="en-US"/>
        </w:rPr>
        <w:t>The privacy-comfort inversion is the single most consequential result of the evaluation, because it is a demonstration by counterexample of the limits of simulated evaluation. On the one construct where a strong, replicated human effect exists — verbatim recall feeling intrusive — the LLM judge produced the opposite ordering. This is not a flaw to be tuned away; it is direct evidence that an LLM judge cannot stand in for human perception on constructs that depend on human stakes such as privacy and trust. It follows that the perceptual claims of this thesis genuinely cannot be settled in simulation, and that the human-subject protocol of 3.5(c) is not a discretionary extension but a methodological necessity. The proof-of-concept, in other words, earns the deferral of the human study by showing empirically why it is required.</w:t>
      </w:r>
    </w:p>
    <w:p>
      <w:pPr>
        <w:pStyle w:val="Heading2"/>
        <w:numPr>
          <w:numId w:val="0"/>
        </w:numPr>
        <w:spacing w:before="160" w:after="80"/>
        <w:jc w:val="center"/>
      </w:pPr>
      <w:r>
        <w:rPr>
          <w:rFonts w:ascii="Sylfaen" w:hAnsi="Sylfaen" w:cs="Sylfaen"/>
          <w:b/>
          <w:color w:val="000000"/>
          <w:sz w:val="28"/>
          <w:lang w:val="en-US"/>
        </w:rPr>
        <w:t>4.5 Limitations of the evaluation</w:t>
      </w:r>
    </w:p>
    <w:p>
      <w:pPr>
        <w:jc w:val="both"/>
      </w:pPr>
      <w:r>
        <w:rPr>
          <w:rFonts w:ascii="Sylfaen" w:hAnsi="Sylfaen" w:cs="Sylfaen"/>
          <w:b w:val="0"/>
          <w:sz w:val="24"/>
          <w:lang w:val="en-US"/>
        </w:rPr>
        <w:t>The evaluation's limits are substantial and are stated plainly. The simulated users and the LLM judge share the architecture of the system under test and lack the stakes, temporal depth, and privacy sensitivities of real users — the privacy inversion above is the sharpest illustration. The sample is small (three personas, four sessions each, a single judge pass), so the perceptual numbers are illustrative rather than estimates of any population quantity, and no significance is claimed. Time is compressed to session units, so the decay and consolidation dynamics are exercised over a handful of gaps rather than the weeks the design envisages; the cold-start dilution that F18 identifies is, if anything, understated here. The language model driving every role (gpt-4o-mini) is not the eventual voice brain, and several mechanisms are implemented at reduced fidelity or deferred (Table 4.1). Finally, the harness operates over text transcripts, not the live voice pipeline, so it demonstrates the memory process rather than the fielded interlocutor. Each limitation is a concrete task for the full build and the human study that follow from this work.</w:t>
      </w:r>
    </w:p>
    <w:p>
      <w:pPr>
        <w:pStyle w:val="Heading1"/>
        <w:pageBreakBefore/>
        <w:numPr>
          <w:numId w:val="0"/>
        </w:numPr>
        <w:spacing w:before="360" w:after="80"/>
        <w:jc w:val="center"/>
      </w:pPr>
      <w:r>
        <w:rPr>
          <w:rFonts w:ascii="Sylfaen" w:hAnsi="Sylfaen" w:cs="Sylfaen"/>
          <w:b/>
          <w:color w:val="000000"/>
          <w:sz w:val="28"/>
          <w:lang w:val="en-US"/>
        </w:rPr>
        <w:t>5. Conclusion</w:t>
      </w:r>
    </w:p>
    <w:p>
      <w:pPr>
        <w:jc w:val="both"/>
      </w:pPr>
      <w:r>
        <w:rPr>
          <w:rFonts w:ascii="Sylfaen" w:hAnsi="Sylfaen" w:cs="Sylfaen"/>
          <w:b w:val="0"/>
          <w:sz w:val="24"/>
          <w:lang w:val="en-US"/>
        </w:rPr>
        <w:t>This thesis set out to determine whether long-term memory modeled on cognitive theories of human memory makes a voice conversational system feel less like an assistant and more like an interlocutor. Under a constraint that precluded a full human-subject study, the work delivered the parts of that programme that do not depend on fielded human data — a cognitively-grounded memory architecture, a curation-controlled evaluation methodology, and a working proof-of-concept — and specified the human evaluation as rigorous future work. This concluding chapter summarizes the contributions, the findings, and the road ahead.</w:t>
      </w:r>
    </w:p>
    <w:p>
      <w:pPr>
        <w:pStyle w:val="Heading2"/>
        <w:numPr>
          <w:numId w:val="0"/>
        </w:numPr>
        <w:spacing w:before="160" w:after="80"/>
        <w:jc w:val="center"/>
      </w:pPr>
      <w:r>
        <w:rPr>
          <w:rFonts w:ascii="Sylfaen" w:hAnsi="Sylfaen" w:cs="Sylfaen"/>
          <w:b/>
          <w:color w:val="000000"/>
          <w:sz w:val="28"/>
          <w:lang w:val="en-US"/>
        </w:rPr>
        <w:t>5.1 Summary of contributions</w:t>
      </w:r>
    </w:p>
    <w:p>
      <w:pPr>
        <w:jc w:val="both"/>
      </w:pPr>
      <w:r>
        <w:rPr>
          <w:rFonts w:ascii="Sylfaen" w:hAnsi="Sylfaen" w:cs="Sylfaen"/>
          <w:b w:val="0"/>
          <w:sz w:val="24"/>
          <w:lang w:val="en-US"/>
        </w:rPr>
        <w:t>The thesis makes three coordinated contributions. First, it presents Profile C, a single memory engine that composes five cognitive-memory theories — the multi-store model, the Ebbinghaus forgetting curve, Tulving's episodic–semantic distinction, fuzzy-trace theory, and the complementary learning systems framework — into one coherent lifecycle of salience-gated encoding, gist-and-anchor representation, lazy decay with reinforcement, offline episodic-to-semantic consolidation, and gist-first retrieval, with each stage tied to an observable behavioral signature rather than to a claim of cognitive fidelity. Second, and methodologically most significant, it introduces the B+ active control: a curated-static memory condition that receives the same offline gisting and cleanup as Profile C but none of its human-memory dynamics, thereby isolating the effect of the dynamics from the generic legibility gains of language-model curation — the confound that would otherwise make any positive result for a human-like memory uninterpretable. Third, it delivers a proof-of-concept implementation of all four conditions and a two-track technical and simulated evaluation that demonstrates the architecture's mechanisms and probes their perceptual consequences.</w:t>
      </w:r>
    </w:p>
    <w:p>
      <w:pPr>
        <w:pStyle w:val="Heading2"/>
        <w:numPr>
          <w:numId w:val="0"/>
        </w:numPr>
        <w:spacing w:before="160" w:after="80"/>
        <w:jc w:val="center"/>
      </w:pPr>
      <w:r>
        <w:rPr>
          <w:rFonts w:ascii="Sylfaen" w:hAnsi="Sylfaen" w:cs="Sylfaen"/>
          <w:b/>
          <w:color w:val="000000"/>
          <w:sz w:val="28"/>
          <w:lang w:val="en-US"/>
        </w:rPr>
        <w:t>5.2 Summary of findings</w:t>
      </w:r>
    </w:p>
    <w:p>
      <w:pPr>
        <w:jc w:val="both"/>
      </w:pPr>
      <w:r>
        <w:rPr>
          <w:rFonts w:ascii="Sylfaen" w:hAnsi="Sylfaen" w:cs="Sylfaen"/>
          <w:b w:val="0"/>
          <w:sz w:val="24"/>
          <w:lang w:val="en-US"/>
        </w:rPr>
        <w:t>The proof-of-concept established that the architecture is implementable and that its mechanisms behave as designed and are distinguishable in observable behavior: memory is necessary for cross-session recall; Profile C alone forgets gracefully and selectively — retaining salient facts while letting trivia fade — and alone consolidates recurring episodes into durable semantic knowledge, at a leaner context footprint and at latency parity with the baselines. In the simulated-perception track, Profile C did not exceed the B+ curation control on any construct, corroborating in simulation the a-priori analysis that the marginal perceptual contribution of human-memory dynamics over clean curation is small. Most consequentially, on the one construct with a strong replicated human effect — the intrusiveness of verbatim recall — the simulated judge produced the opposite ordering to the human literature, demonstrating by counterexample that an LLM judge cannot substitute for human perception on stakes-dependent constructs such as privacy and trust. The evaluation therefore does not merely defer the human study; it shows empirically why that study is necessary.</w:t>
      </w:r>
    </w:p>
    <w:p>
      <w:pPr>
        <w:pStyle w:val="Heading2"/>
        <w:numPr>
          <w:numId w:val="0"/>
        </w:numPr>
        <w:spacing w:before="160" w:after="80"/>
        <w:jc w:val="center"/>
      </w:pPr>
      <w:r>
        <w:rPr>
          <w:rFonts w:ascii="Sylfaen" w:hAnsi="Sylfaen" w:cs="Sylfaen"/>
          <w:b/>
          <w:color w:val="000000"/>
          <w:sz w:val="28"/>
          <w:lang w:val="en-US"/>
        </w:rPr>
        <w:t>5.3 Future work</w:t>
      </w:r>
    </w:p>
    <w:p>
      <w:pPr>
        <w:jc w:val="both"/>
      </w:pPr>
      <w:r>
        <w:rPr>
          <w:rFonts w:ascii="Sylfaen" w:hAnsi="Sylfaen" w:cs="Sylfaen"/>
          <w:b w:val="0"/>
          <w:sz w:val="24"/>
          <w:lang w:val="en-US"/>
        </w:rPr>
        <w:t>Three lines of work follow directly. The first is the full system build: integrating Profile C into the live voice pipeline, resolving the deployability constraints identified in the platform audit (participant isolation, packaging, a single chosen conversational brain), and implementing the mechanisms currently at reduced fidelity — Bayesian-surprise event segmentation, associative pre-expansion, and the deterministic exact-recall trigger. The second is the human-subject study specified in 3.5(c): a pre-registered, within-subject comparison of B, B+, and C at the field's normative sample size, powered for the comparisons where power is attainable and treating the central C-versus-B+ contrast as an estimation target, with warm attributable forgetting, late-window analysis, event-sensitive and behavioral measures, and coded interviews as the design's answer to a likely small or null primary effect. The third is theoretical extension: incorporating the memory phenomena the present architecture deliberately omits — interference as a forgetting mechanism, the reconstructive and schema-driven distortion that fuzzy-trace and complementary learning systems most distinctively predict, and richer temporal-order and source memory — each of which is both a fidelity gap and a concrete hypothesis about what would make an interlocutor feel more human. Taken together, these complete the evolution from assistant to interlocutor that this thesis has designed, built in miniature, and shown how to measure.</w:t>
      </w:r>
    </w:p>
    <w:p>
      <w:pPr>
        <w:pStyle w:val="Heading1"/>
        <w:pageBreakBefore/>
        <w:numPr>
          <w:numId w:val="0"/>
        </w:numPr>
        <w:spacing w:before="360" w:after="80"/>
        <w:jc w:val="center"/>
      </w:pPr>
      <w:r>
        <w:rPr>
          <w:rFonts w:ascii="Sylfaen" w:hAnsi="Sylfaen" w:cs="Sylfaen"/>
          <w:b/>
          <w:color w:val="000000"/>
          <w:sz w:val="28"/>
          <w:lang w:val="en-US"/>
        </w:rPr>
        <w:t>Bibliography</w:t>
      </w:r>
    </w:p>
    <w:p>
      <w:pPr>
        <w:spacing w:line="240" w:lineRule="auto"/>
      </w:pPr>
      <w:r>
        <w:rPr>
          <w:rFonts w:ascii="Sylfaen" w:hAnsi="Sylfaen" w:cs="Sylfaen"/>
          <w:b w:val="0"/>
          <w:sz w:val="22"/>
          <w:lang w:val="en-US"/>
        </w:rPr>
        <w:t xml:space="preserve">[1] Maharana A., Lee D.-H., Tulyakov S., Bansal M., Barbieri F., Fang Y. Evaluating Very Long-Term Conversational Memory of LLM Agents. ACL 2024 (Long Papers). </w:t>
      </w:r>
      <w:hyperlink r:id="rId12">
        <w:r>
          <w:rPr>
            <w:rStyle w:val="Hyperlink"/>
            <w:rFonts w:ascii="Sylfaen" w:hAnsi="Sylfaen" w:cs="Sylfaen"/>
            <w:color w:val="467886"/>
            <w:sz w:val="22"/>
            <w:u w:val="single"/>
            <w:lang w:val="en-US"/>
          </w:rPr>
          <w:t xml:space="preserve">https://arxiv.org/abs/2402.17753</w:t>
        </w:r>
      </w:hyperlink>
      <w:r>
        <w:rPr>
          <w:rFonts w:ascii="Sylfaen" w:hAnsi="Sylfaen" w:cs="Sylfaen"/>
          <w:sz w:val="22"/>
          <w:lang w:val="en-US"/>
        </w:rPr>
        <w:t xml:space="preserve"> - last verified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[2] Wu D., Wang H., Yu W., Zhang Y., Chang K.-W., Yu D. LongMemEval: Benchmarking Chat Assistants on Long-Term Interactive Memory. ICLR 2025. </w:t>
      </w:r>
      <w:hyperlink r:id="rId13">
        <w:r>
          <w:rPr>
            <w:rStyle w:val="Hyperlink"/>
            <w:rFonts w:ascii="Sylfaen" w:hAnsi="Sylfaen" w:cs="Sylfaen"/>
            <w:color w:val="467886"/>
            <w:sz w:val="22"/>
            <w:u w:val="single"/>
            <w:lang w:val="en-US"/>
          </w:rPr>
          <w:t xml:space="preserve">https://arxiv.org/abs/2410.10813</w:t>
        </w:r>
      </w:hyperlink>
      <w:r>
        <w:rPr>
          <w:rFonts w:ascii="Sylfaen" w:hAnsi="Sylfaen" w:cs="Sylfaen"/>
          <w:sz w:val="22"/>
          <w:lang w:val="en-US"/>
        </w:rPr>
        <w:t xml:space="preserve"> - last verified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[3] Ma Z., Mei Y., Su Z. Understanding the Benefits and Challenges of Using Large Language Model-based Conversational Agents for Mental Well-being Support. AMIA Annual Symposium Proceedings 2023, pp. 1105–1114. </w:t>
      </w:r>
      <w:hyperlink r:id="rId14">
        <w:r>
          <w:rPr>
            <w:rStyle w:val="Hyperlink"/>
            <w:rFonts w:ascii="Sylfaen" w:hAnsi="Sylfaen" w:cs="Sylfaen"/>
            <w:color w:val="467886"/>
            <w:sz w:val="22"/>
            <w:u w:val="single"/>
            <w:lang w:val="en-US"/>
          </w:rPr>
          <w:t xml:space="preserve">https://arxiv.org/abs/2307.15810</w:t>
        </w:r>
      </w:hyperlink>
      <w:r>
        <w:rPr>
          <w:rFonts w:ascii="Sylfaen" w:hAnsi="Sylfaen" w:cs="Sylfaen"/>
          <w:sz w:val="22"/>
          <w:lang w:val="en-US"/>
        </w:rPr>
        <w:t xml:space="preserve"> - last verified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[4] De Freitas J., Castelo N., Uğuralp A.K., Oğuz-Uğuralp Z. Lessons from an App Update at Replika AI: Identity Discontinuity in Human-AI Relationships. Harvard Business School Working Paper 25-018, 2024 (rev. 2025). </w:t>
      </w:r>
      <w:hyperlink r:id="rId15">
        <w:r>
          <w:rPr>
            <w:rStyle w:val="Hyperlink"/>
            <w:rFonts w:ascii="Sylfaen" w:hAnsi="Sylfaen" w:cs="Sylfaen"/>
            <w:color w:val="467886"/>
            <w:sz w:val="22"/>
            <w:u w:val="single"/>
            <w:lang w:val="en-US"/>
          </w:rPr>
          <w:t xml:space="preserve">https://arxiv.org/abs/2412.14190</w:t>
        </w:r>
      </w:hyperlink>
      <w:r>
        <w:rPr>
          <w:rFonts w:ascii="Sylfaen" w:hAnsi="Sylfaen" w:cs="Sylfaen"/>
          <w:sz w:val="22"/>
          <w:lang w:val="en-US"/>
        </w:rPr>
        <w:t xml:space="preserve"> - last verified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[5] Zhang Y., Zhao D., Hancock J.T., Kraut R., Yang D. The Rise of AI Companions: Interaction with AI Companions and Psychological Well-being. 2025. </w:t>
      </w:r>
      <w:hyperlink r:id="rId16">
        <w:r>
          <w:rPr>
            <w:rStyle w:val="Hyperlink"/>
            <w:rFonts w:ascii="Sylfaen" w:hAnsi="Sylfaen" w:cs="Sylfaen"/>
            <w:color w:val="467886"/>
            <w:sz w:val="22"/>
            <w:u w:val="single"/>
            <w:lang w:val="en-US"/>
          </w:rPr>
          <w:t xml:space="preserve">https://arxiv.org/abs/2506.12605</w:t>
        </w:r>
      </w:hyperlink>
      <w:r>
        <w:rPr>
          <w:rFonts w:ascii="Sylfaen" w:hAnsi="Sylfaen" w:cs="Sylfaen"/>
          <w:sz w:val="22"/>
          <w:lang w:val="en-US"/>
        </w:rPr>
        <w:t xml:space="preserve"> - last verified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[6] Zhong W., Guo L., Gao Q., Ye H., Wang Y. MemoryBank: Enhancing Large Language Models with Long-Term Memory. AAAI 2024. </w:t>
      </w:r>
      <w:hyperlink r:id="rId17">
        <w:r>
          <w:rPr>
            <w:rStyle w:val="Hyperlink"/>
            <w:rFonts w:ascii="Sylfaen" w:hAnsi="Sylfaen" w:cs="Sylfaen"/>
            <w:color w:val="467886"/>
            <w:sz w:val="22"/>
            <w:u w:val="single"/>
            <w:lang w:val="en-US"/>
          </w:rPr>
          <w:t xml:space="preserve">https://arxiv.org/abs/2305.10250</w:t>
        </w:r>
      </w:hyperlink>
      <w:r>
        <w:rPr>
          <w:rFonts w:ascii="Sylfaen" w:hAnsi="Sylfaen" w:cs="Sylfaen"/>
          <w:sz w:val="22"/>
          <w:lang w:val="en-US"/>
        </w:rPr>
        <w:t xml:space="preserve"> - last verified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[7] Gutiérrez B.J., Shu Y., Gu Y., Yasunaga M., Su Y. HippoRAG: Neurobiologically Inspired Long-Term Memory for Large Language Models. NeurIPS 2024. </w:t>
      </w:r>
      <w:hyperlink r:id="rId18">
        <w:r>
          <w:rPr>
            <w:rStyle w:val="Hyperlink"/>
            <w:rFonts w:ascii="Sylfaen" w:hAnsi="Sylfaen" w:cs="Sylfaen"/>
            <w:color w:val="467886"/>
            <w:sz w:val="22"/>
            <w:u w:val="single"/>
            <w:lang w:val="en-US"/>
          </w:rPr>
          <w:t xml:space="preserve">https://arxiv.org/abs/2405.14831</w:t>
        </w:r>
      </w:hyperlink>
      <w:r>
        <w:rPr>
          <w:rFonts w:ascii="Sylfaen" w:hAnsi="Sylfaen" w:cs="Sylfaen"/>
          <w:sz w:val="22"/>
          <w:lang w:val="en-US"/>
        </w:rPr>
        <w:t xml:space="preserve"> - last verified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[8] Fountas Z., Benfeghoul M.A., Oomerjee A., Christopoulou F., Lampouras G., Bou-Ammar H., Wang J. Human-inspired Episodic Memory for Infinite Context LLMs. ICLR 2025. </w:t>
      </w:r>
      <w:hyperlink r:id="rId19">
        <w:r>
          <w:rPr>
            <w:rStyle w:val="Hyperlink"/>
            <w:rFonts w:ascii="Sylfaen" w:hAnsi="Sylfaen" w:cs="Sylfaen"/>
            <w:color w:val="467886"/>
            <w:sz w:val="22"/>
            <w:u w:val="single"/>
            <w:lang w:val="en-US"/>
          </w:rPr>
          <w:t xml:space="preserve">https://arxiv.org/abs/2407.09450</w:t>
        </w:r>
      </w:hyperlink>
      <w:r>
        <w:rPr>
          <w:rFonts w:ascii="Sylfaen" w:hAnsi="Sylfaen" w:cs="Sylfaen"/>
          <w:sz w:val="22"/>
          <w:lang w:val="en-US"/>
        </w:rPr>
        <w:t xml:space="preserve"> - last verified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[9] Lee K.-H., Chen X., Furuta H., Canny J., Fischer I. A Human-Inspired Reading Agent with Gist Memory of Very Long Contexts. ICML 2024, PMLR 235:26396–26415. </w:t>
      </w:r>
      <w:hyperlink r:id="rId20">
        <w:r>
          <w:rPr>
            <w:rStyle w:val="Hyperlink"/>
            <w:rFonts w:ascii="Sylfaen" w:hAnsi="Sylfaen" w:cs="Sylfaen"/>
            <w:color w:val="467886"/>
            <w:sz w:val="22"/>
            <w:u w:val="single"/>
            <w:lang w:val="en-US"/>
          </w:rPr>
          <w:t xml:space="preserve">https://arxiv.org/abs/2402.09727</w:t>
        </w:r>
      </w:hyperlink>
      <w:r>
        <w:rPr>
          <w:rFonts w:ascii="Sylfaen" w:hAnsi="Sylfaen" w:cs="Sylfaen"/>
          <w:sz w:val="22"/>
          <w:lang w:val="en-US"/>
        </w:rPr>
        <w:t xml:space="preserve"> - last verified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[10] Park J.S., O'Brien J.C., Cai C.J., Morris M.R., Liang P., Bernstein M.S. Generative Agents: Interactive Simulacra of Human Behavior. UIST 2023. </w:t>
      </w:r>
      <w:hyperlink r:id="rId21">
        <w:r>
          <w:rPr>
            <w:rStyle w:val="Hyperlink"/>
            <w:rFonts w:ascii="Sylfaen" w:hAnsi="Sylfaen" w:cs="Sylfaen"/>
            <w:color w:val="467886"/>
            <w:sz w:val="22"/>
            <w:u w:val="single"/>
            <w:lang w:val="en-US"/>
          </w:rPr>
          <w:t xml:space="preserve">https://arxiv.org/abs/2304.03442</w:t>
        </w:r>
      </w:hyperlink>
      <w:r>
        <w:rPr>
          <w:rFonts w:ascii="Sylfaen" w:hAnsi="Sylfaen" w:cs="Sylfaen"/>
          <w:sz w:val="22"/>
          <w:lang w:val="en-US"/>
        </w:rPr>
        <w:t xml:space="preserve"> - last verified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[11] Cox S.R., Lee Y.-C., Ooi W.T. Comparing How a Chatbot References User Utterances from Previous Chatting Sessions: An Investigation of Users' Privacy Concerns and Perceptions. HAI '23, 2023. </w:t>
      </w:r>
      <w:hyperlink r:id="rId22">
        <w:r>
          <w:rPr>
            <w:rStyle w:val="Hyperlink"/>
            <w:rFonts w:ascii="Sylfaen" w:hAnsi="Sylfaen" w:cs="Sylfaen"/>
            <w:color w:val="467886"/>
            <w:sz w:val="22"/>
            <w:u w:val="single"/>
            <w:lang w:val="en-US"/>
          </w:rPr>
          <w:t xml:space="preserve">https://arxiv.org/abs/2308.04879</w:t>
        </w:r>
      </w:hyperlink>
      <w:r>
        <w:rPr>
          <w:rFonts w:ascii="Sylfaen" w:hAnsi="Sylfaen" w:cs="Sylfaen"/>
          <w:sz w:val="22"/>
          <w:lang w:val="en-US"/>
        </w:rPr>
        <w:t xml:space="preserve"> - last verified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[12] Liu T., Zhao H., Liu Y., Wang X., Peng Z. ComPeer: A Generative Conversational Agent for Proactive Peer Support. UIST 2024. </w:t>
      </w:r>
      <w:hyperlink r:id="rId23">
        <w:r>
          <w:rPr>
            <w:rStyle w:val="Hyperlink"/>
            <w:rFonts w:ascii="Sylfaen" w:hAnsi="Sylfaen" w:cs="Sylfaen"/>
            <w:color w:val="467886"/>
            <w:sz w:val="22"/>
            <w:u w:val="single"/>
            <w:lang w:val="en-US"/>
          </w:rPr>
          <w:t xml:space="preserve">https://arxiv.org/abs/2407.18064</w:t>
        </w:r>
      </w:hyperlink>
      <w:r>
        <w:rPr>
          <w:rFonts w:ascii="Sylfaen" w:hAnsi="Sylfaen" w:cs="Sylfaen"/>
          <w:sz w:val="22"/>
          <w:lang w:val="en-US"/>
        </w:rPr>
        <w:t xml:space="preserve"> - last verified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[13] Liu X.B., Fang S., Shi W., Wu C.-S., Igarashi T., Chen X.A. Proactive Conversational Agents with Inner Thoughts. CHI 2025. </w:t>
      </w:r>
      <w:hyperlink r:id="rId24">
        <w:r>
          <w:rPr>
            <w:rStyle w:val="Hyperlink"/>
            <w:rFonts w:ascii="Sylfaen" w:hAnsi="Sylfaen" w:cs="Sylfaen"/>
            <w:color w:val="467886"/>
            <w:sz w:val="22"/>
            <w:u w:val="single"/>
            <w:lang w:val="en-US"/>
          </w:rPr>
          <w:t xml:space="preserve">https://doi.org/10.1145/3706598.3713760</w:t>
        </w:r>
      </w:hyperlink>
      <w:r>
        <w:rPr>
          <w:rFonts w:ascii="Sylfaen" w:hAnsi="Sylfaen" w:cs="Sylfaen"/>
          <w:sz w:val="22"/>
          <w:lang w:val="en-US"/>
        </w:rPr>
        <w:t xml:space="preserve"> - last verified - 04.07.2026</w:t>
      </w:r>
      <w:r>
        <w:rPr>
          <w:rFonts w:ascii="Sylfaen" w:hAnsi="Sylfaen" w:cs="Sylfaen"/>
          <w:b w:val="0"/>
          <w:sz w:val="22"/>
          <w:lang w:val="en-US"/>
        </w:rPr>
        <w:t xml:space="preserve">. </w:t>
      </w:r>
      <w:hyperlink r:id="rId25">
        <w:r>
          <w:rPr>
            <w:rStyle w:val="Hyperlink"/>
            <w:rFonts w:ascii="Sylfaen" w:hAnsi="Sylfaen" w:cs="Sylfaen"/>
            <w:color w:val="467886"/>
            <w:sz w:val="22"/>
            <w:u w:val="single"/>
            <w:lang w:val="en-US"/>
          </w:rPr>
          <w:t xml:space="preserve">https://arxiv.org/abs/2501.00383</w:t>
        </w:r>
      </w:hyperlink>
      <w:r>
        <w:rPr>
          <w:rFonts w:ascii="Sylfaen" w:hAnsi="Sylfaen" w:cs="Sylfaen"/>
          <w:sz w:val="22"/>
          <w:lang w:val="en-US"/>
        </w:rPr>
        <w:t xml:space="preserve"> - last verified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[14] Fitrianie S., Bruijnes M., Abdulrahman A., Brinkman W.-P. The Artificial Social Agent Questionnaire (ASAQ) — Development and evaluation of a validated instrument for capturing human interaction experiences with artificial social agents. International Journal of Human-Computer Studies, vol. 199, art. 103482, 2025. </w:t>
      </w:r>
      <w:hyperlink r:id="rId26">
        <w:r>
          <w:rPr>
            <w:rStyle w:val="Hyperlink"/>
            <w:rFonts w:ascii="Sylfaen" w:hAnsi="Sylfaen" w:cs="Sylfaen"/>
            <w:color w:val="467886"/>
            <w:sz w:val="22"/>
            <w:u w:val="single"/>
            <w:lang w:val="en-US"/>
          </w:rPr>
          <w:t xml:space="preserve">https://doi.org/10.1016/j.ijhcs.2025.103482</w:t>
        </w:r>
      </w:hyperlink>
      <w:r>
        <w:rPr>
          <w:rFonts w:ascii="Sylfaen" w:hAnsi="Sylfaen" w:cs="Sylfaen"/>
          <w:sz w:val="22"/>
          <w:lang w:val="en-US"/>
        </w:rPr>
        <w:t xml:space="preserve"> - last verified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[15] Fang C.M., Liu A.R., Danry V., Lee E., Chan S.W.T., Pataranutaporn P., Maes P., Phang J., Lampe M., Ahmad L., Agarwal S. How AI and Human Behaviors Shape Psychosocial Effects of Extended Chatbot Use: A Longitudinal Randomized Controlled Study. 2025. </w:t>
      </w:r>
      <w:hyperlink r:id="rId27">
        <w:r>
          <w:rPr>
            <w:rStyle w:val="Hyperlink"/>
            <w:rFonts w:ascii="Sylfaen" w:hAnsi="Sylfaen" w:cs="Sylfaen"/>
            <w:color w:val="467886"/>
            <w:sz w:val="22"/>
            <w:u w:val="single"/>
            <w:lang w:val="en-US"/>
          </w:rPr>
          <w:t xml:space="preserve">https://arxiv.org/abs/2503.17473</w:t>
        </w:r>
      </w:hyperlink>
      <w:r>
        <w:rPr>
          <w:rFonts w:ascii="Sylfaen" w:hAnsi="Sylfaen" w:cs="Sylfaen"/>
          <w:sz w:val="22"/>
          <w:lang w:val="en-US"/>
        </w:rPr>
        <w:t xml:space="preserve"> - last verified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[16] Wu Y., Liang S., Zhang C., Wang Y., Zhang Y., Guo H., Tang R., Liu Y. From Human Memory to AI Memory: A Survey on Memory Mechanisms in the Era of LLMs. 2025. </w:t>
      </w:r>
      <w:hyperlink r:id="rId28">
        <w:r>
          <w:rPr>
            <w:rStyle w:val="Hyperlink"/>
            <w:rFonts w:ascii="Sylfaen" w:hAnsi="Sylfaen" w:cs="Sylfaen"/>
            <w:color w:val="467886"/>
            <w:sz w:val="22"/>
            <w:u w:val="single"/>
            <w:lang w:val="en-US"/>
          </w:rPr>
          <w:t xml:space="preserve">https://arxiv.org/abs/2504.15965</w:t>
        </w:r>
      </w:hyperlink>
      <w:r>
        <w:rPr>
          <w:rFonts w:ascii="Sylfaen" w:hAnsi="Sylfaen" w:cs="Sylfaen"/>
          <w:sz w:val="22"/>
          <w:lang w:val="en-US"/>
        </w:rPr>
        <w:t xml:space="preserve"> - last verified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[17] Packer C., Wooders S., Lin K., Fang V., Patil S.G., Stoica I., Gonzalez J.E. MemGPT: Towards LLMs as Operating Systems. 2023. </w:t>
      </w:r>
      <w:hyperlink r:id="rId29">
        <w:r>
          <w:rPr>
            <w:rStyle w:val="Hyperlink"/>
            <w:rFonts w:ascii="Sylfaen" w:hAnsi="Sylfaen" w:cs="Sylfaen"/>
            <w:color w:val="467886"/>
            <w:sz w:val="22"/>
            <w:u w:val="single"/>
            <w:lang w:val="en-US"/>
          </w:rPr>
          <w:t xml:space="preserve">https://arxiv.org/abs/2310.08560</w:t>
        </w:r>
      </w:hyperlink>
      <w:r>
        <w:rPr>
          <w:rFonts w:ascii="Sylfaen" w:hAnsi="Sylfaen" w:cs="Sylfaen"/>
          <w:sz w:val="22"/>
          <w:lang w:val="en-US"/>
        </w:rPr>
        <w:t xml:space="preserve"> - last verified - 04.07.2026</w:t>
      </w:r>
      <w:r>
        <w:rPr>
          <w:rFonts w:ascii="Sylfaen" w:hAnsi="Sylfaen" w:cs="Sylfaen"/>
          <w:b w:val="0"/>
          <w:sz w:val="22"/>
          <w:lang w:val="en-US"/>
        </w:rPr>
        <w:t xml:space="preserve">.</w:t>
      </w:r>
    </w:p>
    <w:p>
      <w:pPr>
        <w:spacing w:line="240" w:lineRule="auto"/>
      </w:pPr>
      <w:r>
        <w:rPr>
          <w:rFonts w:ascii="Sylfaen" w:hAnsi="Sylfaen" w:cs="Sylfaen"/>
          <w:b w:val="0"/>
          <w:sz w:val="22"/>
          <w:lang w:val="ka-GE"/>
        </w:rPr>
        <w:t>[18] OpenAI. Dreaming: Better memory for a more helpful ChatGPT. OpenAI, 2026 (4 ივნისი). https://openai.com/index/chatgpt-memory-dreaming/</w:t>
      </w:r>
    </w:p>
    <w:p>
      <w:pPr>
        <w:spacing w:line="240" w:lineRule="auto"/>
      </w:pPr>
      <w:r>
        <w:rPr>
          <w:rFonts w:ascii="Sylfaen" w:hAnsi="Sylfaen" w:cs="Sylfaen"/>
          <w:b w:val="0"/>
          <w:sz w:val="22"/>
          <w:lang w:val="ka-GE"/>
        </w:rPr>
        <w:t>[19] Anthropic. New in Claude Managed Agents: dreaming, outcomes, and multiagent orchestration. Anthropic, 2026 (19 მაისი, კვლევითი წინასწარი ვერსია). https://claude.com/blog/new-in-claude-managed-agents</w:t>
      </w:r>
    </w:p>
    <w:p>
      <w:pPr>
        <w:spacing w:line="240" w:lineRule="auto"/>
      </w:pPr>
      <w:r>
        <w:rPr>
          <w:rFonts w:ascii="Sylfaen" w:hAnsi="Sylfaen" w:cs="Sylfaen"/>
          <w:b w:val="0"/>
          <w:sz w:val="22"/>
          <w:lang w:val="en-US"/>
        </w:rPr>
        <w:t>[20] Atkinson R.C., Shiffrin R.M. Human Memory: A Proposed System and Its Control Processes. In: Spence K.W., Spence J.T. (Eds.), The Psychology of Learning and Motivation, vol. 2, pp. 89–195. New York: Academic Press, 1968.</w:t>
      </w:r>
    </w:p>
    <w:p>
      <w:pPr>
        <w:spacing w:line="240" w:lineRule="auto"/>
      </w:pPr>
      <w:r>
        <w:rPr>
          <w:rFonts w:ascii="Sylfaen" w:hAnsi="Sylfaen" w:cs="Sylfaen"/>
          <w:b w:val="0"/>
          <w:sz w:val="22"/>
          <w:lang w:val="en-US"/>
        </w:rPr>
        <w:t>[21] Baddeley A.D., Hitch G. Working Memory. In: Bower G.H. (Ed.), The Psychology of Learning and Motivation, vol. 8, pp. 47–89. New York: Academic Press, 1974.</w:t>
      </w:r>
    </w:p>
    <w:p>
      <w:pPr>
        <w:spacing w:line="240" w:lineRule="auto"/>
      </w:pPr>
      <w:r>
        <w:rPr>
          <w:rFonts w:ascii="Sylfaen" w:hAnsi="Sylfaen" w:cs="Sylfaen"/>
          <w:b w:val="0"/>
          <w:sz w:val="22"/>
          <w:lang w:val="en-US"/>
        </w:rPr>
        <w:t>[22] Tulving E. Episodic and Semantic Memory. In: Tulving E., Donaldson W. (Eds.), Organization of Memory, pp. 381–403. New York: Academic Press, 1972.</w:t>
      </w:r>
    </w:p>
    <w:p>
      <w:pPr>
        <w:spacing w:line="240" w:lineRule="auto"/>
      </w:pPr>
      <w:r>
        <w:rPr>
          <w:rFonts w:ascii="Sylfaen" w:hAnsi="Sylfaen" w:cs="Sylfaen"/>
          <w:b w:val="0"/>
          <w:sz w:val="22"/>
          <w:lang w:val="en-US"/>
        </w:rPr>
        <w:t>[23] Ebbinghaus H. Memory: A Contribution to Experimental Psychology (Trans. H.A. Ruger &amp; C.E. Bussenius). New York: Teachers College, Columbia University, 1913. (Original work published 1885.)</w:t>
      </w:r>
    </w:p>
    <w:p>
      <w:pPr>
        <w:spacing w:line="240" w:lineRule="auto"/>
      </w:pPr>
      <w:r>
        <w:rPr>
          <w:rFonts w:ascii="Sylfaen" w:hAnsi="Sylfaen" w:cs="Sylfaen"/>
          <w:b w:val="0"/>
          <w:sz w:val="22"/>
          <w:lang w:val="en-US"/>
        </w:rPr>
        <w:t xml:space="preserve">[24] Reyna V.F., Brainerd C.J. Fuzzy-trace theory: An interim synthesis. Learning and Individual Differences, 7(1), 1–75, 1995. </w:t>
      </w:r>
      <w:hyperlink r:id="rId30">
        <w:r>
          <w:rPr>
            <w:rStyle w:val="Hyperlink"/>
            <w:rFonts w:ascii="Sylfaen" w:hAnsi="Sylfaen" w:cs="Sylfaen"/>
            <w:color w:val="467886"/>
            <w:sz w:val="22"/>
            <w:u w:val="single"/>
            <w:lang w:val="en-US"/>
          </w:rPr>
          <w:t xml:space="preserve">https://doi.org/10.1016/1041-6080(95)90031-4</w:t>
        </w:r>
      </w:hyperlink>
      <w:r>
        <w:rPr>
          <w:rFonts w:ascii="Sylfaen" w:hAnsi="Sylfaen" w:cs="Sylfaen"/>
          <w:sz w:val="22"/>
          <w:lang w:val="en-US"/>
        </w:rPr>
        <w:t xml:space="preserve"> - last verified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[25] McClelland J.L., McNaughton B.L., O'Reilly R.C. Why there are complementary learning systems in the hippocampus and neocortex: insights from the successes and failures of connectionist models of learning and memory. Psychological Review, 102(3), 419–457, 1995. </w:t>
      </w:r>
      <w:hyperlink r:id="rId31">
        <w:r>
          <w:rPr>
            <w:rStyle w:val="Hyperlink"/>
            <w:rFonts w:ascii="Sylfaen" w:hAnsi="Sylfaen" w:cs="Sylfaen"/>
            <w:color w:val="467886"/>
            <w:sz w:val="22"/>
            <w:u w:val="single"/>
            <w:lang w:val="en-US"/>
          </w:rPr>
          <w:t xml:space="preserve">https://doi.org/10.1037/0033-295X.102.3.419</w:t>
        </w:r>
      </w:hyperlink>
      <w:r>
        <w:rPr>
          <w:rFonts w:ascii="Sylfaen" w:hAnsi="Sylfaen" w:cs="Sylfaen"/>
          <w:sz w:val="22"/>
          <w:lang w:val="en-US"/>
        </w:rPr>
        <w:t xml:space="preserve"> - last verified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[26] Teyler T.J., DiScenna P. The hippocampal memory indexing theory. Behavioral Neuroscience, 100(2), 147–152, 1986. </w:t>
      </w:r>
      <w:hyperlink r:id="rId32">
        <w:r>
          <w:rPr>
            <w:rStyle w:val="Hyperlink"/>
            <w:rFonts w:ascii="Sylfaen" w:hAnsi="Sylfaen" w:cs="Sylfaen"/>
            <w:color w:val="467886"/>
            <w:sz w:val="22"/>
            <w:u w:val="single"/>
            <w:lang w:val="en-US"/>
          </w:rPr>
          <w:t xml:space="preserve">https://doi.org/10.1037/0735-7044.100.2.147</w:t>
        </w:r>
      </w:hyperlink>
      <w:r>
        <w:rPr>
          <w:rFonts w:ascii="Sylfaen" w:hAnsi="Sylfaen" w:cs="Sylfaen"/>
          <w:sz w:val="22"/>
          <w:lang w:val="en-US"/>
        </w:rPr>
        <w:t xml:space="preserve"> - last verified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[27] Xu W., Liang Z., Mei K., Gao H., Tan J., Zhang Y. A-MEM: Agentic Memory for LLM Agents. NeurIPS 2025. </w:t>
      </w:r>
      <w:hyperlink r:id="rId33">
        <w:r>
          <w:rPr>
            <w:rStyle w:val="Hyperlink"/>
            <w:rFonts w:ascii="Sylfaen" w:hAnsi="Sylfaen" w:cs="Sylfaen"/>
            <w:color w:val="467886"/>
            <w:sz w:val="22"/>
            <w:u w:val="single"/>
            <w:lang w:val="en-US"/>
          </w:rPr>
          <w:t xml:space="preserve">https://arxiv.org/abs/2502.12110</w:t>
        </w:r>
      </w:hyperlink>
      <w:r>
        <w:rPr>
          <w:rFonts w:ascii="Sylfaen" w:hAnsi="Sylfaen" w:cs="Sylfaen"/>
          <w:sz w:val="22"/>
          <w:lang w:val="en-US"/>
        </w:rPr>
        <w:t xml:space="preserve"> - last verified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[28] Reeves B., Nass C. The Media Equation: How People Treat Computers, Television, and New Media Like Real People and Places. Cambridge University Press / CSLI Publications, 1996.</w:t>
      </w:r>
    </w:p>
    <w:p>
      <w:pPr>
        <w:spacing w:line="240" w:lineRule="auto"/>
      </w:pPr>
      <w:r>
        <w:rPr>
          <w:rFonts w:ascii="Sylfaen" w:hAnsi="Sylfaen" w:cs="Sylfaen"/>
          <w:b w:val="0"/>
          <w:sz w:val="22"/>
          <w:lang w:val="en-US"/>
        </w:rPr>
        <w:t xml:space="preserve">[29] Chhikara P., Khant D., Aryan S., Singh T., Yadav D. Mem0: Building Production-Ready AI Agents with Scalable Long-Term Memory. 2025. </w:t>
      </w:r>
      <w:hyperlink r:id="rId34">
        <w:r>
          <w:rPr>
            <w:rStyle w:val="Hyperlink"/>
            <w:rFonts w:ascii="Sylfaen" w:hAnsi="Sylfaen" w:cs="Sylfaen"/>
            <w:color w:val="467886"/>
            <w:sz w:val="22"/>
            <w:u w:val="single"/>
            <w:lang w:val="en-US"/>
          </w:rPr>
          <w:t xml:space="preserve">https://arxiv.org/abs/2504.19413</w:t>
        </w:r>
      </w:hyperlink>
      <w:r>
        <w:rPr>
          <w:rFonts w:ascii="Sylfaen" w:hAnsi="Sylfaen" w:cs="Sylfaen"/>
          <w:sz w:val="22"/>
          <w:lang w:val="en-US"/>
        </w:rPr>
        <w:t xml:space="preserve"> - last verified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[30] Rasmussen P., Paliychuk P., Beauvais T., Ryan J., Chalef D. Zep: A Temporal Knowledge Graph Architecture for Agent Memory. 2025. </w:t>
      </w:r>
      <w:hyperlink r:id="rId35">
        <w:r>
          <w:rPr>
            <w:rStyle w:val="Hyperlink"/>
            <w:rFonts w:ascii="Sylfaen" w:hAnsi="Sylfaen" w:cs="Sylfaen"/>
            <w:color w:val="467886"/>
            <w:sz w:val="22"/>
            <w:u w:val="single"/>
            <w:lang w:val="en-US"/>
          </w:rPr>
          <w:t xml:space="preserve">https://arxiv.org/abs/2501.13956</w:t>
        </w:r>
      </w:hyperlink>
      <w:r>
        <w:rPr>
          <w:rFonts w:ascii="Sylfaen" w:hAnsi="Sylfaen" w:cs="Sylfaen"/>
          <w:sz w:val="22"/>
          <w:lang w:val="en-US"/>
        </w:rPr>
        <w:t xml:space="preserve"> - last verified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[31] Zacks J.M., Speer N.K., Swallow K.M., Braver T.S., Reynolds J.R. Event perception: A mind-brain perspective. Psychological Bulletin, 133(2), 273–293, 2007. </w:t>
      </w:r>
      <w:hyperlink r:id="rId36">
        <w:r>
          <w:rPr>
            <w:rStyle w:val="Hyperlink"/>
            <w:rFonts w:ascii="Sylfaen" w:hAnsi="Sylfaen" w:cs="Sylfaen"/>
            <w:color w:val="467886"/>
            <w:sz w:val="22"/>
            <w:u w:val="single"/>
            <w:lang w:val="en-US"/>
          </w:rPr>
          <w:t xml:space="preserve">https://doi.org/10.1037/0033-2909.133.2.273</w:t>
        </w:r>
      </w:hyperlink>
      <w:r>
        <w:rPr>
          <w:rFonts w:ascii="Sylfaen" w:hAnsi="Sylfaen" w:cs="Sylfaen"/>
          <w:sz w:val="22"/>
          <w:lang w:val="en-US"/>
        </w:rPr>
        <w:t xml:space="preserve"> - last verified - 04.07.2026</w:t>
      </w:r>
      <w:r>
        <w:rPr>
          <w:rFonts w:ascii="Sylfaen" w:hAnsi="Sylfaen" w:cs="Sylfaen"/>
          <w:b w:val="0"/>
          <w:sz w:val="22"/>
          <w:lang w:val="en-US"/>
        </w:rPr>
        <w:t xml:space="preserve">.</w:t>
      </w:r>
    </w:p>
    <w:p>
      <w:pPr>
        <w:spacing w:line="240" w:lineRule="auto"/>
      </w:pPr>
      <w:r>
        <w:rPr>
          <w:rFonts w:ascii="Sylfaen" w:hAnsi="Sylfaen" w:cs="Sylfaen"/>
          <w:b w:val="0"/>
          <w:sz w:val="22"/>
          <w:lang w:val="ka-GE"/>
        </w:rPr>
        <w:t>[32] getzep/zep-papers, GitHub Issue #5: "Revisiting Zep's 84% LoCoMo Claim: Corrected Evaluation &amp; 58.44% Accuracy", 2025. (ვენდორთა შორის შეფასების დავა — იხ. F9.)</w:t>
      </w:r>
    </w:p>
    <w:p>
      <w:pPr>
        <w:spacing w:line="240" w:lineRule="auto"/>
      </w:pPr>
      <w:r>
        <w:rPr>
          <w:rFonts w:ascii="Sylfaen" w:hAnsi="Sylfaen" w:cs="Sylfaen"/>
          <w:b w:val="0"/>
          <w:sz w:val="22"/>
          <w:lang w:val="ka-GE"/>
        </w:rPr>
        <w:t>[33] dial481/locomo-audit, GitHub repository, 2026. (LoCoMo-ს დამოუკიდებელი აუდიტი: ოქროს პასუხების 6.4% მცდარი — იხ. F9.)</w:t>
      </w:r>
    </w:p>
    <w:p>
      <w:pPr>
        <w:spacing w:line="240" w:lineRule="auto"/>
      </w:pPr>
      <w:r>
        <w:rPr>
          <w:rFonts w:ascii="Sylfaen" w:hAnsi="Sylfaen" w:cs="Sylfaen"/>
          <w:b w:val="0"/>
          <w:sz w:val="22"/>
          <w:lang w:val="en-US"/>
        </w:rPr>
        <w:t xml:space="preserve">[34] Yan Z., Fischer J.E., Clos J. Remembering Things Makes Chatbots Sound Smarter, but Less Trustworthy — A Pilot Study. In: Proceedings of the 7th ACM Conference on Conversational User Interfaces (CUI '25), Art. 23, pp. 23:1–23:8, 2025. </w:t>
      </w:r>
      <w:hyperlink r:id="rId37">
        <w:r>
          <w:rPr>
            <w:rStyle w:val="Hyperlink"/>
            <w:rFonts w:ascii="Sylfaen" w:hAnsi="Sylfaen" w:cs="Sylfaen"/>
            <w:color w:val="467886"/>
            <w:sz w:val="22"/>
            <w:u w:val="single"/>
            <w:lang w:val="en-US"/>
          </w:rPr>
          <w:t xml:space="preserve">https://doi.org/10.1145/3719160.3737617</w:t>
        </w:r>
      </w:hyperlink>
      <w:r>
        <w:rPr>
          <w:rFonts w:ascii="Sylfaen" w:hAnsi="Sylfaen" w:cs="Sylfaen"/>
          <w:sz w:val="22"/>
          <w:lang w:val="en-US"/>
        </w:rPr>
        <w:t xml:space="preserve"> - last verified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[35] Xu J., Szlam A., Weston J. Beyond Goldfish Memory: Long-Term Open-Domain Conversation (Multi-Session Chat, MSC). ACL 2022. </w:t>
      </w:r>
      <w:hyperlink r:id="rId38">
        <w:r>
          <w:rPr>
            <w:rStyle w:val="Hyperlink"/>
            <w:rFonts w:ascii="Sylfaen" w:hAnsi="Sylfaen" w:cs="Sylfaen"/>
            <w:color w:val="467886"/>
            <w:sz w:val="22"/>
            <w:u w:val="single"/>
            <w:lang w:val="en-US"/>
          </w:rPr>
          <w:t xml:space="preserve">https://arxiv.org/abs/2107.07567</w:t>
        </w:r>
      </w:hyperlink>
      <w:r>
        <w:rPr>
          <w:rFonts w:ascii="Sylfaen" w:hAnsi="Sylfaen" w:cs="Sylfaen"/>
          <w:sz w:val="22"/>
          <w:lang w:val="en-US"/>
        </w:rPr>
        <w:t xml:space="preserve"> - last verified - 04.07.2026</w:t>
      </w:r>
      <w:r>
        <w:rPr>
          <w:rFonts w:ascii="Sylfaen" w:hAnsi="Sylfaen" w:cs="Sylfaen"/>
          <w:b w:val="0"/>
          <w:sz w:val="22"/>
          <w:lang w:val="en-US"/>
        </w:rPr>
        <w:t xml:space="preserve">.</w:t>
      </w:r>
    </w:p>
    <w:sectPr w:rsidR="00457D02" w:rsidSect="0091706F">
      <w:pgSz w:w="11906" w:h="16838" w:code="9"/>
      <w:pgMar w:top="1417" w:right="1417" w:bottom="1417" w:left="215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565359" w14:textId="77777777" w:rsidR="009C71AF" w:rsidRDefault="009C71AF" w:rsidP="00591823">
      <w:pPr>
        <w:spacing w:after="0" w:line="240" w:lineRule="auto"/>
      </w:pPr>
      <w:r>
        <w:separator/>
      </w:r>
    </w:p>
  </w:endnote>
  <w:endnote w:type="continuationSeparator" w:id="0">
    <w:p w14:paraId="377DAA6C" w14:textId="77777777" w:rsidR="009C71AF" w:rsidRDefault="009C71AF" w:rsidP="00591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9123713"/>
      <w:docPartObj>
        <w:docPartGallery w:val="Page Numbers (Bottom of Page)"/>
        <w:docPartUnique/>
      </w:docPartObj>
    </w:sdtPr>
    <w:sdtEndPr>
      <w:rPr>
        <w:noProof/>
      </w:rPr>
    </w:sdtEndPr>
    <w:sdtContent>
      <w:p w14:paraId="6FB3177E" w14:textId="6E5AB649" w:rsidR="002E69B4" w:rsidRDefault="002E69B4">
        <w:pPr>
          <w:pStyle w:val="Footer"/>
          <w:jc w:val="right"/>
        </w:pPr>
        <w:r>
          <w:fldChar w:fldCharType="begin"/>
        </w:r>
        <w:r>
          <w:instrText xml:space="preserve"> PAGE   \* MERGEFORMAT </w:instrText>
        </w:r>
        <w:r>
          <w:fldChar w:fldCharType="separate"/>
        </w:r>
        <w:r w:rsidR="006F2277">
          <w:rPr>
            <w:noProof/>
          </w:rPr>
          <w:t>123</w:t>
        </w:r>
        <w:r>
          <w:rPr>
            <w:noProof/>
          </w:rPr>
          <w:fldChar w:fldCharType="end"/>
        </w:r>
      </w:p>
    </w:sdtContent>
  </w:sdt>
  <w:p w14:paraId="50872772" w14:textId="77777777" w:rsidR="002E69B4" w:rsidRDefault="002E69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7384F" w14:textId="77777777" w:rsidR="009C71AF" w:rsidRDefault="009C71AF" w:rsidP="00591823">
      <w:pPr>
        <w:spacing w:after="0" w:line="240" w:lineRule="auto"/>
      </w:pPr>
      <w:r>
        <w:separator/>
      </w:r>
    </w:p>
  </w:footnote>
  <w:footnote w:type="continuationSeparator" w:id="0">
    <w:p w14:paraId="5C51A6EA" w14:textId="77777777" w:rsidR="009C71AF" w:rsidRDefault="009C71AF" w:rsidP="005918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90104"/>
    <w:multiLevelType w:val="multilevel"/>
    <w:tmpl w:val="AC80288E"/>
    <w:lvl w:ilvl="0">
      <w:start w:val="1"/>
      <w:numFmt w:val="decimal"/>
      <w:lvlText w:val="%1"/>
      <w:lvlJc w:val="left"/>
      <w:pPr>
        <w:ind w:left="720" w:hanging="360"/>
      </w:pPr>
      <w:rPr>
        <w:rFonts w:hint="default"/>
      </w:rPr>
    </w:lvl>
    <w:lvl w:ilvl="1">
      <w:start w:val="1"/>
      <w:numFmt w:val="decimal"/>
      <w:isLgl/>
      <w:lvlText w:val="%1.%2"/>
      <w:lvlJc w:val="left"/>
      <w:pPr>
        <w:ind w:left="936" w:hanging="36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1728" w:hanging="72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096" w:hanging="1440"/>
      </w:pPr>
      <w:rPr>
        <w:rFonts w:hint="default"/>
      </w:rPr>
    </w:lvl>
    <w:lvl w:ilvl="7">
      <w:start w:val="1"/>
      <w:numFmt w:val="decimal"/>
      <w:isLgl/>
      <w:lvlText w:val="%1.%2.%3.%4.%5.%6.%7.%8"/>
      <w:lvlJc w:val="left"/>
      <w:pPr>
        <w:ind w:left="3312" w:hanging="1440"/>
      </w:pPr>
      <w:rPr>
        <w:rFonts w:hint="default"/>
      </w:rPr>
    </w:lvl>
    <w:lvl w:ilvl="8">
      <w:start w:val="1"/>
      <w:numFmt w:val="decimal"/>
      <w:isLgl/>
      <w:lvlText w:val="%1.%2.%3.%4.%5.%6.%7.%8.%9"/>
      <w:lvlJc w:val="left"/>
      <w:pPr>
        <w:ind w:left="3888" w:hanging="1800"/>
      </w:pPr>
      <w:rPr>
        <w:rFonts w:hint="default"/>
      </w:rPr>
    </w:lvl>
  </w:abstractNum>
  <w:abstractNum w:abstractNumId="1" w15:restartNumberingAfterBreak="0">
    <w:nsid w:val="052641D9"/>
    <w:multiLevelType w:val="multilevel"/>
    <w:tmpl w:val="A802C8FE"/>
    <w:lvl w:ilvl="0">
      <w:start w:val="1"/>
      <w:numFmt w:val="decimal"/>
      <w:lvlText w:val="%1."/>
      <w:lvlJc w:val="left"/>
      <w:pPr>
        <w:ind w:left="360" w:hanging="360"/>
      </w:pPr>
      <w:rPr>
        <w:rFonts w:hint="default"/>
      </w:rPr>
    </w:lvl>
    <w:lvl w:ilvl="1">
      <w:start w:val="8"/>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EC41CB"/>
    <w:multiLevelType w:val="hybridMultilevel"/>
    <w:tmpl w:val="7DB4EBE2"/>
    <w:lvl w:ilvl="0" w:tplc="197289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7B18B0"/>
    <w:multiLevelType w:val="multilevel"/>
    <w:tmpl w:val="69427E86"/>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AED489A"/>
    <w:multiLevelType w:val="hybridMultilevel"/>
    <w:tmpl w:val="A61CF9D4"/>
    <w:lvl w:ilvl="0" w:tplc="E8440E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8018B0"/>
    <w:multiLevelType w:val="multilevel"/>
    <w:tmpl w:val="AC80288E"/>
    <w:lvl w:ilvl="0">
      <w:start w:val="1"/>
      <w:numFmt w:val="decimal"/>
      <w:lvlText w:val="%1"/>
      <w:lvlJc w:val="left"/>
      <w:pPr>
        <w:ind w:left="720" w:hanging="360"/>
      </w:pPr>
      <w:rPr>
        <w:rFonts w:hint="default"/>
      </w:rPr>
    </w:lvl>
    <w:lvl w:ilvl="1">
      <w:start w:val="1"/>
      <w:numFmt w:val="decimal"/>
      <w:isLgl/>
      <w:lvlText w:val="%1.%2"/>
      <w:lvlJc w:val="left"/>
      <w:pPr>
        <w:ind w:left="936" w:hanging="36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1728" w:hanging="72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096" w:hanging="1440"/>
      </w:pPr>
      <w:rPr>
        <w:rFonts w:hint="default"/>
      </w:rPr>
    </w:lvl>
    <w:lvl w:ilvl="7">
      <w:start w:val="1"/>
      <w:numFmt w:val="decimal"/>
      <w:isLgl/>
      <w:lvlText w:val="%1.%2.%3.%4.%5.%6.%7.%8"/>
      <w:lvlJc w:val="left"/>
      <w:pPr>
        <w:ind w:left="3312" w:hanging="1440"/>
      </w:pPr>
      <w:rPr>
        <w:rFonts w:hint="default"/>
      </w:rPr>
    </w:lvl>
    <w:lvl w:ilvl="8">
      <w:start w:val="1"/>
      <w:numFmt w:val="decimal"/>
      <w:isLgl/>
      <w:lvlText w:val="%1.%2.%3.%4.%5.%6.%7.%8.%9"/>
      <w:lvlJc w:val="left"/>
      <w:pPr>
        <w:ind w:left="3888" w:hanging="1800"/>
      </w:pPr>
      <w:rPr>
        <w:rFonts w:hint="default"/>
      </w:rPr>
    </w:lvl>
  </w:abstractNum>
  <w:abstractNum w:abstractNumId="6" w15:restartNumberingAfterBreak="0">
    <w:nsid w:val="1ECB0170"/>
    <w:multiLevelType w:val="hybridMultilevel"/>
    <w:tmpl w:val="983CDE48"/>
    <w:lvl w:ilvl="0" w:tplc="2E969D1A">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7" w15:restartNumberingAfterBreak="0">
    <w:nsid w:val="2115671A"/>
    <w:multiLevelType w:val="hybridMultilevel"/>
    <w:tmpl w:val="15EC8100"/>
    <w:lvl w:ilvl="0" w:tplc="065A20CA">
      <w:start w:val="3"/>
      <w:numFmt w:val="bullet"/>
      <w:lvlText w:val="-"/>
      <w:lvlJc w:val="left"/>
      <w:pPr>
        <w:ind w:left="720" w:hanging="360"/>
      </w:pPr>
      <w:rPr>
        <w:rFonts w:ascii="Sylfaen" w:eastAsiaTheme="minorHAnsi" w:hAnsi="Sylfaen"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612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5C52E11"/>
    <w:multiLevelType w:val="hybridMultilevel"/>
    <w:tmpl w:val="D1B835F2"/>
    <w:lvl w:ilvl="0" w:tplc="A27AA7AA">
      <w:start w:val="1"/>
      <w:numFmt w:val="decimal"/>
      <w:lvlText w:val="%1."/>
      <w:lvlJc w:val="left"/>
      <w:pPr>
        <w:ind w:left="720" w:hanging="360"/>
      </w:pPr>
      <w:rPr>
        <w:rFonts w:cs="Sylfae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3B52C7"/>
    <w:multiLevelType w:val="multilevel"/>
    <w:tmpl w:val="3454D2AE"/>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6F958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91C4B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D490087"/>
    <w:multiLevelType w:val="hybridMultilevel"/>
    <w:tmpl w:val="8536F3DA"/>
    <w:lvl w:ilvl="0" w:tplc="2B1079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EC05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FC96D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25939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2D2586F"/>
    <w:multiLevelType w:val="multilevel"/>
    <w:tmpl w:val="D76619E6"/>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9AA7F46"/>
    <w:multiLevelType w:val="hybridMultilevel"/>
    <w:tmpl w:val="DE561EA8"/>
    <w:lvl w:ilvl="0" w:tplc="A0DECF1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4844C2"/>
    <w:multiLevelType w:val="hybridMultilevel"/>
    <w:tmpl w:val="F404F8CA"/>
    <w:lvl w:ilvl="0" w:tplc="065A20CA">
      <w:start w:val="3"/>
      <w:numFmt w:val="bullet"/>
      <w:lvlText w:val="-"/>
      <w:lvlJc w:val="left"/>
      <w:pPr>
        <w:ind w:left="720" w:hanging="360"/>
      </w:pPr>
      <w:rPr>
        <w:rFonts w:ascii="Sylfaen" w:eastAsiaTheme="minorHAnsi" w:hAnsi="Sylfaen"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025AED"/>
    <w:multiLevelType w:val="hybridMultilevel"/>
    <w:tmpl w:val="F8B83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B702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69917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C441A5A"/>
    <w:multiLevelType w:val="hybridMultilevel"/>
    <w:tmpl w:val="2CE252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17">
      <w:start w:val="1"/>
      <w:numFmt w:val="lowerLetter"/>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0051654"/>
    <w:multiLevelType w:val="multilevel"/>
    <w:tmpl w:val="9DE6F242"/>
    <w:lvl w:ilvl="0">
      <w:start w:val="1"/>
      <w:numFmt w:val="decimal"/>
      <w:lvlText w:val="%1"/>
      <w:lvlJc w:val="left"/>
      <w:pPr>
        <w:ind w:left="360" w:hanging="360"/>
      </w:pPr>
      <w:rPr>
        <w:rFonts w:cs="Sylfaen" w:hint="default"/>
      </w:rPr>
    </w:lvl>
    <w:lvl w:ilvl="1">
      <w:start w:val="4"/>
      <w:numFmt w:val="decimal"/>
      <w:lvlText w:val="%1.%2"/>
      <w:lvlJc w:val="left"/>
      <w:pPr>
        <w:ind w:left="720" w:hanging="360"/>
      </w:pPr>
      <w:rPr>
        <w:rFonts w:cs="Sylfaen" w:hint="default"/>
      </w:rPr>
    </w:lvl>
    <w:lvl w:ilvl="2">
      <w:start w:val="1"/>
      <w:numFmt w:val="decimal"/>
      <w:lvlText w:val="%1.%2.%3"/>
      <w:lvlJc w:val="left"/>
      <w:pPr>
        <w:ind w:left="1440" w:hanging="720"/>
      </w:pPr>
      <w:rPr>
        <w:rFonts w:cs="Sylfaen" w:hint="default"/>
      </w:rPr>
    </w:lvl>
    <w:lvl w:ilvl="3">
      <w:start w:val="1"/>
      <w:numFmt w:val="decimal"/>
      <w:lvlText w:val="%1.%2.%3.%4"/>
      <w:lvlJc w:val="left"/>
      <w:pPr>
        <w:ind w:left="1800" w:hanging="720"/>
      </w:pPr>
      <w:rPr>
        <w:rFonts w:cs="Sylfaen" w:hint="default"/>
      </w:rPr>
    </w:lvl>
    <w:lvl w:ilvl="4">
      <w:start w:val="1"/>
      <w:numFmt w:val="decimal"/>
      <w:lvlText w:val="%1.%2.%3.%4.%5"/>
      <w:lvlJc w:val="left"/>
      <w:pPr>
        <w:ind w:left="2520" w:hanging="1080"/>
      </w:pPr>
      <w:rPr>
        <w:rFonts w:cs="Sylfaen" w:hint="default"/>
      </w:rPr>
    </w:lvl>
    <w:lvl w:ilvl="5">
      <w:start w:val="1"/>
      <w:numFmt w:val="decimal"/>
      <w:lvlText w:val="%1.%2.%3.%4.%5.%6"/>
      <w:lvlJc w:val="left"/>
      <w:pPr>
        <w:ind w:left="2880" w:hanging="1080"/>
      </w:pPr>
      <w:rPr>
        <w:rFonts w:cs="Sylfaen" w:hint="default"/>
      </w:rPr>
    </w:lvl>
    <w:lvl w:ilvl="6">
      <w:start w:val="1"/>
      <w:numFmt w:val="decimal"/>
      <w:lvlText w:val="%1.%2.%3.%4.%5.%6.%7"/>
      <w:lvlJc w:val="left"/>
      <w:pPr>
        <w:ind w:left="3600" w:hanging="1440"/>
      </w:pPr>
      <w:rPr>
        <w:rFonts w:cs="Sylfaen" w:hint="default"/>
      </w:rPr>
    </w:lvl>
    <w:lvl w:ilvl="7">
      <w:start w:val="1"/>
      <w:numFmt w:val="decimal"/>
      <w:lvlText w:val="%1.%2.%3.%4.%5.%6.%7.%8"/>
      <w:lvlJc w:val="left"/>
      <w:pPr>
        <w:ind w:left="3960" w:hanging="1440"/>
      </w:pPr>
      <w:rPr>
        <w:rFonts w:cs="Sylfaen" w:hint="default"/>
      </w:rPr>
    </w:lvl>
    <w:lvl w:ilvl="8">
      <w:start w:val="1"/>
      <w:numFmt w:val="decimal"/>
      <w:lvlText w:val="%1.%2.%3.%4.%5.%6.%7.%8.%9"/>
      <w:lvlJc w:val="left"/>
      <w:pPr>
        <w:ind w:left="4680" w:hanging="1800"/>
      </w:pPr>
      <w:rPr>
        <w:rFonts w:cs="Sylfaen" w:hint="default"/>
      </w:rPr>
    </w:lvl>
  </w:abstractNum>
  <w:abstractNum w:abstractNumId="25" w15:restartNumberingAfterBreak="0">
    <w:nsid w:val="516E263A"/>
    <w:multiLevelType w:val="multilevel"/>
    <w:tmpl w:val="C6AC3930"/>
    <w:lvl w:ilvl="0">
      <w:start w:val="1"/>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772749F"/>
    <w:multiLevelType w:val="hybridMultilevel"/>
    <w:tmpl w:val="46FC8E84"/>
    <w:lvl w:ilvl="0" w:tplc="065A20CA">
      <w:start w:val="3"/>
      <w:numFmt w:val="bullet"/>
      <w:lvlText w:val="-"/>
      <w:lvlJc w:val="left"/>
      <w:pPr>
        <w:ind w:left="720" w:hanging="360"/>
      </w:pPr>
      <w:rPr>
        <w:rFonts w:ascii="Sylfaen" w:eastAsiaTheme="minorHAnsi" w:hAnsi="Sylfaen"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5E6D1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6BC52711"/>
    <w:multiLevelType w:val="hybridMultilevel"/>
    <w:tmpl w:val="7666956C"/>
    <w:lvl w:ilvl="0" w:tplc="9DFC7CF0">
      <w:start w:val="1"/>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9" w15:restartNumberingAfterBreak="0">
    <w:nsid w:val="6F47429D"/>
    <w:multiLevelType w:val="multilevel"/>
    <w:tmpl w:val="EAA8BDF4"/>
    <w:lvl w:ilvl="0">
      <w:start w:val="2"/>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0" w15:restartNumberingAfterBreak="0">
    <w:nsid w:val="71B57F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24D3C85"/>
    <w:multiLevelType w:val="hybridMultilevel"/>
    <w:tmpl w:val="37CE3A06"/>
    <w:lvl w:ilvl="0" w:tplc="7804A4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182477"/>
    <w:multiLevelType w:val="hybridMultilevel"/>
    <w:tmpl w:val="310C0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63500F"/>
    <w:multiLevelType w:val="hybridMultilevel"/>
    <w:tmpl w:val="F242766E"/>
    <w:lvl w:ilvl="0" w:tplc="A96AF9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9837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C0A6156"/>
    <w:multiLevelType w:val="multilevel"/>
    <w:tmpl w:val="AC80288E"/>
    <w:lvl w:ilvl="0">
      <w:start w:val="1"/>
      <w:numFmt w:val="decimal"/>
      <w:lvlText w:val="%1"/>
      <w:lvlJc w:val="left"/>
      <w:pPr>
        <w:ind w:left="720" w:hanging="360"/>
      </w:pPr>
      <w:rPr>
        <w:rFonts w:hint="default"/>
      </w:rPr>
    </w:lvl>
    <w:lvl w:ilvl="1">
      <w:start w:val="1"/>
      <w:numFmt w:val="decimal"/>
      <w:isLgl/>
      <w:lvlText w:val="%1.%2"/>
      <w:lvlJc w:val="left"/>
      <w:pPr>
        <w:ind w:left="936" w:hanging="36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1728" w:hanging="72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096" w:hanging="1440"/>
      </w:pPr>
      <w:rPr>
        <w:rFonts w:hint="default"/>
      </w:rPr>
    </w:lvl>
    <w:lvl w:ilvl="7">
      <w:start w:val="1"/>
      <w:numFmt w:val="decimal"/>
      <w:isLgl/>
      <w:lvlText w:val="%1.%2.%3.%4.%5.%6.%7.%8"/>
      <w:lvlJc w:val="left"/>
      <w:pPr>
        <w:ind w:left="3312" w:hanging="1440"/>
      </w:pPr>
      <w:rPr>
        <w:rFonts w:hint="default"/>
      </w:rPr>
    </w:lvl>
    <w:lvl w:ilvl="8">
      <w:start w:val="1"/>
      <w:numFmt w:val="decimal"/>
      <w:isLgl/>
      <w:lvlText w:val="%1.%2.%3.%4.%5.%6.%7.%8.%9"/>
      <w:lvlJc w:val="left"/>
      <w:pPr>
        <w:ind w:left="3888" w:hanging="1800"/>
      </w:pPr>
      <w:rPr>
        <w:rFonts w:hint="default"/>
      </w:rPr>
    </w:lvl>
  </w:abstractNum>
  <w:abstractNum w:abstractNumId="36" w15:restartNumberingAfterBreak="0">
    <w:nsid w:val="7DCE2EB1"/>
    <w:multiLevelType w:val="multilevel"/>
    <w:tmpl w:val="87044E3C"/>
    <w:lvl w:ilvl="0">
      <w:start w:val="1"/>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FD60A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42570806">
    <w:abstractNumId w:val="4"/>
  </w:num>
  <w:num w:numId="2" w16cid:durableId="958293891">
    <w:abstractNumId w:val="13"/>
  </w:num>
  <w:num w:numId="3" w16cid:durableId="720056568">
    <w:abstractNumId w:val="32"/>
  </w:num>
  <w:num w:numId="4" w16cid:durableId="423571646">
    <w:abstractNumId w:val="26"/>
  </w:num>
  <w:num w:numId="5" w16cid:durableId="1715543052">
    <w:abstractNumId w:val="28"/>
  </w:num>
  <w:num w:numId="6" w16cid:durableId="1463117704">
    <w:abstractNumId w:val="33"/>
  </w:num>
  <w:num w:numId="7" w16cid:durableId="307785975">
    <w:abstractNumId w:val="20"/>
  </w:num>
  <w:num w:numId="8" w16cid:durableId="92823478">
    <w:abstractNumId w:val="19"/>
  </w:num>
  <w:num w:numId="9" w16cid:durableId="280110926">
    <w:abstractNumId w:val="7"/>
  </w:num>
  <w:num w:numId="10" w16cid:durableId="2116973193">
    <w:abstractNumId w:val="10"/>
  </w:num>
  <w:num w:numId="11" w16cid:durableId="1901860004">
    <w:abstractNumId w:val="14"/>
  </w:num>
  <w:num w:numId="12" w16cid:durableId="1130246">
    <w:abstractNumId w:val="15"/>
  </w:num>
  <w:num w:numId="13" w16cid:durableId="188178761">
    <w:abstractNumId w:val="17"/>
  </w:num>
  <w:num w:numId="14" w16cid:durableId="1311783791">
    <w:abstractNumId w:val="30"/>
  </w:num>
  <w:num w:numId="15" w16cid:durableId="1720976191">
    <w:abstractNumId w:val="37"/>
  </w:num>
  <w:num w:numId="16" w16cid:durableId="1966889480">
    <w:abstractNumId w:val="16"/>
  </w:num>
  <w:num w:numId="17" w16cid:durableId="463082249">
    <w:abstractNumId w:val="24"/>
  </w:num>
  <w:num w:numId="18" w16cid:durableId="1707023270">
    <w:abstractNumId w:val="8"/>
  </w:num>
  <w:num w:numId="19" w16cid:durableId="65956085">
    <w:abstractNumId w:val="36"/>
  </w:num>
  <w:num w:numId="20" w16cid:durableId="1856994624">
    <w:abstractNumId w:val="21"/>
  </w:num>
  <w:num w:numId="21" w16cid:durableId="285428160">
    <w:abstractNumId w:val="25"/>
  </w:num>
  <w:num w:numId="22" w16cid:durableId="938609922">
    <w:abstractNumId w:val="11"/>
  </w:num>
  <w:num w:numId="23" w16cid:durableId="1853227240">
    <w:abstractNumId w:val="3"/>
  </w:num>
  <w:num w:numId="24" w16cid:durableId="227498280">
    <w:abstractNumId w:val="12"/>
  </w:num>
  <w:num w:numId="25" w16cid:durableId="665088600">
    <w:abstractNumId w:val="1"/>
  </w:num>
  <w:num w:numId="26" w16cid:durableId="543560233">
    <w:abstractNumId w:val="34"/>
  </w:num>
  <w:num w:numId="27" w16cid:durableId="1792092808">
    <w:abstractNumId w:val="22"/>
  </w:num>
  <w:num w:numId="28" w16cid:durableId="337393295">
    <w:abstractNumId w:val="27"/>
  </w:num>
  <w:num w:numId="29" w16cid:durableId="1851287128">
    <w:abstractNumId w:val="22"/>
  </w:num>
  <w:num w:numId="30" w16cid:durableId="1141073457">
    <w:abstractNumId w:val="29"/>
  </w:num>
  <w:num w:numId="31" w16cid:durableId="1508474165">
    <w:abstractNumId w:val="2"/>
  </w:num>
  <w:num w:numId="32" w16cid:durableId="1656756784">
    <w:abstractNumId w:val="18"/>
  </w:num>
  <w:num w:numId="33" w16cid:durableId="1114907875">
    <w:abstractNumId w:val="6"/>
  </w:num>
  <w:num w:numId="34" w16cid:durableId="201287327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29636597">
    <w:abstractNumId w:val="29"/>
    <w:lvlOverride w:ilvl="0">
      <w:startOverride w:val="2"/>
    </w:lvlOverride>
    <w:lvlOverride w:ilvl="1">
      <w:startOverride w:val="2"/>
    </w:lvlOverride>
  </w:num>
  <w:num w:numId="36" w16cid:durableId="1121071609">
    <w:abstractNumId w:val="29"/>
  </w:num>
  <w:num w:numId="37" w16cid:durableId="573275252">
    <w:abstractNumId w:val="35"/>
  </w:num>
  <w:num w:numId="38" w16cid:durableId="957833200">
    <w:abstractNumId w:val="9"/>
  </w:num>
  <w:num w:numId="39" w16cid:durableId="1341159257">
    <w:abstractNumId w:val="31"/>
  </w:num>
  <w:num w:numId="40" w16cid:durableId="688290125">
    <w:abstractNumId w:val="23"/>
  </w:num>
  <w:num w:numId="41" w16cid:durableId="20318252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35239401">
    <w:abstractNumId w:val="0"/>
  </w:num>
  <w:num w:numId="43" w16cid:durableId="1700668373">
    <w:abstractNumId w:val="5"/>
  </w:num>
  <w:num w:numId="44" w16cid:durableId="19017919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proofState w:spelling="clean" w:grammar="clean"/>
  <w:revisionView w:inkAnnotations="0"/>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UyMDYzNzCwNDI3MTFW0lEKTi0uzszPAykwNKwFAEm9Qb8tAAAA"/>
  </w:docVars>
  <w:rsids>
    <w:rsidRoot w:val="00A11244"/>
    <w:rsid w:val="00001202"/>
    <w:rsid w:val="00001D0B"/>
    <w:rsid w:val="000031B0"/>
    <w:rsid w:val="00012004"/>
    <w:rsid w:val="00013D89"/>
    <w:rsid w:val="00013F52"/>
    <w:rsid w:val="00016155"/>
    <w:rsid w:val="00021B7E"/>
    <w:rsid w:val="00024A7E"/>
    <w:rsid w:val="0002504E"/>
    <w:rsid w:val="0002523E"/>
    <w:rsid w:val="00025CFD"/>
    <w:rsid w:val="000262EA"/>
    <w:rsid w:val="00031249"/>
    <w:rsid w:val="00031A3E"/>
    <w:rsid w:val="00033F5F"/>
    <w:rsid w:val="000345B8"/>
    <w:rsid w:val="000408FC"/>
    <w:rsid w:val="00040E41"/>
    <w:rsid w:val="00041607"/>
    <w:rsid w:val="00042E9E"/>
    <w:rsid w:val="00047977"/>
    <w:rsid w:val="000514F3"/>
    <w:rsid w:val="00051DA8"/>
    <w:rsid w:val="00055887"/>
    <w:rsid w:val="000574C4"/>
    <w:rsid w:val="000608E9"/>
    <w:rsid w:val="000620C7"/>
    <w:rsid w:val="00062466"/>
    <w:rsid w:val="000625FD"/>
    <w:rsid w:val="00063078"/>
    <w:rsid w:val="00065408"/>
    <w:rsid w:val="000658AB"/>
    <w:rsid w:val="00067A3C"/>
    <w:rsid w:val="00067A9B"/>
    <w:rsid w:val="0007207C"/>
    <w:rsid w:val="00073F6B"/>
    <w:rsid w:val="000755C7"/>
    <w:rsid w:val="000774F7"/>
    <w:rsid w:val="00077603"/>
    <w:rsid w:val="00081C68"/>
    <w:rsid w:val="00081D0F"/>
    <w:rsid w:val="000829AC"/>
    <w:rsid w:val="00082CF5"/>
    <w:rsid w:val="000846E0"/>
    <w:rsid w:val="00086407"/>
    <w:rsid w:val="000909CC"/>
    <w:rsid w:val="000A0D61"/>
    <w:rsid w:val="000A249B"/>
    <w:rsid w:val="000A4126"/>
    <w:rsid w:val="000A7F19"/>
    <w:rsid w:val="000B09F5"/>
    <w:rsid w:val="000B0FA7"/>
    <w:rsid w:val="000B3477"/>
    <w:rsid w:val="000B36C9"/>
    <w:rsid w:val="000B522F"/>
    <w:rsid w:val="000B555F"/>
    <w:rsid w:val="000B5DBD"/>
    <w:rsid w:val="000B5E87"/>
    <w:rsid w:val="000C08BB"/>
    <w:rsid w:val="000C5843"/>
    <w:rsid w:val="000C5B08"/>
    <w:rsid w:val="000D1080"/>
    <w:rsid w:val="000D29C6"/>
    <w:rsid w:val="000D60DF"/>
    <w:rsid w:val="000D625C"/>
    <w:rsid w:val="000E21F2"/>
    <w:rsid w:val="000E386E"/>
    <w:rsid w:val="000E3E65"/>
    <w:rsid w:val="000E5032"/>
    <w:rsid w:val="000E5EC0"/>
    <w:rsid w:val="000E7DDD"/>
    <w:rsid w:val="000F0CA9"/>
    <w:rsid w:val="000F185A"/>
    <w:rsid w:val="000F3CB6"/>
    <w:rsid w:val="000F56E8"/>
    <w:rsid w:val="000F7364"/>
    <w:rsid w:val="000F79D0"/>
    <w:rsid w:val="000F7B29"/>
    <w:rsid w:val="001014AD"/>
    <w:rsid w:val="00102C02"/>
    <w:rsid w:val="00103038"/>
    <w:rsid w:val="001048E4"/>
    <w:rsid w:val="00104B2E"/>
    <w:rsid w:val="00105882"/>
    <w:rsid w:val="00106C45"/>
    <w:rsid w:val="001209E9"/>
    <w:rsid w:val="00120C41"/>
    <w:rsid w:val="00121301"/>
    <w:rsid w:val="00127110"/>
    <w:rsid w:val="00127794"/>
    <w:rsid w:val="00130489"/>
    <w:rsid w:val="00131DBD"/>
    <w:rsid w:val="001327E2"/>
    <w:rsid w:val="001369F5"/>
    <w:rsid w:val="00137B3A"/>
    <w:rsid w:val="00142E39"/>
    <w:rsid w:val="00143E3A"/>
    <w:rsid w:val="001444E1"/>
    <w:rsid w:val="00145C4B"/>
    <w:rsid w:val="001500D3"/>
    <w:rsid w:val="001528C2"/>
    <w:rsid w:val="00157D63"/>
    <w:rsid w:val="001604B1"/>
    <w:rsid w:val="00160697"/>
    <w:rsid w:val="001614D0"/>
    <w:rsid w:val="00162FD8"/>
    <w:rsid w:val="0016650B"/>
    <w:rsid w:val="00166832"/>
    <w:rsid w:val="00167D5F"/>
    <w:rsid w:val="001719D0"/>
    <w:rsid w:val="00173801"/>
    <w:rsid w:val="00175AF6"/>
    <w:rsid w:val="0018039F"/>
    <w:rsid w:val="00181CE1"/>
    <w:rsid w:val="001838AA"/>
    <w:rsid w:val="00183ED1"/>
    <w:rsid w:val="00184DF7"/>
    <w:rsid w:val="00185F7F"/>
    <w:rsid w:val="00186043"/>
    <w:rsid w:val="001868D6"/>
    <w:rsid w:val="00186DDC"/>
    <w:rsid w:val="001877A4"/>
    <w:rsid w:val="00193CCC"/>
    <w:rsid w:val="00196F44"/>
    <w:rsid w:val="00197144"/>
    <w:rsid w:val="001A1089"/>
    <w:rsid w:val="001A1479"/>
    <w:rsid w:val="001A27F4"/>
    <w:rsid w:val="001A4E5A"/>
    <w:rsid w:val="001A4E6B"/>
    <w:rsid w:val="001A5D77"/>
    <w:rsid w:val="001A6264"/>
    <w:rsid w:val="001A7222"/>
    <w:rsid w:val="001B2FC5"/>
    <w:rsid w:val="001B4862"/>
    <w:rsid w:val="001B4BD8"/>
    <w:rsid w:val="001B55F5"/>
    <w:rsid w:val="001B6B1B"/>
    <w:rsid w:val="001B7623"/>
    <w:rsid w:val="001C0B50"/>
    <w:rsid w:val="001C26D3"/>
    <w:rsid w:val="001C3484"/>
    <w:rsid w:val="001C4912"/>
    <w:rsid w:val="001C594A"/>
    <w:rsid w:val="001C6A77"/>
    <w:rsid w:val="001C72C8"/>
    <w:rsid w:val="001D242E"/>
    <w:rsid w:val="001D2FBD"/>
    <w:rsid w:val="001D3AF8"/>
    <w:rsid w:val="001D53E9"/>
    <w:rsid w:val="001E219B"/>
    <w:rsid w:val="001E31D7"/>
    <w:rsid w:val="001E3FEE"/>
    <w:rsid w:val="001E67B4"/>
    <w:rsid w:val="001E6DD6"/>
    <w:rsid w:val="001E6E87"/>
    <w:rsid w:val="001E7B47"/>
    <w:rsid w:val="001F0188"/>
    <w:rsid w:val="001F066D"/>
    <w:rsid w:val="001F3769"/>
    <w:rsid w:val="001F43BB"/>
    <w:rsid w:val="001F4460"/>
    <w:rsid w:val="001F4B2D"/>
    <w:rsid w:val="001F73B4"/>
    <w:rsid w:val="002003DB"/>
    <w:rsid w:val="00201B98"/>
    <w:rsid w:val="00203340"/>
    <w:rsid w:val="002033D4"/>
    <w:rsid w:val="00204F9A"/>
    <w:rsid w:val="00205C02"/>
    <w:rsid w:val="00211809"/>
    <w:rsid w:val="00212E37"/>
    <w:rsid w:val="00212E97"/>
    <w:rsid w:val="00213284"/>
    <w:rsid w:val="00213717"/>
    <w:rsid w:val="002137D3"/>
    <w:rsid w:val="00222999"/>
    <w:rsid w:val="00227379"/>
    <w:rsid w:val="0023170F"/>
    <w:rsid w:val="0023239D"/>
    <w:rsid w:val="00232905"/>
    <w:rsid w:val="00235A4B"/>
    <w:rsid w:val="00236D6F"/>
    <w:rsid w:val="00241057"/>
    <w:rsid w:val="0024140E"/>
    <w:rsid w:val="002431E6"/>
    <w:rsid w:val="002434D7"/>
    <w:rsid w:val="00251038"/>
    <w:rsid w:val="00251275"/>
    <w:rsid w:val="002530AA"/>
    <w:rsid w:val="002533EE"/>
    <w:rsid w:val="0025523E"/>
    <w:rsid w:val="00255FBE"/>
    <w:rsid w:val="00261FC6"/>
    <w:rsid w:val="00272FF7"/>
    <w:rsid w:val="0027312A"/>
    <w:rsid w:val="00275CA6"/>
    <w:rsid w:val="0027656F"/>
    <w:rsid w:val="0028100F"/>
    <w:rsid w:val="00283031"/>
    <w:rsid w:val="002831A0"/>
    <w:rsid w:val="00287092"/>
    <w:rsid w:val="0028729E"/>
    <w:rsid w:val="00287AC3"/>
    <w:rsid w:val="00287ACA"/>
    <w:rsid w:val="0029287A"/>
    <w:rsid w:val="00293DEA"/>
    <w:rsid w:val="00295796"/>
    <w:rsid w:val="002A07B8"/>
    <w:rsid w:val="002A1017"/>
    <w:rsid w:val="002A1B03"/>
    <w:rsid w:val="002A5B71"/>
    <w:rsid w:val="002A5B9C"/>
    <w:rsid w:val="002A670C"/>
    <w:rsid w:val="002A6C65"/>
    <w:rsid w:val="002A7086"/>
    <w:rsid w:val="002A7557"/>
    <w:rsid w:val="002A7CBF"/>
    <w:rsid w:val="002B06E6"/>
    <w:rsid w:val="002B0B16"/>
    <w:rsid w:val="002B0D13"/>
    <w:rsid w:val="002B1F22"/>
    <w:rsid w:val="002B25E8"/>
    <w:rsid w:val="002B28F3"/>
    <w:rsid w:val="002B30FE"/>
    <w:rsid w:val="002B558B"/>
    <w:rsid w:val="002C0936"/>
    <w:rsid w:val="002C366D"/>
    <w:rsid w:val="002C36BF"/>
    <w:rsid w:val="002C4FAA"/>
    <w:rsid w:val="002C51A7"/>
    <w:rsid w:val="002C603B"/>
    <w:rsid w:val="002C72E3"/>
    <w:rsid w:val="002C7BDC"/>
    <w:rsid w:val="002D0D4E"/>
    <w:rsid w:val="002D0F93"/>
    <w:rsid w:val="002D1088"/>
    <w:rsid w:val="002D1951"/>
    <w:rsid w:val="002D5C67"/>
    <w:rsid w:val="002D60C2"/>
    <w:rsid w:val="002D679E"/>
    <w:rsid w:val="002E1EB7"/>
    <w:rsid w:val="002E374D"/>
    <w:rsid w:val="002E4042"/>
    <w:rsid w:val="002E4A96"/>
    <w:rsid w:val="002E69B4"/>
    <w:rsid w:val="002F0A49"/>
    <w:rsid w:val="002F1F1C"/>
    <w:rsid w:val="002F330F"/>
    <w:rsid w:val="002F679C"/>
    <w:rsid w:val="00304C94"/>
    <w:rsid w:val="0030763C"/>
    <w:rsid w:val="00307810"/>
    <w:rsid w:val="003147CB"/>
    <w:rsid w:val="003160C0"/>
    <w:rsid w:val="003168CE"/>
    <w:rsid w:val="00321A8C"/>
    <w:rsid w:val="00321FA3"/>
    <w:rsid w:val="00323512"/>
    <w:rsid w:val="0032528E"/>
    <w:rsid w:val="00325775"/>
    <w:rsid w:val="00327324"/>
    <w:rsid w:val="0033118A"/>
    <w:rsid w:val="00332877"/>
    <w:rsid w:val="00333C33"/>
    <w:rsid w:val="00333F62"/>
    <w:rsid w:val="0033490E"/>
    <w:rsid w:val="0033615F"/>
    <w:rsid w:val="003372CA"/>
    <w:rsid w:val="003373E7"/>
    <w:rsid w:val="00340077"/>
    <w:rsid w:val="0034017E"/>
    <w:rsid w:val="00341430"/>
    <w:rsid w:val="0034241B"/>
    <w:rsid w:val="0034335D"/>
    <w:rsid w:val="00343586"/>
    <w:rsid w:val="00346D12"/>
    <w:rsid w:val="00346F95"/>
    <w:rsid w:val="00351945"/>
    <w:rsid w:val="00351F51"/>
    <w:rsid w:val="0035320A"/>
    <w:rsid w:val="003557F4"/>
    <w:rsid w:val="00356909"/>
    <w:rsid w:val="00361C86"/>
    <w:rsid w:val="00363E6F"/>
    <w:rsid w:val="00365A26"/>
    <w:rsid w:val="00365A3A"/>
    <w:rsid w:val="00365A68"/>
    <w:rsid w:val="003669F9"/>
    <w:rsid w:val="00366A91"/>
    <w:rsid w:val="00370E25"/>
    <w:rsid w:val="00371E07"/>
    <w:rsid w:val="00372375"/>
    <w:rsid w:val="003736A5"/>
    <w:rsid w:val="00374604"/>
    <w:rsid w:val="003758C1"/>
    <w:rsid w:val="00376579"/>
    <w:rsid w:val="0037678C"/>
    <w:rsid w:val="00377743"/>
    <w:rsid w:val="00382831"/>
    <w:rsid w:val="00384912"/>
    <w:rsid w:val="003857FC"/>
    <w:rsid w:val="003900CC"/>
    <w:rsid w:val="00392BCD"/>
    <w:rsid w:val="00393883"/>
    <w:rsid w:val="00393DDB"/>
    <w:rsid w:val="0039693F"/>
    <w:rsid w:val="00396F16"/>
    <w:rsid w:val="003A3626"/>
    <w:rsid w:val="003A45D6"/>
    <w:rsid w:val="003A4BEF"/>
    <w:rsid w:val="003A4E7A"/>
    <w:rsid w:val="003A5AEF"/>
    <w:rsid w:val="003A5E45"/>
    <w:rsid w:val="003A65A4"/>
    <w:rsid w:val="003A6B41"/>
    <w:rsid w:val="003A6D17"/>
    <w:rsid w:val="003A7513"/>
    <w:rsid w:val="003B1734"/>
    <w:rsid w:val="003B1A43"/>
    <w:rsid w:val="003B4CD2"/>
    <w:rsid w:val="003B5E4A"/>
    <w:rsid w:val="003C0C51"/>
    <w:rsid w:val="003C21E3"/>
    <w:rsid w:val="003C2C40"/>
    <w:rsid w:val="003C3739"/>
    <w:rsid w:val="003C4368"/>
    <w:rsid w:val="003C4FC3"/>
    <w:rsid w:val="003C57D4"/>
    <w:rsid w:val="003C5A43"/>
    <w:rsid w:val="003C71C7"/>
    <w:rsid w:val="003C7302"/>
    <w:rsid w:val="003D07AE"/>
    <w:rsid w:val="003D0BB5"/>
    <w:rsid w:val="003D2D86"/>
    <w:rsid w:val="003D2D8B"/>
    <w:rsid w:val="003D3195"/>
    <w:rsid w:val="003E147A"/>
    <w:rsid w:val="003E1DE8"/>
    <w:rsid w:val="003E471E"/>
    <w:rsid w:val="003E54BB"/>
    <w:rsid w:val="003E5807"/>
    <w:rsid w:val="003E5F9F"/>
    <w:rsid w:val="003E6033"/>
    <w:rsid w:val="003F0DDD"/>
    <w:rsid w:val="003F1C0E"/>
    <w:rsid w:val="003F26B6"/>
    <w:rsid w:val="003F7C71"/>
    <w:rsid w:val="003F7D92"/>
    <w:rsid w:val="00400A9D"/>
    <w:rsid w:val="00403263"/>
    <w:rsid w:val="00404541"/>
    <w:rsid w:val="0040508E"/>
    <w:rsid w:val="004066C1"/>
    <w:rsid w:val="00413A19"/>
    <w:rsid w:val="0042054C"/>
    <w:rsid w:val="00420566"/>
    <w:rsid w:val="004216E8"/>
    <w:rsid w:val="00423C67"/>
    <w:rsid w:val="00424DCE"/>
    <w:rsid w:val="00430830"/>
    <w:rsid w:val="00430876"/>
    <w:rsid w:val="00433705"/>
    <w:rsid w:val="00433F14"/>
    <w:rsid w:val="004353CE"/>
    <w:rsid w:val="00435CE7"/>
    <w:rsid w:val="0043619C"/>
    <w:rsid w:val="004361C5"/>
    <w:rsid w:val="00441D3F"/>
    <w:rsid w:val="004437D4"/>
    <w:rsid w:val="00447129"/>
    <w:rsid w:val="00447BFD"/>
    <w:rsid w:val="00447E12"/>
    <w:rsid w:val="00450371"/>
    <w:rsid w:val="00451A09"/>
    <w:rsid w:val="00453678"/>
    <w:rsid w:val="00454283"/>
    <w:rsid w:val="00454840"/>
    <w:rsid w:val="004557E2"/>
    <w:rsid w:val="00457D02"/>
    <w:rsid w:val="00461DEC"/>
    <w:rsid w:val="00463285"/>
    <w:rsid w:val="00464F8F"/>
    <w:rsid w:val="00466909"/>
    <w:rsid w:val="00470E24"/>
    <w:rsid w:val="00473CDE"/>
    <w:rsid w:val="00473F07"/>
    <w:rsid w:val="00474E69"/>
    <w:rsid w:val="004762F9"/>
    <w:rsid w:val="00484C23"/>
    <w:rsid w:val="00484DB4"/>
    <w:rsid w:val="004852AA"/>
    <w:rsid w:val="00485941"/>
    <w:rsid w:val="00490860"/>
    <w:rsid w:val="00493E9F"/>
    <w:rsid w:val="00494294"/>
    <w:rsid w:val="004953FA"/>
    <w:rsid w:val="0049640B"/>
    <w:rsid w:val="00497E1B"/>
    <w:rsid w:val="004A0D90"/>
    <w:rsid w:val="004A211D"/>
    <w:rsid w:val="004A258C"/>
    <w:rsid w:val="004A540D"/>
    <w:rsid w:val="004A6CB4"/>
    <w:rsid w:val="004A701E"/>
    <w:rsid w:val="004A7400"/>
    <w:rsid w:val="004A7AC6"/>
    <w:rsid w:val="004B0AD9"/>
    <w:rsid w:val="004B3A8E"/>
    <w:rsid w:val="004B3AF6"/>
    <w:rsid w:val="004B4652"/>
    <w:rsid w:val="004B4A13"/>
    <w:rsid w:val="004B4B3A"/>
    <w:rsid w:val="004B61B2"/>
    <w:rsid w:val="004C1796"/>
    <w:rsid w:val="004C494D"/>
    <w:rsid w:val="004C4F96"/>
    <w:rsid w:val="004C54F3"/>
    <w:rsid w:val="004C5EB9"/>
    <w:rsid w:val="004D03E5"/>
    <w:rsid w:val="004D15FD"/>
    <w:rsid w:val="004D1AE3"/>
    <w:rsid w:val="004D5604"/>
    <w:rsid w:val="004D72D2"/>
    <w:rsid w:val="004D7401"/>
    <w:rsid w:val="004D7E0D"/>
    <w:rsid w:val="004D7EF9"/>
    <w:rsid w:val="004E064D"/>
    <w:rsid w:val="004E26C7"/>
    <w:rsid w:val="004E2908"/>
    <w:rsid w:val="004E2BC9"/>
    <w:rsid w:val="004E2C51"/>
    <w:rsid w:val="004E4B69"/>
    <w:rsid w:val="004E4E46"/>
    <w:rsid w:val="004E63F8"/>
    <w:rsid w:val="004E67CC"/>
    <w:rsid w:val="004E6A8C"/>
    <w:rsid w:val="004F08E8"/>
    <w:rsid w:val="004F1A00"/>
    <w:rsid w:val="005009AB"/>
    <w:rsid w:val="00501AD4"/>
    <w:rsid w:val="00503ACF"/>
    <w:rsid w:val="00506AD4"/>
    <w:rsid w:val="00510F77"/>
    <w:rsid w:val="00511828"/>
    <w:rsid w:val="005124C4"/>
    <w:rsid w:val="00513F6E"/>
    <w:rsid w:val="00520A19"/>
    <w:rsid w:val="005224B7"/>
    <w:rsid w:val="00522739"/>
    <w:rsid w:val="00523556"/>
    <w:rsid w:val="00524F7B"/>
    <w:rsid w:val="00527482"/>
    <w:rsid w:val="00532199"/>
    <w:rsid w:val="0053220D"/>
    <w:rsid w:val="00532246"/>
    <w:rsid w:val="0053236F"/>
    <w:rsid w:val="00537E73"/>
    <w:rsid w:val="0054128F"/>
    <w:rsid w:val="00542267"/>
    <w:rsid w:val="005430AA"/>
    <w:rsid w:val="00544875"/>
    <w:rsid w:val="0054785F"/>
    <w:rsid w:val="00547CE8"/>
    <w:rsid w:val="0055054B"/>
    <w:rsid w:val="00550712"/>
    <w:rsid w:val="0055129B"/>
    <w:rsid w:val="005515D6"/>
    <w:rsid w:val="00551B05"/>
    <w:rsid w:val="005531AC"/>
    <w:rsid w:val="005563CA"/>
    <w:rsid w:val="00560FB0"/>
    <w:rsid w:val="00562BED"/>
    <w:rsid w:val="00564A38"/>
    <w:rsid w:val="005657AD"/>
    <w:rsid w:val="005709D6"/>
    <w:rsid w:val="005710D2"/>
    <w:rsid w:val="00571D0C"/>
    <w:rsid w:val="005733B8"/>
    <w:rsid w:val="0057693A"/>
    <w:rsid w:val="00580298"/>
    <w:rsid w:val="00583FBE"/>
    <w:rsid w:val="0058428D"/>
    <w:rsid w:val="0058436F"/>
    <w:rsid w:val="00585005"/>
    <w:rsid w:val="0058693B"/>
    <w:rsid w:val="00591578"/>
    <w:rsid w:val="00591823"/>
    <w:rsid w:val="00591B2E"/>
    <w:rsid w:val="005949C8"/>
    <w:rsid w:val="00596E65"/>
    <w:rsid w:val="005A0440"/>
    <w:rsid w:val="005A1E40"/>
    <w:rsid w:val="005A2237"/>
    <w:rsid w:val="005A23D8"/>
    <w:rsid w:val="005A3BBF"/>
    <w:rsid w:val="005A3FD5"/>
    <w:rsid w:val="005A62DD"/>
    <w:rsid w:val="005A650E"/>
    <w:rsid w:val="005A6DEB"/>
    <w:rsid w:val="005A7373"/>
    <w:rsid w:val="005B1FC1"/>
    <w:rsid w:val="005B29AA"/>
    <w:rsid w:val="005B5300"/>
    <w:rsid w:val="005C0950"/>
    <w:rsid w:val="005C275D"/>
    <w:rsid w:val="005C2A55"/>
    <w:rsid w:val="005C3402"/>
    <w:rsid w:val="005C3814"/>
    <w:rsid w:val="005C685D"/>
    <w:rsid w:val="005D4CE2"/>
    <w:rsid w:val="005D5278"/>
    <w:rsid w:val="005D7901"/>
    <w:rsid w:val="005D7A8A"/>
    <w:rsid w:val="005E065B"/>
    <w:rsid w:val="005E088C"/>
    <w:rsid w:val="005E0B4C"/>
    <w:rsid w:val="005E0D91"/>
    <w:rsid w:val="005E1A6C"/>
    <w:rsid w:val="005E28EE"/>
    <w:rsid w:val="005E330A"/>
    <w:rsid w:val="005E5F5C"/>
    <w:rsid w:val="005F030B"/>
    <w:rsid w:val="005F3540"/>
    <w:rsid w:val="005F4A93"/>
    <w:rsid w:val="005F54C1"/>
    <w:rsid w:val="005F65AD"/>
    <w:rsid w:val="005F7B08"/>
    <w:rsid w:val="00602552"/>
    <w:rsid w:val="00603FB2"/>
    <w:rsid w:val="00605E67"/>
    <w:rsid w:val="006105A5"/>
    <w:rsid w:val="006133AD"/>
    <w:rsid w:val="00613FB2"/>
    <w:rsid w:val="00616532"/>
    <w:rsid w:val="0061719E"/>
    <w:rsid w:val="006177C7"/>
    <w:rsid w:val="0062026C"/>
    <w:rsid w:val="00621AE3"/>
    <w:rsid w:val="00621DE8"/>
    <w:rsid w:val="00621EFB"/>
    <w:rsid w:val="006224FA"/>
    <w:rsid w:val="0062288A"/>
    <w:rsid w:val="00624B59"/>
    <w:rsid w:val="00625B71"/>
    <w:rsid w:val="00626E43"/>
    <w:rsid w:val="00630C25"/>
    <w:rsid w:val="0063187D"/>
    <w:rsid w:val="00633974"/>
    <w:rsid w:val="00637E89"/>
    <w:rsid w:val="0064021F"/>
    <w:rsid w:val="00641503"/>
    <w:rsid w:val="00642193"/>
    <w:rsid w:val="0064411D"/>
    <w:rsid w:val="006453FC"/>
    <w:rsid w:val="0064566C"/>
    <w:rsid w:val="00645B53"/>
    <w:rsid w:val="006465B0"/>
    <w:rsid w:val="00647CAB"/>
    <w:rsid w:val="00652507"/>
    <w:rsid w:val="00655644"/>
    <w:rsid w:val="0065594F"/>
    <w:rsid w:val="006600B8"/>
    <w:rsid w:val="0066042D"/>
    <w:rsid w:val="00663129"/>
    <w:rsid w:val="0066407F"/>
    <w:rsid w:val="00666AA5"/>
    <w:rsid w:val="00670E11"/>
    <w:rsid w:val="00670FA1"/>
    <w:rsid w:val="00671699"/>
    <w:rsid w:val="0067274A"/>
    <w:rsid w:val="00674666"/>
    <w:rsid w:val="00674CF1"/>
    <w:rsid w:val="00681577"/>
    <w:rsid w:val="00682491"/>
    <w:rsid w:val="006912AB"/>
    <w:rsid w:val="00697306"/>
    <w:rsid w:val="006A22A2"/>
    <w:rsid w:val="006A53B5"/>
    <w:rsid w:val="006A64A4"/>
    <w:rsid w:val="006A689E"/>
    <w:rsid w:val="006C0810"/>
    <w:rsid w:val="006C131E"/>
    <w:rsid w:val="006C37C8"/>
    <w:rsid w:val="006C4E49"/>
    <w:rsid w:val="006C70B0"/>
    <w:rsid w:val="006C7D25"/>
    <w:rsid w:val="006D4685"/>
    <w:rsid w:val="006D537E"/>
    <w:rsid w:val="006D5D77"/>
    <w:rsid w:val="006E19AD"/>
    <w:rsid w:val="006E48F8"/>
    <w:rsid w:val="006E498D"/>
    <w:rsid w:val="006E4EE6"/>
    <w:rsid w:val="006E670F"/>
    <w:rsid w:val="006E737D"/>
    <w:rsid w:val="006F1909"/>
    <w:rsid w:val="006F2277"/>
    <w:rsid w:val="006F3A56"/>
    <w:rsid w:val="006F4E09"/>
    <w:rsid w:val="006F54DF"/>
    <w:rsid w:val="006F5D42"/>
    <w:rsid w:val="006F6C5E"/>
    <w:rsid w:val="006F7EC0"/>
    <w:rsid w:val="00700222"/>
    <w:rsid w:val="0070415F"/>
    <w:rsid w:val="00704381"/>
    <w:rsid w:val="007078CE"/>
    <w:rsid w:val="007079FF"/>
    <w:rsid w:val="0071040F"/>
    <w:rsid w:val="00710F9F"/>
    <w:rsid w:val="00711AFE"/>
    <w:rsid w:val="00711C65"/>
    <w:rsid w:val="00713320"/>
    <w:rsid w:val="00716853"/>
    <w:rsid w:val="00721A1D"/>
    <w:rsid w:val="007221DB"/>
    <w:rsid w:val="0072344E"/>
    <w:rsid w:val="007234F6"/>
    <w:rsid w:val="00725A7F"/>
    <w:rsid w:val="00726CD3"/>
    <w:rsid w:val="00727DEE"/>
    <w:rsid w:val="0073144A"/>
    <w:rsid w:val="007320CF"/>
    <w:rsid w:val="00732D40"/>
    <w:rsid w:val="0074093B"/>
    <w:rsid w:val="0074366C"/>
    <w:rsid w:val="00743A4B"/>
    <w:rsid w:val="00744400"/>
    <w:rsid w:val="007447ED"/>
    <w:rsid w:val="00744F0F"/>
    <w:rsid w:val="0075086B"/>
    <w:rsid w:val="00751AD6"/>
    <w:rsid w:val="00763C56"/>
    <w:rsid w:val="0076648E"/>
    <w:rsid w:val="00767DE0"/>
    <w:rsid w:val="007720C6"/>
    <w:rsid w:val="00772157"/>
    <w:rsid w:val="00772D1E"/>
    <w:rsid w:val="0077592C"/>
    <w:rsid w:val="00775C2C"/>
    <w:rsid w:val="00781054"/>
    <w:rsid w:val="00781ECB"/>
    <w:rsid w:val="00786E9B"/>
    <w:rsid w:val="007871A7"/>
    <w:rsid w:val="00792415"/>
    <w:rsid w:val="00794BEE"/>
    <w:rsid w:val="00796C1B"/>
    <w:rsid w:val="007974CA"/>
    <w:rsid w:val="0079765A"/>
    <w:rsid w:val="00797B13"/>
    <w:rsid w:val="007A01B9"/>
    <w:rsid w:val="007A220C"/>
    <w:rsid w:val="007A405A"/>
    <w:rsid w:val="007B0737"/>
    <w:rsid w:val="007B1586"/>
    <w:rsid w:val="007B160D"/>
    <w:rsid w:val="007B6B75"/>
    <w:rsid w:val="007B7224"/>
    <w:rsid w:val="007C081C"/>
    <w:rsid w:val="007C0E7B"/>
    <w:rsid w:val="007C19D5"/>
    <w:rsid w:val="007C445C"/>
    <w:rsid w:val="007C4795"/>
    <w:rsid w:val="007C5943"/>
    <w:rsid w:val="007C6605"/>
    <w:rsid w:val="007C6704"/>
    <w:rsid w:val="007C676C"/>
    <w:rsid w:val="007C7F3B"/>
    <w:rsid w:val="007D2049"/>
    <w:rsid w:val="007D5B8A"/>
    <w:rsid w:val="007E1040"/>
    <w:rsid w:val="007E351C"/>
    <w:rsid w:val="007E58B1"/>
    <w:rsid w:val="007E686D"/>
    <w:rsid w:val="007F7E56"/>
    <w:rsid w:val="00801C21"/>
    <w:rsid w:val="00805FE4"/>
    <w:rsid w:val="00807B33"/>
    <w:rsid w:val="00807BA2"/>
    <w:rsid w:val="00812206"/>
    <w:rsid w:val="00812716"/>
    <w:rsid w:val="00812948"/>
    <w:rsid w:val="00812C44"/>
    <w:rsid w:val="00813116"/>
    <w:rsid w:val="008140C8"/>
    <w:rsid w:val="00815046"/>
    <w:rsid w:val="00815DC5"/>
    <w:rsid w:val="008166A4"/>
    <w:rsid w:val="00821D90"/>
    <w:rsid w:val="008239A6"/>
    <w:rsid w:val="00827C4F"/>
    <w:rsid w:val="00831A0A"/>
    <w:rsid w:val="00833D83"/>
    <w:rsid w:val="00836262"/>
    <w:rsid w:val="00837042"/>
    <w:rsid w:val="008407CC"/>
    <w:rsid w:val="008412F6"/>
    <w:rsid w:val="008424A0"/>
    <w:rsid w:val="008450C8"/>
    <w:rsid w:val="00846114"/>
    <w:rsid w:val="00854A0F"/>
    <w:rsid w:val="0085587D"/>
    <w:rsid w:val="00855D3F"/>
    <w:rsid w:val="008573F8"/>
    <w:rsid w:val="00860BAA"/>
    <w:rsid w:val="00862543"/>
    <w:rsid w:val="00870531"/>
    <w:rsid w:val="0087054E"/>
    <w:rsid w:val="00870C71"/>
    <w:rsid w:val="008716EA"/>
    <w:rsid w:val="0087445E"/>
    <w:rsid w:val="00875803"/>
    <w:rsid w:val="00880258"/>
    <w:rsid w:val="008806FA"/>
    <w:rsid w:val="00882F23"/>
    <w:rsid w:val="008857AD"/>
    <w:rsid w:val="00886B67"/>
    <w:rsid w:val="00886F07"/>
    <w:rsid w:val="00891829"/>
    <w:rsid w:val="00891CC7"/>
    <w:rsid w:val="008933B9"/>
    <w:rsid w:val="0089375A"/>
    <w:rsid w:val="008942D8"/>
    <w:rsid w:val="0089597F"/>
    <w:rsid w:val="0089797F"/>
    <w:rsid w:val="00897B68"/>
    <w:rsid w:val="008A084D"/>
    <w:rsid w:val="008A4045"/>
    <w:rsid w:val="008A4F70"/>
    <w:rsid w:val="008A5850"/>
    <w:rsid w:val="008B14E6"/>
    <w:rsid w:val="008B24AD"/>
    <w:rsid w:val="008B261C"/>
    <w:rsid w:val="008B2E87"/>
    <w:rsid w:val="008B5172"/>
    <w:rsid w:val="008B681D"/>
    <w:rsid w:val="008B744B"/>
    <w:rsid w:val="008C2717"/>
    <w:rsid w:val="008C38A9"/>
    <w:rsid w:val="008C3C5A"/>
    <w:rsid w:val="008C7FC3"/>
    <w:rsid w:val="008D06C4"/>
    <w:rsid w:val="008D3774"/>
    <w:rsid w:val="008D4021"/>
    <w:rsid w:val="008D457F"/>
    <w:rsid w:val="008D5596"/>
    <w:rsid w:val="008D62A1"/>
    <w:rsid w:val="008D6F99"/>
    <w:rsid w:val="008D702A"/>
    <w:rsid w:val="008D73BD"/>
    <w:rsid w:val="008E0391"/>
    <w:rsid w:val="008E6DB4"/>
    <w:rsid w:val="008E6F45"/>
    <w:rsid w:val="008E709D"/>
    <w:rsid w:val="008E7CD0"/>
    <w:rsid w:val="008F1A88"/>
    <w:rsid w:val="008F3592"/>
    <w:rsid w:val="008F3CDA"/>
    <w:rsid w:val="008F449D"/>
    <w:rsid w:val="008F4A9B"/>
    <w:rsid w:val="008F66F5"/>
    <w:rsid w:val="00900465"/>
    <w:rsid w:val="00901576"/>
    <w:rsid w:val="0090566B"/>
    <w:rsid w:val="00906442"/>
    <w:rsid w:val="009070B1"/>
    <w:rsid w:val="00910C3C"/>
    <w:rsid w:val="0091110F"/>
    <w:rsid w:val="0091143D"/>
    <w:rsid w:val="00911EEA"/>
    <w:rsid w:val="00912494"/>
    <w:rsid w:val="00916E2F"/>
    <w:rsid w:val="00916E9C"/>
    <w:rsid w:val="0091706F"/>
    <w:rsid w:val="00917115"/>
    <w:rsid w:val="00921BB4"/>
    <w:rsid w:val="00923ABA"/>
    <w:rsid w:val="00924110"/>
    <w:rsid w:val="009263D8"/>
    <w:rsid w:val="00926E83"/>
    <w:rsid w:val="0093038A"/>
    <w:rsid w:val="009320DB"/>
    <w:rsid w:val="00935FE0"/>
    <w:rsid w:val="0094135F"/>
    <w:rsid w:val="009416CF"/>
    <w:rsid w:val="009434DE"/>
    <w:rsid w:val="00943943"/>
    <w:rsid w:val="00945F63"/>
    <w:rsid w:val="0094784F"/>
    <w:rsid w:val="00950DC1"/>
    <w:rsid w:val="00950F6E"/>
    <w:rsid w:val="00951E7E"/>
    <w:rsid w:val="009521CF"/>
    <w:rsid w:val="00952A4E"/>
    <w:rsid w:val="009532CF"/>
    <w:rsid w:val="0095411C"/>
    <w:rsid w:val="00954461"/>
    <w:rsid w:val="00954502"/>
    <w:rsid w:val="00956CD5"/>
    <w:rsid w:val="00956D70"/>
    <w:rsid w:val="00956F6F"/>
    <w:rsid w:val="009611B1"/>
    <w:rsid w:val="00961CC4"/>
    <w:rsid w:val="00962AE0"/>
    <w:rsid w:val="00965FBC"/>
    <w:rsid w:val="00967DF9"/>
    <w:rsid w:val="009713C0"/>
    <w:rsid w:val="009744C2"/>
    <w:rsid w:val="0097451F"/>
    <w:rsid w:val="00974EC3"/>
    <w:rsid w:val="0097514F"/>
    <w:rsid w:val="0097756F"/>
    <w:rsid w:val="00980C3D"/>
    <w:rsid w:val="00985485"/>
    <w:rsid w:val="00991424"/>
    <w:rsid w:val="00992602"/>
    <w:rsid w:val="00993F58"/>
    <w:rsid w:val="00994587"/>
    <w:rsid w:val="00997C31"/>
    <w:rsid w:val="00997CCB"/>
    <w:rsid w:val="009A16DB"/>
    <w:rsid w:val="009A2926"/>
    <w:rsid w:val="009A29A6"/>
    <w:rsid w:val="009A35A4"/>
    <w:rsid w:val="009A54D0"/>
    <w:rsid w:val="009B06D5"/>
    <w:rsid w:val="009B3D8A"/>
    <w:rsid w:val="009B4516"/>
    <w:rsid w:val="009B6979"/>
    <w:rsid w:val="009B6D9F"/>
    <w:rsid w:val="009C30E1"/>
    <w:rsid w:val="009C50A8"/>
    <w:rsid w:val="009C71AF"/>
    <w:rsid w:val="009D3340"/>
    <w:rsid w:val="009D5A67"/>
    <w:rsid w:val="009D717F"/>
    <w:rsid w:val="009D7BDA"/>
    <w:rsid w:val="009E0F8D"/>
    <w:rsid w:val="009E5EE5"/>
    <w:rsid w:val="009E5FB1"/>
    <w:rsid w:val="009E6E9C"/>
    <w:rsid w:val="009E7142"/>
    <w:rsid w:val="009F0FA9"/>
    <w:rsid w:val="009F5D79"/>
    <w:rsid w:val="009F664C"/>
    <w:rsid w:val="009F7105"/>
    <w:rsid w:val="00A00310"/>
    <w:rsid w:val="00A017EF"/>
    <w:rsid w:val="00A01A71"/>
    <w:rsid w:val="00A01FA6"/>
    <w:rsid w:val="00A025D4"/>
    <w:rsid w:val="00A027D8"/>
    <w:rsid w:val="00A07296"/>
    <w:rsid w:val="00A10164"/>
    <w:rsid w:val="00A11244"/>
    <w:rsid w:val="00A132B0"/>
    <w:rsid w:val="00A207E2"/>
    <w:rsid w:val="00A2091E"/>
    <w:rsid w:val="00A210B6"/>
    <w:rsid w:val="00A212E7"/>
    <w:rsid w:val="00A22E3E"/>
    <w:rsid w:val="00A23552"/>
    <w:rsid w:val="00A24BA1"/>
    <w:rsid w:val="00A254F0"/>
    <w:rsid w:val="00A25580"/>
    <w:rsid w:val="00A257B8"/>
    <w:rsid w:val="00A267CF"/>
    <w:rsid w:val="00A27830"/>
    <w:rsid w:val="00A27E24"/>
    <w:rsid w:val="00A30AD9"/>
    <w:rsid w:val="00A32A66"/>
    <w:rsid w:val="00A34CB2"/>
    <w:rsid w:val="00A34E7D"/>
    <w:rsid w:val="00A369AC"/>
    <w:rsid w:val="00A37F2E"/>
    <w:rsid w:val="00A40729"/>
    <w:rsid w:val="00A40D71"/>
    <w:rsid w:val="00A41084"/>
    <w:rsid w:val="00A440DB"/>
    <w:rsid w:val="00A44F55"/>
    <w:rsid w:val="00A45659"/>
    <w:rsid w:val="00A4605C"/>
    <w:rsid w:val="00A46EF3"/>
    <w:rsid w:val="00A5130A"/>
    <w:rsid w:val="00A5318E"/>
    <w:rsid w:val="00A54195"/>
    <w:rsid w:val="00A54270"/>
    <w:rsid w:val="00A54F63"/>
    <w:rsid w:val="00A60ACC"/>
    <w:rsid w:val="00A61A73"/>
    <w:rsid w:val="00A63BDF"/>
    <w:rsid w:val="00A664CB"/>
    <w:rsid w:val="00A724F1"/>
    <w:rsid w:val="00A742FF"/>
    <w:rsid w:val="00A752AB"/>
    <w:rsid w:val="00A777C6"/>
    <w:rsid w:val="00A84C22"/>
    <w:rsid w:val="00A87136"/>
    <w:rsid w:val="00A95826"/>
    <w:rsid w:val="00A9683B"/>
    <w:rsid w:val="00A96D62"/>
    <w:rsid w:val="00A973D6"/>
    <w:rsid w:val="00AA0574"/>
    <w:rsid w:val="00AA1788"/>
    <w:rsid w:val="00AA4F1E"/>
    <w:rsid w:val="00AB2F8C"/>
    <w:rsid w:val="00AB384C"/>
    <w:rsid w:val="00AB3E0D"/>
    <w:rsid w:val="00AB70F3"/>
    <w:rsid w:val="00AC021B"/>
    <w:rsid w:val="00AC0D49"/>
    <w:rsid w:val="00AC1A4B"/>
    <w:rsid w:val="00AC2C6F"/>
    <w:rsid w:val="00AC700C"/>
    <w:rsid w:val="00AC76AA"/>
    <w:rsid w:val="00AD032F"/>
    <w:rsid w:val="00AD03F5"/>
    <w:rsid w:val="00AD187C"/>
    <w:rsid w:val="00AD2591"/>
    <w:rsid w:val="00AD303B"/>
    <w:rsid w:val="00AD37FB"/>
    <w:rsid w:val="00AD4527"/>
    <w:rsid w:val="00AD7C06"/>
    <w:rsid w:val="00AE1011"/>
    <w:rsid w:val="00AE1731"/>
    <w:rsid w:val="00AE1B3C"/>
    <w:rsid w:val="00AE1E46"/>
    <w:rsid w:val="00AE2689"/>
    <w:rsid w:val="00AE342C"/>
    <w:rsid w:val="00AF35B0"/>
    <w:rsid w:val="00AF423B"/>
    <w:rsid w:val="00AF4258"/>
    <w:rsid w:val="00AF7CB1"/>
    <w:rsid w:val="00B00D61"/>
    <w:rsid w:val="00B020C2"/>
    <w:rsid w:val="00B03D07"/>
    <w:rsid w:val="00B04A9D"/>
    <w:rsid w:val="00B06E43"/>
    <w:rsid w:val="00B10D42"/>
    <w:rsid w:val="00B16625"/>
    <w:rsid w:val="00B20E47"/>
    <w:rsid w:val="00B21D0E"/>
    <w:rsid w:val="00B227CF"/>
    <w:rsid w:val="00B24D5E"/>
    <w:rsid w:val="00B27398"/>
    <w:rsid w:val="00B30D3F"/>
    <w:rsid w:val="00B31DEE"/>
    <w:rsid w:val="00B3257B"/>
    <w:rsid w:val="00B36A2E"/>
    <w:rsid w:val="00B41232"/>
    <w:rsid w:val="00B42076"/>
    <w:rsid w:val="00B44539"/>
    <w:rsid w:val="00B50BE1"/>
    <w:rsid w:val="00B50BE4"/>
    <w:rsid w:val="00B50E27"/>
    <w:rsid w:val="00B513A8"/>
    <w:rsid w:val="00B5184A"/>
    <w:rsid w:val="00B524C3"/>
    <w:rsid w:val="00B5345A"/>
    <w:rsid w:val="00B53AEF"/>
    <w:rsid w:val="00B57181"/>
    <w:rsid w:val="00B62A7F"/>
    <w:rsid w:val="00B65FA0"/>
    <w:rsid w:val="00B66790"/>
    <w:rsid w:val="00B66B67"/>
    <w:rsid w:val="00B67242"/>
    <w:rsid w:val="00B678AC"/>
    <w:rsid w:val="00B7067E"/>
    <w:rsid w:val="00B710F9"/>
    <w:rsid w:val="00B7306C"/>
    <w:rsid w:val="00B74044"/>
    <w:rsid w:val="00B77ABA"/>
    <w:rsid w:val="00B804CE"/>
    <w:rsid w:val="00B84222"/>
    <w:rsid w:val="00B84558"/>
    <w:rsid w:val="00B84F79"/>
    <w:rsid w:val="00B86E50"/>
    <w:rsid w:val="00B87988"/>
    <w:rsid w:val="00B90AD8"/>
    <w:rsid w:val="00B93BF8"/>
    <w:rsid w:val="00B93F2A"/>
    <w:rsid w:val="00B966A6"/>
    <w:rsid w:val="00B97E52"/>
    <w:rsid w:val="00BA0212"/>
    <w:rsid w:val="00BB192F"/>
    <w:rsid w:val="00BB2FFE"/>
    <w:rsid w:val="00BB36C2"/>
    <w:rsid w:val="00BB3C0A"/>
    <w:rsid w:val="00BB47F1"/>
    <w:rsid w:val="00BB505F"/>
    <w:rsid w:val="00BB75F8"/>
    <w:rsid w:val="00BC01F6"/>
    <w:rsid w:val="00BC1EDF"/>
    <w:rsid w:val="00BC5128"/>
    <w:rsid w:val="00BC6AD2"/>
    <w:rsid w:val="00BC6B20"/>
    <w:rsid w:val="00BC6DC5"/>
    <w:rsid w:val="00BC724E"/>
    <w:rsid w:val="00BC72D9"/>
    <w:rsid w:val="00BD1D2D"/>
    <w:rsid w:val="00BD3600"/>
    <w:rsid w:val="00BD6544"/>
    <w:rsid w:val="00BE2385"/>
    <w:rsid w:val="00BE35D7"/>
    <w:rsid w:val="00BE58E6"/>
    <w:rsid w:val="00BE63DF"/>
    <w:rsid w:val="00BE67AA"/>
    <w:rsid w:val="00BE7CCA"/>
    <w:rsid w:val="00BE7DAB"/>
    <w:rsid w:val="00BF12BF"/>
    <w:rsid w:val="00BF29FA"/>
    <w:rsid w:val="00BF3C68"/>
    <w:rsid w:val="00BF52EE"/>
    <w:rsid w:val="00BF7E09"/>
    <w:rsid w:val="00C11AC3"/>
    <w:rsid w:val="00C14507"/>
    <w:rsid w:val="00C17ADF"/>
    <w:rsid w:val="00C20072"/>
    <w:rsid w:val="00C2039F"/>
    <w:rsid w:val="00C21A35"/>
    <w:rsid w:val="00C21C1A"/>
    <w:rsid w:val="00C21CAC"/>
    <w:rsid w:val="00C2232D"/>
    <w:rsid w:val="00C23048"/>
    <w:rsid w:val="00C23CE0"/>
    <w:rsid w:val="00C23F03"/>
    <w:rsid w:val="00C245F0"/>
    <w:rsid w:val="00C30182"/>
    <w:rsid w:val="00C307C0"/>
    <w:rsid w:val="00C32850"/>
    <w:rsid w:val="00C34FA1"/>
    <w:rsid w:val="00C363B7"/>
    <w:rsid w:val="00C41724"/>
    <w:rsid w:val="00C4174C"/>
    <w:rsid w:val="00C42043"/>
    <w:rsid w:val="00C42A4B"/>
    <w:rsid w:val="00C431A9"/>
    <w:rsid w:val="00C43E7B"/>
    <w:rsid w:val="00C45697"/>
    <w:rsid w:val="00C47C97"/>
    <w:rsid w:val="00C47F48"/>
    <w:rsid w:val="00C5072F"/>
    <w:rsid w:val="00C51900"/>
    <w:rsid w:val="00C52FBC"/>
    <w:rsid w:val="00C54CF6"/>
    <w:rsid w:val="00C5714C"/>
    <w:rsid w:val="00C57DE4"/>
    <w:rsid w:val="00C605C5"/>
    <w:rsid w:val="00C60655"/>
    <w:rsid w:val="00C607AC"/>
    <w:rsid w:val="00C61017"/>
    <w:rsid w:val="00C616B8"/>
    <w:rsid w:val="00C61D38"/>
    <w:rsid w:val="00C66CFF"/>
    <w:rsid w:val="00C66E05"/>
    <w:rsid w:val="00C72096"/>
    <w:rsid w:val="00C74553"/>
    <w:rsid w:val="00C77ED9"/>
    <w:rsid w:val="00C8084E"/>
    <w:rsid w:val="00C80AE4"/>
    <w:rsid w:val="00C8139E"/>
    <w:rsid w:val="00C82D3C"/>
    <w:rsid w:val="00C82D8F"/>
    <w:rsid w:val="00C84F39"/>
    <w:rsid w:val="00C85DEF"/>
    <w:rsid w:val="00C85E2B"/>
    <w:rsid w:val="00C85FC6"/>
    <w:rsid w:val="00C86D69"/>
    <w:rsid w:val="00C87E68"/>
    <w:rsid w:val="00C909EE"/>
    <w:rsid w:val="00C930AD"/>
    <w:rsid w:val="00C9666F"/>
    <w:rsid w:val="00CA25D4"/>
    <w:rsid w:val="00CA56BD"/>
    <w:rsid w:val="00CA5F37"/>
    <w:rsid w:val="00CA6455"/>
    <w:rsid w:val="00CA7464"/>
    <w:rsid w:val="00CA7552"/>
    <w:rsid w:val="00CA78FE"/>
    <w:rsid w:val="00CB1009"/>
    <w:rsid w:val="00CB433C"/>
    <w:rsid w:val="00CB599E"/>
    <w:rsid w:val="00CC0571"/>
    <w:rsid w:val="00CC1BFD"/>
    <w:rsid w:val="00CC330D"/>
    <w:rsid w:val="00CC5966"/>
    <w:rsid w:val="00CC5A09"/>
    <w:rsid w:val="00CC5CEC"/>
    <w:rsid w:val="00CC62EB"/>
    <w:rsid w:val="00CC77B4"/>
    <w:rsid w:val="00CC7C8B"/>
    <w:rsid w:val="00CC7C92"/>
    <w:rsid w:val="00CD1263"/>
    <w:rsid w:val="00CD137C"/>
    <w:rsid w:val="00CD1B2B"/>
    <w:rsid w:val="00CD2982"/>
    <w:rsid w:val="00CD3E61"/>
    <w:rsid w:val="00CD5AD1"/>
    <w:rsid w:val="00CD5EA5"/>
    <w:rsid w:val="00CE024B"/>
    <w:rsid w:val="00CF5181"/>
    <w:rsid w:val="00CF6D8A"/>
    <w:rsid w:val="00D0188F"/>
    <w:rsid w:val="00D03E7F"/>
    <w:rsid w:val="00D03F64"/>
    <w:rsid w:val="00D0448C"/>
    <w:rsid w:val="00D05FA3"/>
    <w:rsid w:val="00D132D1"/>
    <w:rsid w:val="00D139A0"/>
    <w:rsid w:val="00D17477"/>
    <w:rsid w:val="00D17EE8"/>
    <w:rsid w:val="00D20BB0"/>
    <w:rsid w:val="00D20EC6"/>
    <w:rsid w:val="00D2171C"/>
    <w:rsid w:val="00D23C86"/>
    <w:rsid w:val="00D253F9"/>
    <w:rsid w:val="00D308AC"/>
    <w:rsid w:val="00D30CFE"/>
    <w:rsid w:val="00D3127A"/>
    <w:rsid w:val="00D35FA1"/>
    <w:rsid w:val="00D37827"/>
    <w:rsid w:val="00D40264"/>
    <w:rsid w:val="00D4337E"/>
    <w:rsid w:val="00D44169"/>
    <w:rsid w:val="00D456BC"/>
    <w:rsid w:val="00D45793"/>
    <w:rsid w:val="00D47FA6"/>
    <w:rsid w:val="00D521D4"/>
    <w:rsid w:val="00D526C5"/>
    <w:rsid w:val="00D53E6F"/>
    <w:rsid w:val="00D53EA7"/>
    <w:rsid w:val="00D568A8"/>
    <w:rsid w:val="00D61333"/>
    <w:rsid w:val="00D61B00"/>
    <w:rsid w:val="00D63504"/>
    <w:rsid w:val="00D641FA"/>
    <w:rsid w:val="00D6496E"/>
    <w:rsid w:val="00D65471"/>
    <w:rsid w:val="00D66AD2"/>
    <w:rsid w:val="00D67339"/>
    <w:rsid w:val="00D72BC6"/>
    <w:rsid w:val="00D746E3"/>
    <w:rsid w:val="00D75862"/>
    <w:rsid w:val="00D773AC"/>
    <w:rsid w:val="00D777E9"/>
    <w:rsid w:val="00D779AE"/>
    <w:rsid w:val="00D81411"/>
    <w:rsid w:val="00D83DD7"/>
    <w:rsid w:val="00D8615C"/>
    <w:rsid w:val="00D86B9F"/>
    <w:rsid w:val="00D91BD3"/>
    <w:rsid w:val="00D922E7"/>
    <w:rsid w:val="00D931DC"/>
    <w:rsid w:val="00D95BB8"/>
    <w:rsid w:val="00DA0EB5"/>
    <w:rsid w:val="00DA0FB2"/>
    <w:rsid w:val="00DA16E9"/>
    <w:rsid w:val="00DA3163"/>
    <w:rsid w:val="00DA4166"/>
    <w:rsid w:val="00DA45EF"/>
    <w:rsid w:val="00DA5D37"/>
    <w:rsid w:val="00DA7372"/>
    <w:rsid w:val="00DA7610"/>
    <w:rsid w:val="00DB0C81"/>
    <w:rsid w:val="00DB10AB"/>
    <w:rsid w:val="00DB1A49"/>
    <w:rsid w:val="00DB24C1"/>
    <w:rsid w:val="00DB285B"/>
    <w:rsid w:val="00DB345A"/>
    <w:rsid w:val="00DB3929"/>
    <w:rsid w:val="00DB49FD"/>
    <w:rsid w:val="00DB6F4F"/>
    <w:rsid w:val="00DC1742"/>
    <w:rsid w:val="00DC1B93"/>
    <w:rsid w:val="00DC1BAF"/>
    <w:rsid w:val="00DC33B4"/>
    <w:rsid w:val="00DC3647"/>
    <w:rsid w:val="00DC39AD"/>
    <w:rsid w:val="00DC44B4"/>
    <w:rsid w:val="00DC61B5"/>
    <w:rsid w:val="00DC74CE"/>
    <w:rsid w:val="00DC7552"/>
    <w:rsid w:val="00DD1FED"/>
    <w:rsid w:val="00DD2A44"/>
    <w:rsid w:val="00DD2F54"/>
    <w:rsid w:val="00DD31F5"/>
    <w:rsid w:val="00DD41EA"/>
    <w:rsid w:val="00DD7AA9"/>
    <w:rsid w:val="00DE4DA4"/>
    <w:rsid w:val="00DE7C42"/>
    <w:rsid w:val="00DF0303"/>
    <w:rsid w:val="00DF044E"/>
    <w:rsid w:val="00DF076B"/>
    <w:rsid w:val="00DF1914"/>
    <w:rsid w:val="00DF3144"/>
    <w:rsid w:val="00DF40A9"/>
    <w:rsid w:val="00DF55F7"/>
    <w:rsid w:val="00DF577D"/>
    <w:rsid w:val="00DF5B02"/>
    <w:rsid w:val="00DF7378"/>
    <w:rsid w:val="00DF77DA"/>
    <w:rsid w:val="00DF7F07"/>
    <w:rsid w:val="00E01406"/>
    <w:rsid w:val="00E06C38"/>
    <w:rsid w:val="00E078C7"/>
    <w:rsid w:val="00E174E5"/>
    <w:rsid w:val="00E23870"/>
    <w:rsid w:val="00E35858"/>
    <w:rsid w:val="00E364C3"/>
    <w:rsid w:val="00E36756"/>
    <w:rsid w:val="00E36937"/>
    <w:rsid w:val="00E36E8B"/>
    <w:rsid w:val="00E405F6"/>
    <w:rsid w:val="00E4245E"/>
    <w:rsid w:val="00E45F68"/>
    <w:rsid w:val="00E4603E"/>
    <w:rsid w:val="00E511FE"/>
    <w:rsid w:val="00E52222"/>
    <w:rsid w:val="00E55600"/>
    <w:rsid w:val="00E57907"/>
    <w:rsid w:val="00E57D17"/>
    <w:rsid w:val="00E601F6"/>
    <w:rsid w:val="00E6252C"/>
    <w:rsid w:val="00E64C11"/>
    <w:rsid w:val="00E65087"/>
    <w:rsid w:val="00E66871"/>
    <w:rsid w:val="00E66BFB"/>
    <w:rsid w:val="00E67678"/>
    <w:rsid w:val="00E70392"/>
    <w:rsid w:val="00E714DF"/>
    <w:rsid w:val="00E71F44"/>
    <w:rsid w:val="00E71F8D"/>
    <w:rsid w:val="00E732B5"/>
    <w:rsid w:val="00E76AA4"/>
    <w:rsid w:val="00E77CEB"/>
    <w:rsid w:val="00E81EE9"/>
    <w:rsid w:val="00E83F94"/>
    <w:rsid w:val="00E84A41"/>
    <w:rsid w:val="00E84CA1"/>
    <w:rsid w:val="00E853CD"/>
    <w:rsid w:val="00E85998"/>
    <w:rsid w:val="00E87ED2"/>
    <w:rsid w:val="00E917C5"/>
    <w:rsid w:val="00E9271D"/>
    <w:rsid w:val="00E95A3B"/>
    <w:rsid w:val="00EA0498"/>
    <w:rsid w:val="00EA0741"/>
    <w:rsid w:val="00EA14C8"/>
    <w:rsid w:val="00EA48CD"/>
    <w:rsid w:val="00EB32F3"/>
    <w:rsid w:val="00EB3807"/>
    <w:rsid w:val="00EB3996"/>
    <w:rsid w:val="00EB3DE5"/>
    <w:rsid w:val="00EB4A51"/>
    <w:rsid w:val="00EB75FF"/>
    <w:rsid w:val="00EB787F"/>
    <w:rsid w:val="00EB7BBC"/>
    <w:rsid w:val="00EC2AA0"/>
    <w:rsid w:val="00EC4FC6"/>
    <w:rsid w:val="00EC66B5"/>
    <w:rsid w:val="00EC6850"/>
    <w:rsid w:val="00ED1AC9"/>
    <w:rsid w:val="00ED558B"/>
    <w:rsid w:val="00EE09A8"/>
    <w:rsid w:val="00EE3436"/>
    <w:rsid w:val="00EE40C4"/>
    <w:rsid w:val="00EE6F78"/>
    <w:rsid w:val="00EE7495"/>
    <w:rsid w:val="00EF1502"/>
    <w:rsid w:val="00EF2792"/>
    <w:rsid w:val="00EF585B"/>
    <w:rsid w:val="00EF631F"/>
    <w:rsid w:val="00F00B97"/>
    <w:rsid w:val="00F014B7"/>
    <w:rsid w:val="00F01595"/>
    <w:rsid w:val="00F01EA2"/>
    <w:rsid w:val="00F01EF3"/>
    <w:rsid w:val="00F01F04"/>
    <w:rsid w:val="00F04298"/>
    <w:rsid w:val="00F0430F"/>
    <w:rsid w:val="00F06C28"/>
    <w:rsid w:val="00F07D9C"/>
    <w:rsid w:val="00F101A9"/>
    <w:rsid w:val="00F11133"/>
    <w:rsid w:val="00F12DDE"/>
    <w:rsid w:val="00F15246"/>
    <w:rsid w:val="00F1659D"/>
    <w:rsid w:val="00F21433"/>
    <w:rsid w:val="00F23616"/>
    <w:rsid w:val="00F27BB7"/>
    <w:rsid w:val="00F30DC5"/>
    <w:rsid w:val="00F31647"/>
    <w:rsid w:val="00F31E94"/>
    <w:rsid w:val="00F32329"/>
    <w:rsid w:val="00F34E45"/>
    <w:rsid w:val="00F35170"/>
    <w:rsid w:val="00F35594"/>
    <w:rsid w:val="00F4189B"/>
    <w:rsid w:val="00F43CF8"/>
    <w:rsid w:val="00F45DE5"/>
    <w:rsid w:val="00F51C2D"/>
    <w:rsid w:val="00F51CBB"/>
    <w:rsid w:val="00F5261D"/>
    <w:rsid w:val="00F52880"/>
    <w:rsid w:val="00F5728C"/>
    <w:rsid w:val="00F6065F"/>
    <w:rsid w:val="00F62872"/>
    <w:rsid w:val="00F631FD"/>
    <w:rsid w:val="00F639E6"/>
    <w:rsid w:val="00F63D36"/>
    <w:rsid w:val="00F65694"/>
    <w:rsid w:val="00F6579B"/>
    <w:rsid w:val="00F65D12"/>
    <w:rsid w:val="00F702C9"/>
    <w:rsid w:val="00F72039"/>
    <w:rsid w:val="00F72247"/>
    <w:rsid w:val="00F734BD"/>
    <w:rsid w:val="00F73A2E"/>
    <w:rsid w:val="00F73BC2"/>
    <w:rsid w:val="00F758EA"/>
    <w:rsid w:val="00F7615A"/>
    <w:rsid w:val="00F76D43"/>
    <w:rsid w:val="00F81911"/>
    <w:rsid w:val="00F81937"/>
    <w:rsid w:val="00F82124"/>
    <w:rsid w:val="00F82C1E"/>
    <w:rsid w:val="00F851E3"/>
    <w:rsid w:val="00F85279"/>
    <w:rsid w:val="00F90FD8"/>
    <w:rsid w:val="00F912BD"/>
    <w:rsid w:val="00F9361F"/>
    <w:rsid w:val="00F940D6"/>
    <w:rsid w:val="00F973AF"/>
    <w:rsid w:val="00F97CB6"/>
    <w:rsid w:val="00FA0697"/>
    <w:rsid w:val="00FA356B"/>
    <w:rsid w:val="00FA4BA9"/>
    <w:rsid w:val="00FA65F8"/>
    <w:rsid w:val="00FA73A6"/>
    <w:rsid w:val="00FB0407"/>
    <w:rsid w:val="00FB4D85"/>
    <w:rsid w:val="00FB67B7"/>
    <w:rsid w:val="00FB71E0"/>
    <w:rsid w:val="00FC38A2"/>
    <w:rsid w:val="00FC400A"/>
    <w:rsid w:val="00FC5FA0"/>
    <w:rsid w:val="00FC6348"/>
    <w:rsid w:val="00FC6505"/>
    <w:rsid w:val="00FD0662"/>
    <w:rsid w:val="00FD223E"/>
    <w:rsid w:val="00FD2B01"/>
    <w:rsid w:val="00FD3838"/>
    <w:rsid w:val="00FD4392"/>
    <w:rsid w:val="00FD4641"/>
    <w:rsid w:val="00FD476F"/>
    <w:rsid w:val="00FD5476"/>
    <w:rsid w:val="00FD72DB"/>
    <w:rsid w:val="00FE4297"/>
    <w:rsid w:val="00FE55B4"/>
    <w:rsid w:val="00FE682C"/>
    <w:rsid w:val="00FE7CB3"/>
    <w:rsid w:val="00FF278D"/>
    <w:rsid w:val="00FF4ADD"/>
    <w:rsid w:val="00FF6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9A36F"/>
  <w15:docId w15:val="{3F3A73C0-CEC5-45B5-B37B-027A7D2AE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ka-G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CB4"/>
    <w:pPr>
      <w:spacing w:line="360" w:lineRule="auto"/>
    </w:pPr>
    <w:rPr>
      <w:rFonts w:ascii="Sylfaen" w:hAnsi="Sylfaen"/>
      <w:sz w:val="24"/>
    </w:rPr>
  </w:style>
  <w:style w:type="paragraph" w:styleId="Heading1">
    <w:name w:val="heading 1"/>
    <w:basedOn w:val="Normal"/>
    <w:next w:val="Normal"/>
    <w:link w:val="Heading1Char"/>
    <w:uiPriority w:val="9"/>
    <w:qFormat/>
    <w:rsid w:val="00A87136"/>
    <w:pPr>
      <w:keepNext/>
      <w:keepLines/>
      <w:numPr>
        <w:numId w:val="30"/>
      </w:numPr>
      <w:spacing w:before="360" w:after="80"/>
      <w:jc w:val="center"/>
      <w:outlineLvl w:val="0"/>
    </w:pPr>
    <w:rPr>
      <w:rFonts w:eastAsiaTheme="majorEastAsia" w:cstheme="majorBidi" w:ascii="Sylfaen" w:hAnsi="Sylfaen"/>
      <w:b/>
      <w:color w:val="000000"/>
      <w:sz w:val="28"/>
      <w:szCs w:val="32"/>
    </w:rPr>
  </w:style>
  <w:style w:type="paragraph" w:styleId="Heading2">
    <w:name w:val="heading 2"/>
    <w:basedOn w:val="Normal"/>
    <w:link w:val="Heading2Char"/>
    <w:uiPriority w:val="9"/>
    <w:qFormat/>
    <w:rsid w:val="00A87136"/>
    <w:pPr>
      <w:numPr>
        <w:ilvl w:val="1"/>
        <w:numId w:val="30"/>
      </w:numPr>
      <w:spacing w:before="160" w:beforeAutospacing="1" w:after="80" w:afterAutospacing="1" w:line="240" w:lineRule="auto"/>
      <w:jc w:val="center"/>
      <w:outlineLvl w:val="1"/>
    </w:pPr>
    <w:rPr>
      <w:rFonts w:eastAsia="Times New Roman" w:cs="Times New Roman" w:ascii="Sylfaen" w:hAnsi="Sylfaen"/>
      <w:b/>
      <w:bCs/>
      <w:color w:val="000000"/>
      <w:sz w:val="28"/>
      <w:szCs w:val="36"/>
    </w:rPr>
  </w:style>
  <w:style w:type="paragraph" w:styleId="Heading3">
    <w:name w:val="heading 3"/>
    <w:basedOn w:val="Normal"/>
    <w:next w:val="Normal"/>
    <w:link w:val="Heading3Char"/>
    <w:uiPriority w:val="9"/>
    <w:unhideWhenUsed/>
    <w:qFormat/>
    <w:rsid w:val="00A87136"/>
    <w:pPr>
      <w:keepNext/>
      <w:keepLines/>
      <w:numPr>
        <w:ilvl w:val="2"/>
        <w:numId w:val="30"/>
      </w:numPr>
      <w:spacing w:before="160" w:after="80"/>
      <w:jc w:val="center"/>
      <w:outlineLvl w:val="2"/>
    </w:pPr>
    <w:rPr>
      <w:rFonts w:eastAsiaTheme="majorEastAsia" w:cstheme="majorBidi" w:ascii="Sylfaen" w:hAnsi="Sylfaen"/>
      <w:b/>
      <w:color w:val="000000"/>
      <w:sz w:val="28"/>
      <w:szCs w:val="24"/>
    </w:rPr>
  </w:style>
  <w:style w:type="paragraph" w:styleId="Heading4">
    <w:name w:val="heading 4"/>
    <w:basedOn w:val="Normal"/>
    <w:next w:val="Normal"/>
    <w:link w:val="Heading4Char"/>
    <w:uiPriority w:val="9"/>
    <w:unhideWhenUsed/>
    <w:qFormat/>
    <w:rsid w:val="003373E7"/>
    <w:pPr>
      <w:keepNext/>
      <w:keepLines/>
      <w:numPr>
        <w:ilvl w:val="3"/>
        <w:numId w:val="30"/>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10164"/>
    <w:pPr>
      <w:keepNext/>
      <w:keepLines/>
      <w:numPr>
        <w:ilvl w:val="4"/>
        <w:numId w:val="30"/>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10164"/>
    <w:pPr>
      <w:keepNext/>
      <w:keepLines/>
      <w:numPr>
        <w:ilvl w:val="5"/>
        <w:numId w:val="30"/>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10164"/>
    <w:pPr>
      <w:keepNext/>
      <w:keepLines/>
      <w:numPr>
        <w:ilvl w:val="6"/>
        <w:numId w:val="3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10164"/>
    <w:pPr>
      <w:keepNext/>
      <w:keepLines/>
      <w:numPr>
        <w:ilvl w:val="7"/>
        <w:numId w:val="3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10164"/>
    <w:pPr>
      <w:keepNext/>
      <w:keepLines/>
      <w:numPr>
        <w:ilvl w:val="8"/>
        <w:numId w:val="3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85279"/>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B21D0E"/>
    <w:rPr>
      <w:color w:val="0563C1" w:themeColor="hyperlink"/>
      <w:u w:val="single"/>
    </w:rPr>
  </w:style>
  <w:style w:type="character" w:customStyle="1" w:styleId="UnresolvedMention1">
    <w:name w:val="Unresolved Mention1"/>
    <w:basedOn w:val="DefaultParagraphFont"/>
    <w:uiPriority w:val="99"/>
    <w:semiHidden/>
    <w:unhideWhenUsed/>
    <w:rsid w:val="00B21D0E"/>
    <w:rPr>
      <w:color w:val="605E5C"/>
      <w:shd w:val="clear" w:color="auto" w:fill="E1DFDD"/>
    </w:rPr>
  </w:style>
  <w:style w:type="paragraph" w:styleId="ListParagraph">
    <w:name w:val="List Paragraph"/>
    <w:basedOn w:val="Normal"/>
    <w:uiPriority w:val="34"/>
    <w:qFormat/>
    <w:rsid w:val="00DC74CE"/>
    <w:pPr>
      <w:ind w:left="720"/>
      <w:contextualSpacing/>
    </w:pPr>
  </w:style>
  <w:style w:type="character" w:customStyle="1" w:styleId="Heading2Char">
    <w:name w:val="Heading 2 Char"/>
    <w:basedOn w:val="DefaultParagraphFont"/>
    <w:link w:val="Heading2"/>
    <w:uiPriority w:val="9"/>
    <w:rsid w:val="00A87136"/>
    <w:rPr>
      <w:rFonts w:ascii="Sylfaen" w:eastAsia="Times New Roman" w:hAnsi="Sylfaen" w:cs="Times New Roman"/>
      <w:b/>
      <w:bCs/>
      <w:sz w:val="24"/>
      <w:szCs w:val="36"/>
    </w:rPr>
  </w:style>
  <w:style w:type="character" w:styleId="Strong">
    <w:name w:val="Strong"/>
    <w:basedOn w:val="DefaultParagraphFont"/>
    <w:uiPriority w:val="22"/>
    <w:qFormat/>
    <w:rsid w:val="00637E89"/>
    <w:rPr>
      <w:b/>
      <w:bCs/>
    </w:rPr>
  </w:style>
  <w:style w:type="character" w:customStyle="1" w:styleId="Heading3Char">
    <w:name w:val="Heading 3 Char"/>
    <w:basedOn w:val="DefaultParagraphFont"/>
    <w:link w:val="Heading3"/>
    <w:uiPriority w:val="9"/>
    <w:rsid w:val="00A87136"/>
    <w:rPr>
      <w:rFonts w:ascii="Sylfaen" w:eastAsiaTheme="majorEastAsia" w:hAnsi="Sylfaen" w:cstheme="majorBidi"/>
      <w:sz w:val="24"/>
      <w:szCs w:val="24"/>
    </w:rPr>
  </w:style>
  <w:style w:type="character" w:customStyle="1" w:styleId="Heading1Char">
    <w:name w:val="Heading 1 Char"/>
    <w:basedOn w:val="DefaultParagraphFont"/>
    <w:link w:val="Heading1"/>
    <w:uiPriority w:val="9"/>
    <w:rsid w:val="00A87136"/>
    <w:rPr>
      <w:rFonts w:ascii="Sylfaen" w:eastAsiaTheme="majorEastAsia" w:hAnsi="Sylfaen" w:cstheme="majorBidi"/>
      <w:color w:val="2F5496" w:themeColor="accent1" w:themeShade="BF"/>
      <w:sz w:val="28"/>
      <w:szCs w:val="32"/>
    </w:rPr>
  </w:style>
  <w:style w:type="character" w:customStyle="1" w:styleId="Heading4Char">
    <w:name w:val="Heading 4 Char"/>
    <w:basedOn w:val="DefaultParagraphFont"/>
    <w:link w:val="Heading4"/>
    <w:uiPriority w:val="9"/>
    <w:rsid w:val="003373E7"/>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921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21BB4"/>
    <w:rPr>
      <w:rFonts w:ascii="Courier New" w:eastAsia="Times New Roman" w:hAnsi="Courier New" w:cs="Courier New"/>
      <w:sz w:val="20"/>
      <w:szCs w:val="20"/>
    </w:rPr>
  </w:style>
  <w:style w:type="character" w:customStyle="1" w:styleId="pun">
    <w:name w:val="pun"/>
    <w:basedOn w:val="DefaultParagraphFont"/>
    <w:rsid w:val="00921BB4"/>
  </w:style>
  <w:style w:type="character" w:customStyle="1" w:styleId="pln">
    <w:name w:val="pln"/>
    <w:basedOn w:val="DefaultParagraphFont"/>
    <w:rsid w:val="00921BB4"/>
  </w:style>
  <w:style w:type="character" w:customStyle="1" w:styleId="str">
    <w:name w:val="str"/>
    <w:basedOn w:val="DefaultParagraphFont"/>
    <w:rsid w:val="00921BB4"/>
  </w:style>
  <w:style w:type="character" w:customStyle="1" w:styleId="tag">
    <w:name w:val="tag"/>
    <w:basedOn w:val="DefaultParagraphFont"/>
    <w:rsid w:val="00921BB4"/>
  </w:style>
  <w:style w:type="character" w:customStyle="1" w:styleId="atn">
    <w:name w:val="atn"/>
    <w:basedOn w:val="DefaultParagraphFont"/>
    <w:rsid w:val="00921BB4"/>
  </w:style>
  <w:style w:type="character" w:customStyle="1" w:styleId="atv">
    <w:name w:val="atv"/>
    <w:basedOn w:val="DefaultParagraphFont"/>
    <w:rsid w:val="00921BB4"/>
  </w:style>
  <w:style w:type="character" w:styleId="FollowedHyperlink">
    <w:name w:val="FollowedHyperlink"/>
    <w:basedOn w:val="DefaultParagraphFont"/>
    <w:uiPriority w:val="99"/>
    <w:semiHidden/>
    <w:unhideWhenUsed/>
    <w:rsid w:val="00744400"/>
    <w:rPr>
      <w:color w:val="954F72" w:themeColor="followedHyperlink"/>
      <w:u w:val="single"/>
    </w:rPr>
  </w:style>
  <w:style w:type="paragraph" w:styleId="Header">
    <w:name w:val="header"/>
    <w:basedOn w:val="Normal"/>
    <w:link w:val="HeaderChar"/>
    <w:uiPriority w:val="99"/>
    <w:unhideWhenUsed/>
    <w:rsid w:val="005918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1823"/>
  </w:style>
  <w:style w:type="paragraph" w:styleId="Footer">
    <w:name w:val="footer"/>
    <w:basedOn w:val="Normal"/>
    <w:link w:val="FooterChar"/>
    <w:uiPriority w:val="99"/>
    <w:unhideWhenUsed/>
    <w:rsid w:val="005918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1823"/>
  </w:style>
  <w:style w:type="paragraph" w:styleId="Caption">
    <w:name w:val="caption"/>
    <w:basedOn w:val="Normal"/>
    <w:next w:val="Normal"/>
    <w:uiPriority w:val="35"/>
    <w:unhideWhenUsed/>
    <w:qFormat/>
    <w:rsid w:val="002434D7"/>
    <w:pPr>
      <w:spacing w:after="200" w:line="240" w:lineRule="auto"/>
    </w:pPr>
    <w:rPr>
      <w:i/>
      <w:iCs/>
      <w:color w:val="44546A" w:themeColor="text2"/>
      <w:sz w:val="18"/>
      <w:szCs w:val="18"/>
    </w:rPr>
  </w:style>
  <w:style w:type="character" w:customStyle="1" w:styleId="Heading5Char">
    <w:name w:val="Heading 5 Char"/>
    <w:basedOn w:val="DefaultParagraphFont"/>
    <w:link w:val="Heading5"/>
    <w:uiPriority w:val="9"/>
    <w:semiHidden/>
    <w:rsid w:val="00A10164"/>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A1016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A1016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A101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10164"/>
    <w:rPr>
      <w:rFonts w:asciiTheme="majorHAnsi" w:eastAsiaTheme="majorEastAsia" w:hAnsiTheme="majorHAnsi" w:cstheme="majorBidi"/>
      <w:i/>
      <w:iCs/>
      <w:color w:val="272727" w:themeColor="text1" w:themeTint="D8"/>
      <w:sz w:val="21"/>
      <w:szCs w:val="21"/>
    </w:rPr>
  </w:style>
  <w:style w:type="paragraph" w:styleId="TableofFigures">
    <w:name w:val="table of figures"/>
    <w:basedOn w:val="Normal"/>
    <w:next w:val="Normal"/>
    <w:uiPriority w:val="99"/>
    <w:unhideWhenUsed/>
    <w:rsid w:val="00EB4A51"/>
    <w:pPr>
      <w:spacing w:after="0"/>
      <w:ind w:left="480" w:hanging="480"/>
    </w:pPr>
    <w:rPr>
      <w:rFonts w:asciiTheme="minorHAnsi" w:hAnsiTheme="minorHAnsi" w:cstheme="minorHAnsi"/>
      <w:caps/>
      <w:sz w:val="20"/>
      <w:szCs w:val="20"/>
    </w:rPr>
  </w:style>
  <w:style w:type="table" w:styleId="TableGridLight">
    <w:name w:val="Grid Table Light"/>
    <w:basedOn w:val="TableNormal"/>
    <w:uiPriority w:val="40"/>
    <w:rsid w:val="004669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eed-shared-actorname">
    <w:name w:val="feed-shared-actor__name"/>
    <w:basedOn w:val="DefaultParagraphFont"/>
    <w:rsid w:val="00E87ED2"/>
  </w:style>
  <w:style w:type="character" w:customStyle="1" w:styleId="feed-shared-actorsupplementary-actor-info">
    <w:name w:val="feed-shared-actor__supplementary-actor-info"/>
    <w:basedOn w:val="DefaultParagraphFont"/>
    <w:rsid w:val="00E87ED2"/>
  </w:style>
  <w:style w:type="character" w:customStyle="1" w:styleId="feed-shared-actordescription">
    <w:name w:val="feed-shared-actor__description"/>
    <w:basedOn w:val="DefaultParagraphFont"/>
    <w:rsid w:val="00E87ED2"/>
  </w:style>
  <w:style w:type="character" w:customStyle="1" w:styleId="feed-shared-actorsub-description">
    <w:name w:val="feed-shared-actor__sub-description"/>
    <w:basedOn w:val="DefaultParagraphFont"/>
    <w:rsid w:val="00E87ED2"/>
  </w:style>
  <w:style w:type="character" w:customStyle="1" w:styleId="visually-hidden">
    <w:name w:val="visually-hidden"/>
    <w:basedOn w:val="DefaultParagraphFont"/>
    <w:rsid w:val="00E87ED2"/>
  </w:style>
  <w:style w:type="character" w:customStyle="1" w:styleId="break-words">
    <w:name w:val="break-words"/>
    <w:basedOn w:val="DefaultParagraphFont"/>
    <w:rsid w:val="00E87ED2"/>
  </w:style>
  <w:style w:type="paragraph" w:styleId="TOCHeading">
    <w:name w:val="TOC Heading"/>
    <w:basedOn w:val="Heading1"/>
    <w:next w:val="Normal"/>
    <w:uiPriority w:val="39"/>
    <w:unhideWhenUsed/>
    <w:qFormat/>
    <w:rsid w:val="004E2C51"/>
    <w:pPr>
      <w:numPr>
        <w:numId w:val="0"/>
      </w:numPr>
      <w:outlineLvl w:val="9"/>
    </w:pPr>
    <w:rPr>
      <w:rFonts w:asciiTheme="majorHAnsi" w:hAnsiTheme="majorHAnsi"/>
      <w:sz w:val="32"/>
    </w:rPr>
  </w:style>
  <w:style w:type="paragraph" w:styleId="TOC1">
    <w:name w:val="toc 1"/>
    <w:basedOn w:val="Normal"/>
    <w:next w:val="Normal"/>
    <w:autoRedefine/>
    <w:uiPriority w:val="39"/>
    <w:unhideWhenUsed/>
    <w:rsid w:val="004E2C51"/>
    <w:pPr>
      <w:spacing w:after="100"/>
    </w:pPr>
  </w:style>
  <w:style w:type="paragraph" w:styleId="TOC2">
    <w:name w:val="toc 2"/>
    <w:basedOn w:val="Normal"/>
    <w:next w:val="Normal"/>
    <w:autoRedefine/>
    <w:uiPriority w:val="39"/>
    <w:unhideWhenUsed/>
    <w:rsid w:val="004E2C51"/>
    <w:pPr>
      <w:spacing w:after="100"/>
      <w:ind w:left="240"/>
    </w:pPr>
  </w:style>
  <w:style w:type="paragraph" w:styleId="TOC3">
    <w:name w:val="toc 3"/>
    <w:basedOn w:val="Normal"/>
    <w:next w:val="Normal"/>
    <w:autoRedefine/>
    <w:uiPriority w:val="39"/>
    <w:unhideWhenUsed/>
    <w:rsid w:val="004E2C51"/>
    <w:pPr>
      <w:spacing w:after="100"/>
      <w:ind w:left="480"/>
    </w:pPr>
  </w:style>
  <w:style w:type="paragraph" w:styleId="BodyText">
    <w:name w:val="Body Text"/>
    <w:basedOn w:val="Normal"/>
    <w:link w:val="BodyTextChar"/>
    <w:uiPriority w:val="1"/>
    <w:qFormat/>
    <w:rsid w:val="005E065B"/>
    <w:pPr>
      <w:widowControl w:val="0"/>
      <w:autoSpaceDE w:val="0"/>
      <w:autoSpaceDN w:val="0"/>
      <w:spacing w:after="0" w:line="240" w:lineRule="auto"/>
    </w:pPr>
    <w:rPr>
      <w:rFonts w:eastAsia="Sylfaen" w:cs="Sylfaen"/>
      <w:szCs w:val="24"/>
    </w:rPr>
  </w:style>
  <w:style w:type="character" w:customStyle="1" w:styleId="BodyTextChar">
    <w:name w:val="Body Text Char"/>
    <w:basedOn w:val="DefaultParagraphFont"/>
    <w:link w:val="BodyText"/>
    <w:uiPriority w:val="1"/>
    <w:rsid w:val="005E065B"/>
    <w:rPr>
      <w:rFonts w:ascii="Sylfaen" w:eastAsia="Sylfaen" w:hAnsi="Sylfaen" w:cs="Sylfae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3330">
      <w:bodyDiv w:val="1"/>
      <w:marLeft w:val="0"/>
      <w:marRight w:val="0"/>
      <w:marTop w:val="0"/>
      <w:marBottom w:val="0"/>
      <w:divBdr>
        <w:top w:val="none" w:sz="0" w:space="0" w:color="auto"/>
        <w:left w:val="none" w:sz="0" w:space="0" w:color="auto"/>
        <w:bottom w:val="none" w:sz="0" w:space="0" w:color="auto"/>
        <w:right w:val="none" w:sz="0" w:space="0" w:color="auto"/>
      </w:divBdr>
      <w:divsChild>
        <w:div w:id="504051331">
          <w:marLeft w:val="0"/>
          <w:marRight w:val="0"/>
          <w:marTop w:val="100"/>
          <w:marBottom w:val="0"/>
          <w:divBdr>
            <w:top w:val="none" w:sz="0" w:space="0" w:color="auto"/>
            <w:left w:val="none" w:sz="0" w:space="0" w:color="auto"/>
            <w:bottom w:val="none" w:sz="0" w:space="0" w:color="auto"/>
            <w:right w:val="none" w:sz="0" w:space="0" w:color="auto"/>
          </w:divBdr>
        </w:div>
        <w:div w:id="1967739349">
          <w:marLeft w:val="0"/>
          <w:marRight w:val="0"/>
          <w:marTop w:val="0"/>
          <w:marBottom w:val="0"/>
          <w:divBdr>
            <w:top w:val="none" w:sz="0" w:space="0" w:color="auto"/>
            <w:left w:val="none" w:sz="0" w:space="0" w:color="auto"/>
            <w:bottom w:val="none" w:sz="0" w:space="0" w:color="auto"/>
            <w:right w:val="none" w:sz="0" w:space="0" w:color="auto"/>
          </w:divBdr>
          <w:divsChild>
            <w:div w:id="306399527">
              <w:marLeft w:val="0"/>
              <w:marRight w:val="0"/>
              <w:marTop w:val="0"/>
              <w:marBottom w:val="0"/>
              <w:divBdr>
                <w:top w:val="none" w:sz="0" w:space="0" w:color="auto"/>
                <w:left w:val="none" w:sz="0" w:space="0" w:color="auto"/>
                <w:bottom w:val="none" w:sz="0" w:space="0" w:color="auto"/>
                <w:right w:val="none" w:sz="0" w:space="0" w:color="auto"/>
              </w:divBdr>
              <w:divsChild>
                <w:div w:id="150970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60991">
      <w:bodyDiv w:val="1"/>
      <w:marLeft w:val="0"/>
      <w:marRight w:val="0"/>
      <w:marTop w:val="0"/>
      <w:marBottom w:val="0"/>
      <w:divBdr>
        <w:top w:val="none" w:sz="0" w:space="0" w:color="auto"/>
        <w:left w:val="none" w:sz="0" w:space="0" w:color="auto"/>
        <w:bottom w:val="none" w:sz="0" w:space="0" w:color="auto"/>
        <w:right w:val="none" w:sz="0" w:space="0" w:color="auto"/>
      </w:divBdr>
      <w:divsChild>
        <w:div w:id="54208240">
          <w:marLeft w:val="0"/>
          <w:marRight w:val="0"/>
          <w:marTop w:val="0"/>
          <w:marBottom w:val="0"/>
          <w:divBdr>
            <w:top w:val="none" w:sz="0" w:space="0" w:color="auto"/>
            <w:left w:val="none" w:sz="0" w:space="0" w:color="auto"/>
            <w:bottom w:val="none" w:sz="0" w:space="0" w:color="auto"/>
            <w:right w:val="none" w:sz="0" w:space="0" w:color="auto"/>
          </w:divBdr>
        </w:div>
        <w:div w:id="65761021">
          <w:marLeft w:val="0"/>
          <w:marRight w:val="0"/>
          <w:marTop w:val="0"/>
          <w:marBottom w:val="0"/>
          <w:divBdr>
            <w:top w:val="none" w:sz="0" w:space="0" w:color="auto"/>
            <w:left w:val="none" w:sz="0" w:space="0" w:color="auto"/>
            <w:bottom w:val="none" w:sz="0" w:space="0" w:color="auto"/>
            <w:right w:val="none" w:sz="0" w:space="0" w:color="auto"/>
          </w:divBdr>
        </w:div>
        <w:div w:id="466318312">
          <w:marLeft w:val="0"/>
          <w:marRight w:val="0"/>
          <w:marTop w:val="0"/>
          <w:marBottom w:val="0"/>
          <w:divBdr>
            <w:top w:val="none" w:sz="0" w:space="0" w:color="auto"/>
            <w:left w:val="none" w:sz="0" w:space="0" w:color="auto"/>
            <w:bottom w:val="none" w:sz="0" w:space="0" w:color="auto"/>
            <w:right w:val="none" w:sz="0" w:space="0" w:color="auto"/>
          </w:divBdr>
        </w:div>
        <w:div w:id="727075746">
          <w:marLeft w:val="0"/>
          <w:marRight w:val="0"/>
          <w:marTop w:val="0"/>
          <w:marBottom w:val="0"/>
          <w:divBdr>
            <w:top w:val="none" w:sz="0" w:space="0" w:color="auto"/>
            <w:left w:val="none" w:sz="0" w:space="0" w:color="auto"/>
            <w:bottom w:val="none" w:sz="0" w:space="0" w:color="auto"/>
            <w:right w:val="none" w:sz="0" w:space="0" w:color="auto"/>
          </w:divBdr>
        </w:div>
        <w:div w:id="833882371">
          <w:marLeft w:val="0"/>
          <w:marRight w:val="0"/>
          <w:marTop w:val="0"/>
          <w:marBottom w:val="0"/>
          <w:divBdr>
            <w:top w:val="none" w:sz="0" w:space="0" w:color="auto"/>
            <w:left w:val="none" w:sz="0" w:space="0" w:color="auto"/>
            <w:bottom w:val="none" w:sz="0" w:space="0" w:color="auto"/>
            <w:right w:val="none" w:sz="0" w:space="0" w:color="auto"/>
          </w:divBdr>
        </w:div>
        <w:div w:id="961225916">
          <w:marLeft w:val="0"/>
          <w:marRight w:val="0"/>
          <w:marTop w:val="0"/>
          <w:marBottom w:val="0"/>
          <w:divBdr>
            <w:top w:val="none" w:sz="0" w:space="0" w:color="auto"/>
            <w:left w:val="none" w:sz="0" w:space="0" w:color="auto"/>
            <w:bottom w:val="none" w:sz="0" w:space="0" w:color="auto"/>
            <w:right w:val="none" w:sz="0" w:space="0" w:color="auto"/>
          </w:divBdr>
        </w:div>
        <w:div w:id="1067344459">
          <w:marLeft w:val="0"/>
          <w:marRight w:val="0"/>
          <w:marTop w:val="0"/>
          <w:marBottom w:val="0"/>
          <w:divBdr>
            <w:top w:val="none" w:sz="0" w:space="0" w:color="auto"/>
            <w:left w:val="none" w:sz="0" w:space="0" w:color="auto"/>
            <w:bottom w:val="none" w:sz="0" w:space="0" w:color="auto"/>
            <w:right w:val="none" w:sz="0" w:space="0" w:color="auto"/>
          </w:divBdr>
        </w:div>
        <w:div w:id="1286498274">
          <w:marLeft w:val="0"/>
          <w:marRight w:val="0"/>
          <w:marTop w:val="0"/>
          <w:marBottom w:val="0"/>
          <w:divBdr>
            <w:top w:val="none" w:sz="0" w:space="0" w:color="auto"/>
            <w:left w:val="none" w:sz="0" w:space="0" w:color="auto"/>
            <w:bottom w:val="none" w:sz="0" w:space="0" w:color="auto"/>
            <w:right w:val="none" w:sz="0" w:space="0" w:color="auto"/>
          </w:divBdr>
        </w:div>
        <w:div w:id="1749380933">
          <w:marLeft w:val="0"/>
          <w:marRight w:val="0"/>
          <w:marTop w:val="0"/>
          <w:marBottom w:val="0"/>
          <w:divBdr>
            <w:top w:val="none" w:sz="0" w:space="0" w:color="auto"/>
            <w:left w:val="none" w:sz="0" w:space="0" w:color="auto"/>
            <w:bottom w:val="none" w:sz="0" w:space="0" w:color="auto"/>
            <w:right w:val="none" w:sz="0" w:space="0" w:color="auto"/>
          </w:divBdr>
        </w:div>
        <w:div w:id="1996185647">
          <w:marLeft w:val="0"/>
          <w:marRight w:val="0"/>
          <w:marTop w:val="0"/>
          <w:marBottom w:val="0"/>
          <w:divBdr>
            <w:top w:val="none" w:sz="0" w:space="0" w:color="auto"/>
            <w:left w:val="none" w:sz="0" w:space="0" w:color="auto"/>
            <w:bottom w:val="none" w:sz="0" w:space="0" w:color="auto"/>
            <w:right w:val="none" w:sz="0" w:space="0" w:color="auto"/>
          </w:divBdr>
        </w:div>
        <w:div w:id="2134400719">
          <w:marLeft w:val="0"/>
          <w:marRight w:val="0"/>
          <w:marTop w:val="0"/>
          <w:marBottom w:val="0"/>
          <w:divBdr>
            <w:top w:val="none" w:sz="0" w:space="0" w:color="auto"/>
            <w:left w:val="none" w:sz="0" w:space="0" w:color="auto"/>
            <w:bottom w:val="none" w:sz="0" w:space="0" w:color="auto"/>
            <w:right w:val="none" w:sz="0" w:space="0" w:color="auto"/>
          </w:divBdr>
        </w:div>
        <w:div w:id="2137019722">
          <w:marLeft w:val="0"/>
          <w:marRight w:val="0"/>
          <w:marTop w:val="0"/>
          <w:marBottom w:val="0"/>
          <w:divBdr>
            <w:top w:val="none" w:sz="0" w:space="0" w:color="auto"/>
            <w:left w:val="none" w:sz="0" w:space="0" w:color="auto"/>
            <w:bottom w:val="none" w:sz="0" w:space="0" w:color="auto"/>
            <w:right w:val="none" w:sz="0" w:space="0" w:color="auto"/>
          </w:divBdr>
        </w:div>
      </w:divsChild>
    </w:div>
    <w:div w:id="115299054">
      <w:bodyDiv w:val="1"/>
      <w:marLeft w:val="0"/>
      <w:marRight w:val="0"/>
      <w:marTop w:val="0"/>
      <w:marBottom w:val="0"/>
      <w:divBdr>
        <w:top w:val="none" w:sz="0" w:space="0" w:color="auto"/>
        <w:left w:val="none" w:sz="0" w:space="0" w:color="auto"/>
        <w:bottom w:val="none" w:sz="0" w:space="0" w:color="auto"/>
        <w:right w:val="none" w:sz="0" w:space="0" w:color="auto"/>
      </w:divBdr>
      <w:divsChild>
        <w:div w:id="818037311">
          <w:marLeft w:val="0"/>
          <w:marRight w:val="0"/>
          <w:marTop w:val="0"/>
          <w:marBottom w:val="0"/>
          <w:divBdr>
            <w:top w:val="none" w:sz="0" w:space="0" w:color="auto"/>
            <w:left w:val="none" w:sz="0" w:space="0" w:color="auto"/>
            <w:bottom w:val="none" w:sz="0" w:space="0" w:color="auto"/>
            <w:right w:val="none" w:sz="0" w:space="0" w:color="auto"/>
          </w:divBdr>
        </w:div>
      </w:divsChild>
    </w:div>
    <w:div w:id="174225171">
      <w:bodyDiv w:val="1"/>
      <w:marLeft w:val="0"/>
      <w:marRight w:val="0"/>
      <w:marTop w:val="0"/>
      <w:marBottom w:val="0"/>
      <w:divBdr>
        <w:top w:val="none" w:sz="0" w:space="0" w:color="auto"/>
        <w:left w:val="none" w:sz="0" w:space="0" w:color="auto"/>
        <w:bottom w:val="none" w:sz="0" w:space="0" w:color="auto"/>
        <w:right w:val="none" w:sz="0" w:space="0" w:color="auto"/>
      </w:divBdr>
      <w:divsChild>
        <w:div w:id="1142114062">
          <w:marLeft w:val="0"/>
          <w:marRight w:val="0"/>
          <w:marTop w:val="0"/>
          <w:marBottom w:val="0"/>
          <w:divBdr>
            <w:top w:val="none" w:sz="0" w:space="0" w:color="auto"/>
            <w:left w:val="none" w:sz="0" w:space="0" w:color="auto"/>
            <w:bottom w:val="none" w:sz="0" w:space="0" w:color="auto"/>
            <w:right w:val="none" w:sz="0" w:space="0" w:color="auto"/>
          </w:divBdr>
        </w:div>
      </w:divsChild>
    </w:div>
    <w:div w:id="209415514">
      <w:bodyDiv w:val="1"/>
      <w:marLeft w:val="0"/>
      <w:marRight w:val="0"/>
      <w:marTop w:val="0"/>
      <w:marBottom w:val="0"/>
      <w:divBdr>
        <w:top w:val="none" w:sz="0" w:space="0" w:color="auto"/>
        <w:left w:val="none" w:sz="0" w:space="0" w:color="auto"/>
        <w:bottom w:val="none" w:sz="0" w:space="0" w:color="auto"/>
        <w:right w:val="none" w:sz="0" w:space="0" w:color="auto"/>
      </w:divBdr>
      <w:divsChild>
        <w:div w:id="1680231346">
          <w:marLeft w:val="0"/>
          <w:marRight w:val="0"/>
          <w:marTop w:val="0"/>
          <w:marBottom w:val="0"/>
          <w:divBdr>
            <w:top w:val="none" w:sz="0" w:space="0" w:color="auto"/>
            <w:left w:val="none" w:sz="0" w:space="0" w:color="auto"/>
            <w:bottom w:val="none" w:sz="0" w:space="0" w:color="auto"/>
            <w:right w:val="none" w:sz="0" w:space="0" w:color="auto"/>
          </w:divBdr>
        </w:div>
      </w:divsChild>
    </w:div>
    <w:div w:id="229773060">
      <w:bodyDiv w:val="1"/>
      <w:marLeft w:val="0"/>
      <w:marRight w:val="0"/>
      <w:marTop w:val="0"/>
      <w:marBottom w:val="0"/>
      <w:divBdr>
        <w:top w:val="none" w:sz="0" w:space="0" w:color="auto"/>
        <w:left w:val="none" w:sz="0" w:space="0" w:color="auto"/>
        <w:bottom w:val="none" w:sz="0" w:space="0" w:color="auto"/>
        <w:right w:val="none" w:sz="0" w:space="0" w:color="auto"/>
      </w:divBdr>
    </w:div>
    <w:div w:id="234626092">
      <w:bodyDiv w:val="1"/>
      <w:marLeft w:val="0"/>
      <w:marRight w:val="0"/>
      <w:marTop w:val="0"/>
      <w:marBottom w:val="0"/>
      <w:divBdr>
        <w:top w:val="none" w:sz="0" w:space="0" w:color="auto"/>
        <w:left w:val="none" w:sz="0" w:space="0" w:color="auto"/>
        <w:bottom w:val="none" w:sz="0" w:space="0" w:color="auto"/>
        <w:right w:val="none" w:sz="0" w:space="0" w:color="auto"/>
      </w:divBdr>
      <w:divsChild>
        <w:div w:id="33427397">
          <w:marLeft w:val="0"/>
          <w:marRight w:val="0"/>
          <w:marTop w:val="0"/>
          <w:marBottom w:val="0"/>
          <w:divBdr>
            <w:top w:val="none" w:sz="0" w:space="0" w:color="auto"/>
            <w:left w:val="none" w:sz="0" w:space="0" w:color="auto"/>
            <w:bottom w:val="none" w:sz="0" w:space="0" w:color="auto"/>
            <w:right w:val="none" w:sz="0" w:space="0" w:color="auto"/>
          </w:divBdr>
          <w:divsChild>
            <w:div w:id="1986622268">
              <w:marLeft w:val="0"/>
              <w:marRight w:val="0"/>
              <w:marTop w:val="0"/>
              <w:marBottom w:val="0"/>
              <w:divBdr>
                <w:top w:val="none" w:sz="0" w:space="0" w:color="auto"/>
                <w:left w:val="none" w:sz="0" w:space="0" w:color="auto"/>
                <w:bottom w:val="none" w:sz="0" w:space="0" w:color="auto"/>
                <w:right w:val="none" w:sz="0" w:space="0" w:color="auto"/>
              </w:divBdr>
              <w:divsChild>
                <w:div w:id="7296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51635">
          <w:marLeft w:val="0"/>
          <w:marRight w:val="0"/>
          <w:marTop w:val="100"/>
          <w:marBottom w:val="0"/>
          <w:divBdr>
            <w:top w:val="none" w:sz="0" w:space="0" w:color="auto"/>
            <w:left w:val="none" w:sz="0" w:space="0" w:color="auto"/>
            <w:bottom w:val="none" w:sz="0" w:space="0" w:color="auto"/>
            <w:right w:val="none" w:sz="0" w:space="0" w:color="auto"/>
          </w:divBdr>
        </w:div>
      </w:divsChild>
    </w:div>
    <w:div w:id="257755103">
      <w:bodyDiv w:val="1"/>
      <w:marLeft w:val="0"/>
      <w:marRight w:val="0"/>
      <w:marTop w:val="0"/>
      <w:marBottom w:val="0"/>
      <w:divBdr>
        <w:top w:val="none" w:sz="0" w:space="0" w:color="auto"/>
        <w:left w:val="none" w:sz="0" w:space="0" w:color="auto"/>
        <w:bottom w:val="none" w:sz="0" w:space="0" w:color="auto"/>
        <w:right w:val="none" w:sz="0" w:space="0" w:color="auto"/>
      </w:divBdr>
      <w:divsChild>
        <w:div w:id="1402605206">
          <w:marLeft w:val="0"/>
          <w:marRight w:val="0"/>
          <w:marTop w:val="0"/>
          <w:marBottom w:val="0"/>
          <w:divBdr>
            <w:top w:val="none" w:sz="0" w:space="0" w:color="auto"/>
            <w:left w:val="none" w:sz="0" w:space="0" w:color="auto"/>
            <w:bottom w:val="none" w:sz="0" w:space="0" w:color="auto"/>
            <w:right w:val="none" w:sz="0" w:space="0" w:color="auto"/>
          </w:divBdr>
        </w:div>
      </w:divsChild>
    </w:div>
    <w:div w:id="289480669">
      <w:bodyDiv w:val="1"/>
      <w:marLeft w:val="0"/>
      <w:marRight w:val="0"/>
      <w:marTop w:val="0"/>
      <w:marBottom w:val="0"/>
      <w:divBdr>
        <w:top w:val="none" w:sz="0" w:space="0" w:color="auto"/>
        <w:left w:val="none" w:sz="0" w:space="0" w:color="auto"/>
        <w:bottom w:val="none" w:sz="0" w:space="0" w:color="auto"/>
        <w:right w:val="none" w:sz="0" w:space="0" w:color="auto"/>
      </w:divBdr>
    </w:div>
    <w:div w:id="395931387">
      <w:bodyDiv w:val="1"/>
      <w:marLeft w:val="0"/>
      <w:marRight w:val="0"/>
      <w:marTop w:val="0"/>
      <w:marBottom w:val="0"/>
      <w:divBdr>
        <w:top w:val="none" w:sz="0" w:space="0" w:color="auto"/>
        <w:left w:val="none" w:sz="0" w:space="0" w:color="auto"/>
        <w:bottom w:val="none" w:sz="0" w:space="0" w:color="auto"/>
        <w:right w:val="none" w:sz="0" w:space="0" w:color="auto"/>
      </w:divBdr>
      <w:divsChild>
        <w:div w:id="1498644052">
          <w:marLeft w:val="0"/>
          <w:marRight w:val="0"/>
          <w:marTop w:val="0"/>
          <w:marBottom w:val="0"/>
          <w:divBdr>
            <w:top w:val="none" w:sz="0" w:space="0" w:color="auto"/>
            <w:left w:val="none" w:sz="0" w:space="0" w:color="auto"/>
            <w:bottom w:val="none" w:sz="0" w:space="0" w:color="auto"/>
            <w:right w:val="none" w:sz="0" w:space="0" w:color="auto"/>
          </w:divBdr>
        </w:div>
      </w:divsChild>
    </w:div>
    <w:div w:id="417409682">
      <w:bodyDiv w:val="1"/>
      <w:marLeft w:val="0"/>
      <w:marRight w:val="0"/>
      <w:marTop w:val="0"/>
      <w:marBottom w:val="0"/>
      <w:divBdr>
        <w:top w:val="none" w:sz="0" w:space="0" w:color="auto"/>
        <w:left w:val="none" w:sz="0" w:space="0" w:color="auto"/>
        <w:bottom w:val="none" w:sz="0" w:space="0" w:color="auto"/>
        <w:right w:val="none" w:sz="0" w:space="0" w:color="auto"/>
      </w:divBdr>
      <w:divsChild>
        <w:div w:id="1605646804">
          <w:marLeft w:val="0"/>
          <w:marRight w:val="0"/>
          <w:marTop w:val="0"/>
          <w:marBottom w:val="0"/>
          <w:divBdr>
            <w:top w:val="none" w:sz="0" w:space="0" w:color="auto"/>
            <w:left w:val="none" w:sz="0" w:space="0" w:color="auto"/>
            <w:bottom w:val="none" w:sz="0" w:space="0" w:color="auto"/>
            <w:right w:val="none" w:sz="0" w:space="0" w:color="auto"/>
          </w:divBdr>
        </w:div>
      </w:divsChild>
    </w:div>
    <w:div w:id="425007282">
      <w:bodyDiv w:val="1"/>
      <w:marLeft w:val="0"/>
      <w:marRight w:val="0"/>
      <w:marTop w:val="0"/>
      <w:marBottom w:val="0"/>
      <w:divBdr>
        <w:top w:val="none" w:sz="0" w:space="0" w:color="auto"/>
        <w:left w:val="none" w:sz="0" w:space="0" w:color="auto"/>
        <w:bottom w:val="none" w:sz="0" w:space="0" w:color="auto"/>
        <w:right w:val="none" w:sz="0" w:space="0" w:color="auto"/>
      </w:divBdr>
    </w:div>
    <w:div w:id="439952493">
      <w:bodyDiv w:val="1"/>
      <w:marLeft w:val="0"/>
      <w:marRight w:val="0"/>
      <w:marTop w:val="0"/>
      <w:marBottom w:val="0"/>
      <w:divBdr>
        <w:top w:val="none" w:sz="0" w:space="0" w:color="auto"/>
        <w:left w:val="none" w:sz="0" w:space="0" w:color="auto"/>
        <w:bottom w:val="none" w:sz="0" w:space="0" w:color="auto"/>
        <w:right w:val="none" w:sz="0" w:space="0" w:color="auto"/>
      </w:divBdr>
    </w:div>
    <w:div w:id="576943620">
      <w:bodyDiv w:val="1"/>
      <w:marLeft w:val="0"/>
      <w:marRight w:val="0"/>
      <w:marTop w:val="0"/>
      <w:marBottom w:val="0"/>
      <w:divBdr>
        <w:top w:val="none" w:sz="0" w:space="0" w:color="auto"/>
        <w:left w:val="none" w:sz="0" w:space="0" w:color="auto"/>
        <w:bottom w:val="none" w:sz="0" w:space="0" w:color="auto"/>
        <w:right w:val="none" w:sz="0" w:space="0" w:color="auto"/>
      </w:divBdr>
      <w:divsChild>
        <w:div w:id="925308997">
          <w:marLeft w:val="0"/>
          <w:marRight w:val="0"/>
          <w:marTop w:val="0"/>
          <w:marBottom w:val="0"/>
          <w:divBdr>
            <w:top w:val="none" w:sz="0" w:space="0" w:color="auto"/>
            <w:left w:val="none" w:sz="0" w:space="0" w:color="auto"/>
            <w:bottom w:val="none" w:sz="0" w:space="0" w:color="auto"/>
            <w:right w:val="none" w:sz="0" w:space="0" w:color="auto"/>
          </w:divBdr>
        </w:div>
      </w:divsChild>
    </w:div>
    <w:div w:id="595017211">
      <w:bodyDiv w:val="1"/>
      <w:marLeft w:val="0"/>
      <w:marRight w:val="0"/>
      <w:marTop w:val="0"/>
      <w:marBottom w:val="0"/>
      <w:divBdr>
        <w:top w:val="none" w:sz="0" w:space="0" w:color="auto"/>
        <w:left w:val="none" w:sz="0" w:space="0" w:color="auto"/>
        <w:bottom w:val="none" w:sz="0" w:space="0" w:color="auto"/>
        <w:right w:val="none" w:sz="0" w:space="0" w:color="auto"/>
      </w:divBdr>
      <w:divsChild>
        <w:div w:id="97332898">
          <w:marLeft w:val="0"/>
          <w:marRight w:val="0"/>
          <w:marTop w:val="0"/>
          <w:marBottom w:val="0"/>
          <w:divBdr>
            <w:top w:val="none" w:sz="0" w:space="0" w:color="auto"/>
            <w:left w:val="none" w:sz="0" w:space="0" w:color="auto"/>
            <w:bottom w:val="none" w:sz="0" w:space="0" w:color="auto"/>
            <w:right w:val="none" w:sz="0" w:space="0" w:color="auto"/>
          </w:divBdr>
        </w:div>
      </w:divsChild>
    </w:div>
    <w:div w:id="640771384">
      <w:bodyDiv w:val="1"/>
      <w:marLeft w:val="0"/>
      <w:marRight w:val="0"/>
      <w:marTop w:val="0"/>
      <w:marBottom w:val="0"/>
      <w:divBdr>
        <w:top w:val="none" w:sz="0" w:space="0" w:color="auto"/>
        <w:left w:val="none" w:sz="0" w:space="0" w:color="auto"/>
        <w:bottom w:val="none" w:sz="0" w:space="0" w:color="auto"/>
        <w:right w:val="none" w:sz="0" w:space="0" w:color="auto"/>
      </w:divBdr>
      <w:divsChild>
        <w:div w:id="1065371324">
          <w:marLeft w:val="0"/>
          <w:marRight w:val="0"/>
          <w:marTop w:val="0"/>
          <w:marBottom w:val="0"/>
          <w:divBdr>
            <w:top w:val="none" w:sz="0" w:space="0" w:color="auto"/>
            <w:left w:val="none" w:sz="0" w:space="0" w:color="auto"/>
            <w:bottom w:val="none" w:sz="0" w:space="0" w:color="auto"/>
            <w:right w:val="none" w:sz="0" w:space="0" w:color="auto"/>
          </w:divBdr>
        </w:div>
      </w:divsChild>
    </w:div>
    <w:div w:id="664011617">
      <w:bodyDiv w:val="1"/>
      <w:marLeft w:val="0"/>
      <w:marRight w:val="0"/>
      <w:marTop w:val="0"/>
      <w:marBottom w:val="0"/>
      <w:divBdr>
        <w:top w:val="none" w:sz="0" w:space="0" w:color="auto"/>
        <w:left w:val="none" w:sz="0" w:space="0" w:color="auto"/>
        <w:bottom w:val="none" w:sz="0" w:space="0" w:color="auto"/>
        <w:right w:val="none" w:sz="0" w:space="0" w:color="auto"/>
      </w:divBdr>
      <w:divsChild>
        <w:div w:id="336731502">
          <w:marLeft w:val="0"/>
          <w:marRight w:val="0"/>
          <w:marTop w:val="0"/>
          <w:marBottom w:val="0"/>
          <w:divBdr>
            <w:top w:val="none" w:sz="0" w:space="0" w:color="auto"/>
            <w:left w:val="none" w:sz="0" w:space="0" w:color="auto"/>
            <w:bottom w:val="none" w:sz="0" w:space="0" w:color="auto"/>
            <w:right w:val="none" w:sz="0" w:space="0" w:color="auto"/>
          </w:divBdr>
        </w:div>
      </w:divsChild>
    </w:div>
    <w:div w:id="672411552">
      <w:bodyDiv w:val="1"/>
      <w:marLeft w:val="0"/>
      <w:marRight w:val="0"/>
      <w:marTop w:val="0"/>
      <w:marBottom w:val="0"/>
      <w:divBdr>
        <w:top w:val="none" w:sz="0" w:space="0" w:color="auto"/>
        <w:left w:val="none" w:sz="0" w:space="0" w:color="auto"/>
        <w:bottom w:val="none" w:sz="0" w:space="0" w:color="auto"/>
        <w:right w:val="none" w:sz="0" w:space="0" w:color="auto"/>
      </w:divBdr>
    </w:div>
    <w:div w:id="672415023">
      <w:bodyDiv w:val="1"/>
      <w:marLeft w:val="0"/>
      <w:marRight w:val="0"/>
      <w:marTop w:val="0"/>
      <w:marBottom w:val="0"/>
      <w:divBdr>
        <w:top w:val="none" w:sz="0" w:space="0" w:color="auto"/>
        <w:left w:val="none" w:sz="0" w:space="0" w:color="auto"/>
        <w:bottom w:val="none" w:sz="0" w:space="0" w:color="auto"/>
        <w:right w:val="none" w:sz="0" w:space="0" w:color="auto"/>
      </w:divBdr>
    </w:div>
    <w:div w:id="733939382">
      <w:bodyDiv w:val="1"/>
      <w:marLeft w:val="0"/>
      <w:marRight w:val="0"/>
      <w:marTop w:val="0"/>
      <w:marBottom w:val="0"/>
      <w:divBdr>
        <w:top w:val="none" w:sz="0" w:space="0" w:color="auto"/>
        <w:left w:val="none" w:sz="0" w:space="0" w:color="auto"/>
        <w:bottom w:val="none" w:sz="0" w:space="0" w:color="auto"/>
        <w:right w:val="none" w:sz="0" w:space="0" w:color="auto"/>
      </w:divBdr>
      <w:divsChild>
        <w:div w:id="284579113">
          <w:marLeft w:val="0"/>
          <w:marRight w:val="0"/>
          <w:marTop w:val="0"/>
          <w:marBottom w:val="0"/>
          <w:divBdr>
            <w:top w:val="none" w:sz="0" w:space="0" w:color="auto"/>
            <w:left w:val="none" w:sz="0" w:space="0" w:color="auto"/>
            <w:bottom w:val="none" w:sz="0" w:space="0" w:color="auto"/>
            <w:right w:val="none" w:sz="0" w:space="0" w:color="auto"/>
          </w:divBdr>
        </w:div>
      </w:divsChild>
    </w:div>
    <w:div w:id="750157635">
      <w:bodyDiv w:val="1"/>
      <w:marLeft w:val="0"/>
      <w:marRight w:val="0"/>
      <w:marTop w:val="0"/>
      <w:marBottom w:val="0"/>
      <w:divBdr>
        <w:top w:val="none" w:sz="0" w:space="0" w:color="auto"/>
        <w:left w:val="none" w:sz="0" w:space="0" w:color="auto"/>
        <w:bottom w:val="none" w:sz="0" w:space="0" w:color="auto"/>
        <w:right w:val="none" w:sz="0" w:space="0" w:color="auto"/>
      </w:divBdr>
    </w:div>
    <w:div w:id="753553344">
      <w:bodyDiv w:val="1"/>
      <w:marLeft w:val="0"/>
      <w:marRight w:val="0"/>
      <w:marTop w:val="0"/>
      <w:marBottom w:val="0"/>
      <w:divBdr>
        <w:top w:val="none" w:sz="0" w:space="0" w:color="auto"/>
        <w:left w:val="none" w:sz="0" w:space="0" w:color="auto"/>
        <w:bottom w:val="none" w:sz="0" w:space="0" w:color="auto"/>
        <w:right w:val="none" w:sz="0" w:space="0" w:color="auto"/>
      </w:divBdr>
    </w:div>
    <w:div w:id="828792864">
      <w:bodyDiv w:val="1"/>
      <w:marLeft w:val="0"/>
      <w:marRight w:val="0"/>
      <w:marTop w:val="0"/>
      <w:marBottom w:val="0"/>
      <w:divBdr>
        <w:top w:val="none" w:sz="0" w:space="0" w:color="auto"/>
        <w:left w:val="none" w:sz="0" w:space="0" w:color="auto"/>
        <w:bottom w:val="none" w:sz="0" w:space="0" w:color="auto"/>
        <w:right w:val="none" w:sz="0" w:space="0" w:color="auto"/>
      </w:divBdr>
    </w:div>
    <w:div w:id="947590511">
      <w:bodyDiv w:val="1"/>
      <w:marLeft w:val="0"/>
      <w:marRight w:val="0"/>
      <w:marTop w:val="0"/>
      <w:marBottom w:val="0"/>
      <w:divBdr>
        <w:top w:val="none" w:sz="0" w:space="0" w:color="auto"/>
        <w:left w:val="none" w:sz="0" w:space="0" w:color="auto"/>
        <w:bottom w:val="none" w:sz="0" w:space="0" w:color="auto"/>
        <w:right w:val="none" w:sz="0" w:space="0" w:color="auto"/>
      </w:divBdr>
      <w:divsChild>
        <w:div w:id="584845068">
          <w:marLeft w:val="0"/>
          <w:marRight w:val="0"/>
          <w:marTop w:val="0"/>
          <w:marBottom w:val="0"/>
          <w:divBdr>
            <w:top w:val="none" w:sz="0" w:space="0" w:color="auto"/>
            <w:left w:val="none" w:sz="0" w:space="0" w:color="auto"/>
            <w:bottom w:val="none" w:sz="0" w:space="0" w:color="auto"/>
            <w:right w:val="none" w:sz="0" w:space="0" w:color="auto"/>
          </w:divBdr>
          <w:divsChild>
            <w:div w:id="714357661">
              <w:marLeft w:val="0"/>
              <w:marRight w:val="0"/>
              <w:marTop w:val="0"/>
              <w:marBottom w:val="0"/>
              <w:divBdr>
                <w:top w:val="none" w:sz="0" w:space="0" w:color="auto"/>
                <w:left w:val="none" w:sz="0" w:space="0" w:color="auto"/>
                <w:bottom w:val="none" w:sz="0" w:space="0" w:color="auto"/>
                <w:right w:val="none" w:sz="0" w:space="0" w:color="auto"/>
              </w:divBdr>
              <w:divsChild>
                <w:div w:id="89181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4861">
          <w:marLeft w:val="0"/>
          <w:marRight w:val="0"/>
          <w:marTop w:val="0"/>
          <w:marBottom w:val="120"/>
          <w:divBdr>
            <w:top w:val="none" w:sz="0" w:space="0" w:color="auto"/>
            <w:left w:val="none" w:sz="0" w:space="0" w:color="auto"/>
            <w:bottom w:val="none" w:sz="0" w:space="0" w:color="auto"/>
            <w:right w:val="none" w:sz="0" w:space="0" w:color="auto"/>
          </w:divBdr>
          <w:divsChild>
            <w:div w:id="349796445">
              <w:marLeft w:val="120"/>
              <w:marRight w:val="0"/>
              <w:marTop w:val="0"/>
              <w:marBottom w:val="0"/>
              <w:divBdr>
                <w:top w:val="none" w:sz="0" w:space="0" w:color="auto"/>
                <w:left w:val="none" w:sz="0" w:space="0" w:color="auto"/>
                <w:bottom w:val="none" w:sz="0" w:space="0" w:color="auto"/>
                <w:right w:val="none" w:sz="0" w:space="0" w:color="auto"/>
              </w:divBdr>
            </w:div>
            <w:div w:id="959996008">
              <w:marLeft w:val="0"/>
              <w:marRight w:val="0"/>
              <w:marTop w:val="0"/>
              <w:marBottom w:val="0"/>
              <w:divBdr>
                <w:top w:val="none" w:sz="0" w:space="0" w:color="auto"/>
                <w:left w:val="none" w:sz="0" w:space="0" w:color="auto"/>
                <w:bottom w:val="none" w:sz="0" w:space="0" w:color="auto"/>
                <w:right w:val="none" w:sz="0" w:space="0" w:color="auto"/>
              </w:divBdr>
              <w:divsChild>
                <w:div w:id="1881044965">
                  <w:marLeft w:val="0"/>
                  <w:marRight w:val="0"/>
                  <w:marTop w:val="0"/>
                  <w:marBottom w:val="0"/>
                  <w:divBdr>
                    <w:top w:val="none" w:sz="0" w:space="0" w:color="auto"/>
                    <w:left w:val="none" w:sz="0" w:space="0" w:color="auto"/>
                    <w:bottom w:val="none" w:sz="0" w:space="0" w:color="auto"/>
                    <w:right w:val="none" w:sz="0" w:space="0" w:color="auto"/>
                  </w:divBdr>
                  <w:divsChild>
                    <w:div w:id="1082873034">
                      <w:marLeft w:val="0"/>
                      <w:marRight w:val="0"/>
                      <w:marTop w:val="0"/>
                      <w:marBottom w:val="0"/>
                      <w:divBdr>
                        <w:top w:val="none" w:sz="0" w:space="0" w:color="auto"/>
                        <w:left w:val="none" w:sz="0" w:space="0" w:color="auto"/>
                        <w:bottom w:val="none" w:sz="0" w:space="0" w:color="auto"/>
                        <w:right w:val="none" w:sz="0" w:space="0" w:color="auto"/>
                      </w:divBdr>
                      <w:divsChild>
                        <w:div w:id="67202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640375">
          <w:marLeft w:val="0"/>
          <w:marRight w:val="0"/>
          <w:marTop w:val="0"/>
          <w:marBottom w:val="0"/>
          <w:divBdr>
            <w:top w:val="none" w:sz="0" w:space="0" w:color="auto"/>
            <w:left w:val="none" w:sz="0" w:space="0" w:color="auto"/>
            <w:bottom w:val="none" w:sz="0" w:space="0" w:color="auto"/>
            <w:right w:val="none" w:sz="0" w:space="0" w:color="auto"/>
          </w:divBdr>
          <w:divsChild>
            <w:div w:id="202597227">
              <w:marLeft w:val="0"/>
              <w:marRight w:val="0"/>
              <w:marTop w:val="0"/>
              <w:marBottom w:val="0"/>
              <w:divBdr>
                <w:top w:val="none" w:sz="0" w:space="0" w:color="auto"/>
                <w:left w:val="none" w:sz="0" w:space="0" w:color="auto"/>
                <w:bottom w:val="none" w:sz="0" w:space="0" w:color="auto"/>
                <w:right w:val="none" w:sz="0" w:space="0" w:color="auto"/>
              </w:divBdr>
              <w:divsChild>
                <w:div w:id="838882474">
                  <w:marLeft w:val="0"/>
                  <w:marRight w:val="0"/>
                  <w:marTop w:val="0"/>
                  <w:marBottom w:val="0"/>
                  <w:divBdr>
                    <w:top w:val="none" w:sz="0" w:space="0" w:color="auto"/>
                    <w:left w:val="none" w:sz="0" w:space="0" w:color="auto"/>
                    <w:bottom w:val="none" w:sz="0" w:space="0" w:color="auto"/>
                    <w:right w:val="none" w:sz="0" w:space="0" w:color="auto"/>
                  </w:divBdr>
                  <w:divsChild>
                    <w:div w:id="1697539604">
                      <w:marLeft w:val="0"/>
                      <w:marRight w:val="0"/>
                      <w:marTop w:val="0"/>
                      <w:marBottom w:val="0"/>
                      <w:divBdr>
                        <w:top w:val="none" w:sz="0" w:space="0" w:color="auto"/>
                        <w:left w:val="none" w:sz="0" w:space="0" w:color="auto"/>
                        <w:bottom w:val="none" w:sz="0" w:space="0" w:color="auto"/>
                        <w:right w:val="none" w:sz="0" w:space="0" w:color="auto"/>
                      </w:divBdr>
                      <w:divsChild>
                        <w:div w:id="178172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237192">
      <w:bodyDiv w:val="1"/>
      <w:marLeft w:val="0"/>
      <w:marRight w:val="0"/>
      <w:marTop w:val="0"/>
      <w:marBottom w:val="0"/>
      <w:divBdr>
        <w:top w:val="none" w:sz="0" w:space="0" w:color="auto"/>
        <w:left w:val="none" w:sz="0" w:space="0" w:color="auto"/>
        <w:bottom w:val="none" w:sz="0" w:space="0" w:color="auto"/>
        <w:right w:val="none" w:sz="0" w:space="0" w:color="auto"/>
      </w:divBdr>
    </w:div>
    <w:div w:id="1261183826">
      <w:bodyDiv w:val="1"/>
      <w:marLeft w:val="0"/>
      <w:marRight w:val="0"/>
      <w:marTop w:val="0"/>
      <w:marBottom w:val="0"/>
      <w:divBdr>
        <w:top w:val="none" w:sz="0" w:space="0" w:color="auto"/>
        <w:left w:val="none" w:sz="0" w:space="0" w:color="auto"/>
        <w:bottom w:val="none" w:sz="0" w:space="0" w:color="auto"/>
        <w:right w:val="none" w:sz="0" w:space="0" w:color="auto"/>
      </w:divBdr>
    </w:div>
    <w:div w:id="1363552108">
      <w:bodyDiv w:val="1"/>
      <w:marLeft w:val="0"/>
      <w:marRight w:val="0"/>
      <w:marTop w:val="0"/>
      <w:marBottom w:val="0"/>
      <w:divBdr>
        <w:top w:val="none" w:sz="0" w:space="0" w:color="auto"/>
        <w:left w:val="none" w:sz="0" w:space="0" w:color="auto"/>
        <w:bottom w:val="none" w:sz="0" w:space="0" w:color="auto"/>
        <w:right w:val="none" w:sz="0" w:space="0" w:color="auto"/>
      </w:divBdr>
    </w:div>
    <w:div w:id="1461997341">
      <w:bodyDiv w:val="1"/>
      <w:marLeft w:val="0"/>
      <w:marRight w:val="0"/>
      <w:marTop w:val="0"/>
      <w:marBottom w:val="0"/>
      <w:divBdr>
        <w:top w:val="none" w:sz="0" w:space="0" w:color="auto"/>
        <w:left w:val="none" w:sz="0" w:space="0" w:color="auto"/>
        <w:bottom w:val="none" w:sz="0" w:space="0" w:color="auto"/>
        <w:right w:val="none" w:sz="0" w:space="0" w:color="auto"/>
      </w:divBdr>
    </w:div>
    <w:div w:id="1489398101">
      <w:bodyDiv w:val="1"/>
      <w:marLeft w:val="0"/>
      <w:marRight w:val="0"/>
      <w:marTop w:val="0"/>
      <w:marBottom w:val="0"/>
      <w:divBdr>
        <w:top w:val="none" w:sz="0" w:space="0" w:color="auto"/>
        <w:left w:val="none" w:sz="0" w:space="0" w:color="auto"/>
        <w:bottom w:val="none" w:sz="0" w:space="0" w:color="auto"/>
        <w:right w:val="none" w:sz="0" w:space="0" w:color="auto"/>
      </w:divBdr>
    </w:div>
    <w:div w:id="1509371087">
      <w:bodyDiv w:val="1"/>
      <w:marLeft w:val="0"/>
      <w:marRight w:val="0"/>
      <w:marTop w:val="0"/>
      <w:marBottom w:val="0"/>
      <w:divBdr>
        <w:top w:val="none" w:sz="0" w:space="0" w:color="auto"/>
        <w:left w:val="none" w:sz="0" w:space="0" w:color="auto"/>
        <w:bottom w:val="none" w:sz="0" w:space="0" w:color="auto"/>
        <w:right w:val="none" w:sz="0" w:space="0" w:color="auto"/>
      </w:divBdr>
    </w:div>
    <w:div w:id="1539078350">
      <w:bodyDiv w:val="1"/>
      <w:marLeft w:val="0"/>
      <w:marRight w:val="0"/>
      <w:marTop w:val="0"/>
      <w:marBottom w:val="0"/>
      <w:divBdr>
        <w:top w:val="none" w:sz="0" w:space="0" w:color="auto"/>
        <w:left w:val="none" w:sz="0" w:space="0" w:color="auto"/>
        <w:bottom w:val="none" w:sz="0" w:space="0" w:color="auto"/>
        <w:right w:val="none" w:sz="0" w:space="0" w:color="auto"/>
      </w:divBdr>
    </w:div>
    <w:div w:id="1546600798">
      <w:bodyDiv w:val="1"/>
      <w:marLeft w:val="0"/>
      <w:marRight w:val="0"/>
      <w:marTop w:val="0"/>
      <w:marBottom w:val="0"/>
      <w:divBdr>
        <w:top w:val="none" w:sz="0" w:space="0" w:color="auto"/>
        <w:left w:val="none" w:sz="0" w:space="0" w:color="auto"/>
        <w:bottom w:val="none" w:sz="0" w:space="0" w:color="auto"/>
        <w:right w:val="none" w:sz="0" w:space="0" w:color="auto"/>
      </w:divBdr>
      <w:divsChild>
        <w:div w:id="150145367">
          <w:marLeft w:val="0"/>
          <w:marRight w:val="0"/>
          <w:marTop w:val="0"/>
          <w:marBottom w:val="0"/>
          <w:divBdr>
            <w:top w:val="none" w:sz="0" w:space="0" w:color="auto"/>
            <w:left w:val="none" w:sz="0" w:space="0" w:color="auto"/>
            <w:bottom w:val="none" w:sz="0" w:space="0" w:color="auto"/>
            <w:right w:val="none" w:sz="0" w:space="0" w:color="auto"/>
          </w:divBdr>
        </w:div>
      </w:divsChild>
    </w:div>
    <w:div w:id="1651014830">
      <w:bodyDiv w:val="1"/>
      <w:marLeft w:val="0"/>
      <w:marRight w:val="0"/>
      <w:marTop w:val="0"/>
      <w:marBottom w:val="0"/>
      <w:divBdr>
        <w:top w:val="none" w:sz="0" w:space="0" w:color="auto"/>
        <w:left w:val="none" w:sz="0" w:space="0" w:color="auto"/>
        <w:bottom w:val="none" w:sz="0" w:space="0" w:color="auto"/>
        <w:right w:val="none" w:sz="0" w:space="0" w:color="auto"/>
      </w:divBdr>
    </w:div>
    <w:div w:id="1661734741">
      <w:bodyDiv w:val="1"/>
      <w:marLeft w:val="0"/>
      <w:marRight w:val="0"/>
      <w:marTop w:val="0"/>
      <w:marBottom w:val="0"/>
      <w:divBdr>
        <w:top w:val="none" w:sz="0" w:space="0" w:color="auto"/>
        <w:left w:val="none" w:sz="0" w:space="0" w:color="auto"/>
        <w:bottom w:val="none" w:sz="0" w:space="0" w:color="auto"/>
        <w:right w:val="none" w:sz="0" w:space="0" w:color="auto"/>
      </w:divBdr>
      <w:divsChild>
        <w:div w:id="66925499">
          <w:marLeft w:val="0"/>
          <w:marRight w:val="0"/>
          <w:marTop w:val="100"/>
          <w:marBottom w:val="0"/>
          <w:divBdr>
            <w:top w:val="none" w:sz="0" w:space="0" w:color="auto"/>
            <w:left w:val="none" w:sz="0" w:space="0" w:color="auto"/>
            <w:bottom w:val="none" w:sz="0" w:space="0" w:color="auto"/>
            <w:right w:val="none" w:sz="0" w:space="0" w:color="auto"/>
          </w:divBdr>
        </w:div>
        <w:div w:id="1867673647">
          <w:marLeft w:val="0"/>
          <w:marRight w:val="0"/>
          <w:marTop w:val="0"/>
          <w:marBottom w:val="0"/>
          <w:divBdr>
            <w:top w:val="none" w:sz="0" w:space="0" w:color="auto"/>
            <w:left w:val="none" w:sz="0" w:space="0" w:color="auto"/>
            <w:bottom w:val="none" w:sz="0" w:space="0" w:color="auto"/>
            <w:right w:val="none" w:sz="0" w:space="0" w:color="auto"/>
          </w:divBdr>
          <w:divsChild>
            <w:div w:id="69818297">
              <w:marLeft w:val="0"/>
              <w:marRight w:val="0"/>
              <w:marTop w:val="0"/>
              <w:marBottom w:val="0"/>
              <w:divBdr>
                <w:top w:val="none" w:sz="0" w:space="0" w:color="auto"/>
                <w:left w:val="none" w:sz="0" w:space="0" w:color="auto"/>
                <w:bottom w:val="none" w:sz="0" w:space="0" w:color="auto"/>
                <w:right w:val="none" w:sz="0" w:space="0" w:color="auto"/>
              </w:divBdr>
              <w:divsChild>
                <w:div w:id="33465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305921">
      <w:bodyDiv w:val="1"/>
      <w:marLeft w:val="0"/>
      <w:marRight w:val="0"/>
      <w:marTop w:val="0"/>
      <w:marBottom w:val="0"/>
      <w:divBdr>
        <w:top w:val="none" w:sz="0" w:space="0" w:color="auto"/>
        <w:left w:val="none" w:sz="0" w:space="0" w:color="auto"/>
        <w:bottom w:val="none" w:sz="0" w:space="0" w:color="auto"/>
        <w:right w:val="none" w:sz="0" w:space="0" w:color="auto"/>
      </w:divBdr>
      <w:divsChild>
        <w:div w:id="216208815">
          <w:marLeft w:val="0"/>
          <w:marRight w:val="0"/>
          <w:marTop w:val="0"/>
          <w:marBottom w:val="0"/>
          <w:divBdr>
            <w:top w:val="none" w:sz="0" w:space="0" w:color="auto"/>
            <w:left w:val="none" w:sz="0" w:space="0" w:color="auto"/>
            <w:bottom w:val="none" w:sz="0" w:space="0" w:color="auto"/>
            <w:right w:val="none" w:sz="0" w:space="0" w:color="auto"/>
          </w:divBdr>
        </w:div>
      </w:divsChild>
    </w:div>
    <w:div w:id="1862350511">
      <w:bodyDiv w:val="1"/>
      <w:marLeft w:val="0"/>
      <w:marRight w:val="0"/>
      <w:marTop w:val="0"/>
      <w:marBottom w:val="0"/>
      <w:divBdr>
        <w:top w:val="none" w:sz="0" w:space="0" w:color="auto"/>
        <w:left w:val="none" w:sz="0" w:space="0" w:color="auto"/>
        <w:bottom w:val="none" w:sz="0" w:space="0" w:color="auto"/>
        <w:right w:val="none" w:sz="0" w:space="0" w:color="auto"/>
      </w:divBdr>
      <w:divsChild>
        <w:div w:id="1730180094">
          <w:marLeft w:val="0"/>
          <w:marRight w:val="0"/>
          <w:marTop w:val="0"/>
          <w:marBottom w:val="0"/>
          <w:divBdr>
            <w:top w:val="none" w:sz="0" w:space="0" w:color="auto"/>
            <w:left w:val="none" w:sz="0" w:space="0" w:color="auto"/>
            <w:bottom w:val="none" w:sz="0" w:space="0" w:color="auto"/>
            <w:right w:val="none" w:sz="0" w:space="0" w:color="auto"/>
          </w:divBdr>
        </w:div>
      </w:divsChild>
    </w:div>
    <w:div w:id="21202529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yperlink" Target="https://arxiv.org/abs/2402.17753" TargetMode="External"/><Relationship Id="rId13" Type="http://schemas.openxmlformats.org/officeDocument/2006/relationships/hyperlink" Target="https://arxiv.org/abs/2410.10813" TargetMode="External"/><Relationship Id="rId14" Type="http://schemas.openxmlformats.org/officeDocument/2006/relationships/hyperlink" Target="https://arxiv.org/abs/2307.15810" TargetMode="External"/><Relationship Id="rId15" Type="http://schemas.openxmlformats.org/officeDocument/2006/relationships/hyperlink" Target="https://arxiv.org/abs/2412.14190" TargetMode="External"/><Relationship Id="rId16" Type="http://schemas.openxmlformats.org/officeDocument/2006/relationships/hyperlink" Target="https://arxiv.org/abs/2506.12605" TargetMode="External"/><Relationship Id="rId17" Type="http://schemas.openxmlformats.org/officeDocument/2006/relationships/hyperlink" Target="https://arxiv.org/abs/2305.10250" TargetMode="External"/><Relationship Id="rId18" Type="http://schemas.openxmlformats.org/officeDocument/2006/relationships/hyperlink" Target="https://arxiv.org/abs/2405.14831" TargetMode="External"/><Relationship Id="rId19" Type="http://schemas.openxmlformats.org/officeDocument/2006/relationships/hyperlink" Target="https://arxiv.org/abs/2407.09450" TargetMode="External"/><Relationship Id="rId20" Type="http://schemas.openxmlformats.org/officeDocument/2006/relationships/hyperlink" Target="https://arxiv.org/abs/2402.09727" TargetMode="External"/><Relationship Id="rId21" Type="http://schemas.openxmlformats.org/officeDocument/2006/relationships/hyperlink" Target="https://arxiv.org/abs/2304.03442" TargetMode="External"/><Relationship Id="rId22" Type="http://schemas.openxmlformats.org/officeDocument/2006/relationships/hyperlink" Target="https://arxiv.org/abs/2308.04879" TargetMode="External"/><Relationship Id="rId23" Type="http://schemas.openxmlformats.org/officeDocument/2006/relationships/hyperlink" Target="https://arxiv.org/abs/2407.18064" TargetMode="External"/><Relationship Id="rId24" Type="http://schemas.openxmlformats.org/officeDocument/2006/relationships/hyperlink" Target="https://doi.org/10.1145/3706598.3713760" TargetMode="External"/><Relationship Id="rId25" Type="http://schemas.openxmlformats.org/officeDocument/2006/relationships/hyperlink" Target="https://arxiv.org/abs/2501.00383" TargetMode="External"/><Relationship Id="rId26" Type="http://schemas.openxmlformats.org/officeDocument/2006/relationships/hyperlink" Target="https://doi.org/10.1016/j.ijhcs.2025.103482" TargetMode="External"/><Relationship Id="rId27" Type="http://schemas.openxmlformats.org/officeDocument/2006/relationships/hyperlink" Target="https://arxiv.org/abs/2503.17473" TargetMode="External"/><Relationship Id="rId28" Type="http://schemas.openxmlformats.org/officeDocument/2006/relationships/hyperlink" Target="https://arxiv.org/abs/2504.15965" TargetMode="External"/><Relationship Id="rId29" Type="http://schemas.openxmlformats.org/officeDocument/2006/relationships/hyperlink" Target="https://arxiv.org/abs/2310.08560" TargetMode="External"/><Relationship Id="rId30" Type="http://schemas.openxmlformats.org/officeDocument/2006/relationships/hyperlink" Target="https://doi.org/10.1016/1041-6080(95)90031-4" TargetMode="External"/><Relationship Id="rId31" Type="http://schemas.openxmlformats.org/officeDocument/2006/relationships/hyperlink" Target="https://doi.org/10.1037/0033-295X.102.3.419" TargetMode="External"/><Relationship Id="rId32" Type="http://schemas.openxmlformats.org/officeDocument/2006/relationships/hyperlink" Target="https://doi.org/10.1037/0735-7044.100.2.147" TargetMode="External"/><Relationship Id="rId33" Type="http://schemas.openxmlformats.org/officeDocument/2006/relationships/hyperlink" Target="https://arxiv.org/abs/2502.12110" TargetMode="External"/><Relationship Id="rId34" Type="http://schemas.openxmlformats.org/officeDocument/2006/relationships/hyperlink" Target="https://arxiv.org/abs/2504.19413" TargetMode="External"/><Relationship Id="rId35" Type="http://schemas.openxmlformats.org/officeDocument/2006/relationships/hyperlink" Target="https://arxiv.org/abs/2501.13956" TargetMode="External"/><Relationship Id="rId36" Type="http://schemas.openxmlformats.org/officeDocument/2006/relationships/hyperlink" Target="https://doi.org/10.1037/0033-2909.133.2.273" TargetMode="External"/><Relationship Id="rId37" Type="http://schemas.openxmlformats.org/officeDocument/2006/relationships/hyperlink" Target="https://doi.org/10.1145/3719160.3737617" TargetMode="External"/><Relationship Id="rId38" Type="http://schemas.openxmlformats.org/officeDocument/2006/relationships/hyperlink" Target="https://arxiv.org/abs/2107.075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F3262-1D6E-4E27-949F-B1B6AF9376D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284</Words>
  <Characters>1622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 Papava</dc:creator>
  <cp:keywords/>
  <dc:description/>
  <cp:lastModifiedBy>ბასილი მათეშვილი</cp:lastModifiedBy>
  <cp:revision>2</cp:revision>
  <dcterms:created xsi:type="dcterms:W3CDTF">2024-03-14T18:28:00Z</dcterms:created>
  <dcterms:modified xsi:type="dcterms:W3CDTF">2024-03-14T18:28:00Z</dcterms:modified>
</cp:coreProperties>
</file>