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en-US"/>
        </w:rPr>
        <w:t>Aleksandre Imnaishvili</w:t>
      </w:r>
    </w:p>
    <w:p>
      <w:pPr>
        <w:spacing w:line="240" w:lineRule="auto" w:after="0"/>
        <w:jc w:val="center"/>
      </w:pPr>
    </w:p>
    <w:p>
      <w:pPr>
        <w:spacing w:line="240" w:lineRule="auto" w:after="0"/>
        <w:jc w:val="center"/>
      </w:pPr>
      <w:r>
        <w:rPr>
          <w:rFonts w:ascii="Sylfaen" w:hAnsi="Sylfaen" w:cs="Sylfaen"/>
          <w:b/>
          <w:sz w:val="32"/>
          <w:lang w:val="en-US"/>
        </w:rPr>
        <w:t>Conversational AI: The Evolution from Assistant to Interlocutor</w:t>
      </w:r>
    </w:p>
    <w:p>
      <w:pPr>
        <w:spacing w:line="240" w:lineRule="auto" w:after="0"/>
        <w:jc w:val="center"/>
      </w:pPr>
    </w:p>
    <w:p>
      <w:pPr>
        <w:spacing w:line="240" w:lineRule="auto" w:after="0"/>
        <w:jc w:val="center"/>
      </w:pPr>
      <w:r>
        <w:rPr>
          <w:rFonts w:ascii="Sylfaen" w:hAnsi="Sylfaen" w:cs="Sylfaen"/>
          <w:b/>
          <w:sz w:val="28"/>
          <w:lang w:val="en-US"/>
        </w:rPr>
        <w:t>Code: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en-US"/>
        </w:rPr>
        <w:t>Georgian Technical University</w:t>
      </w:r>
    </w:p>
    <w:p>
      <w:pPr>
        <w:spacing w:line="240" w:lineRule="auto" w:after="0"/>
        <w:jc w:val="center"/>
      </w:pPr>
      <w:r>
        <w:rPr>
          <w:rFonts w:ascii="Sylfaen" w:hAnsi="Sylfaen" w:cs="Sylfaen"/>
          <w:b w:val="0"/>
          <w:sz w:val="24"/>
          <w:lang w:val="en-US"/>
        </w:rPr>
        <w:t>Tbilisi, 0160, Georgia</w:t>
      </w:r>
    </w:p>
    <w:p>
      <w:pPr>
        <w:spacing w:line="240" w:lineRule="auto" w:after="0"/>
        <w:jc w:val="center"/>
      </w:pPr>
      <w:r>
        <w:rPr>
          <w:rFonts w:ascii="Sylfaen" w:hAnsi="Sylfaen" w:cs="Sylfaen"/>
          <w:b w:val="0"/>
          <w:sz w:val="24"/>
          <w:lang w:val="en-US"/>
        </w:rPr>
        <w:t>July 2026</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აღწევს, მაგრამ სესიებს შორის ვერ ინარჩუნებს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ჩამორჩება,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განიხილავს,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პროფილი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 ერთ სასიცოცხლო ციკლში: მნიშვნელობისმიღწევით კონტროლირებადი კოდირება, არსობრივი ნაწილისა და ორიენტირის წარმოდგენა, გადავადებული ებინგჰაუსის დაქრობა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არსობრივი ნაწილის მიხედვით მოძიება. თითოეული მექანიზმი დაკავშირებულია დასაკვირვებელ ქცევით ნიშან-თვისებასთან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არსობრივი შინაარსის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დაქრობას, არც მნიშვნელოვნების კარიბჭეს, არც კონსოლიდაციას. რადგან პირობებს ინფერენსის დროის (inference-time) იდენტური ჩარჩო აქვს, B+ კონტროლი გამოყოფს ადამიანის მეხსიერების დინამიკის ეფექტს ენობრივი მოდელის კურირებით მიღებული ზოგადი წაკითხვადობის გაუმჯობესებისგან — იმ ამრევი ფაქტორისგან,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აპრიორული სიმძლავრის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ცოდნად, უფრო მცირე კონტექსტური კვალის ფასად და საბაზისო მაჩვენებლების მსგავსი დაყოვნებით.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ზღვარს ქმნის. რაც ყველაზე მნიშვნელოვანია, იმ ერთ კონსტრუქტზე, რომელზეც ადამიანის ძლიერი, განმეორებით დადასტურებული ეფექტი არსებობს — სიტყვასიტყვითი გახსენების ინტრუზიულობა — სიმულირებულმა მსაჯულმა ადამიანთა ლიტერატურისგან საპირისპირო დალაგება წარმოადგინა. ეს აჩვენებს, რომ ენობრივი მოდელის მსაჯული ვერ ჩაანაცვლებს ადამიანის აღქმას რისკზე დამოკიდებულ კონსტრუქტებზე, რითაც დასტურდება ადამიანთა მონაწილეობით კვლევის აუცილებლობა, რომელსაც ნაშრომი სრულად განსაზღვრავს, როგორც სამომავლო გეგმებს.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კურირებული შინაარსისგან გამიჯვნის ხელახლა გამოყენებად მეთოდოლოგიას და კონცეფციის დამტკიცების ემპირიულ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გეგმებს.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Introduction</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Literature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2.1 Scope and structure of the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2.2 Theoretical foundations: models of human memory</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2.3 Long-term memory for LLM agents: three waves</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2.4 The bridge: from memory theory to memory architecture</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2.5 Evaluating conversational memory: benchmarks and their limits</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2.6 From assistant to interlocutor: memory and perceived relationship</w:t>
      </w:r>
      <w:r>
        <w:rPr>
          <w:rFonts w:ascii="Sylfaen" w:hAnsi="Sylfaen"/>
          <w:sz w:val="24"/>
        </w:rPr>
        <w:tab/>
      </w:r>
      <w:r>
        <w:rPr>
          <w:rFonts w:ascii="Sylfaen" w:hAnsi="Sylfaen"/>
          <w:sz w:val="24"/>
        </w:rPr>
        <w:t>21</w:t>
      </w:r>
    </w:p>
    <w:p>
      <w:pPr>
        <w:tabs>
          <w:tab w:pos="8323" w:val="right" w:leader="dot"/>
        </w:tabs>
        <w:spacing w:line="240" w:lineRule="auto" w:before="0" w:after="0"/>
        <w:ind w:left="454"/>
      </w:pPr>
      <w:r>
        <w:rPr>
          <w:rFonts w:ascii="Sylfaen" w:hAnsi="Sylfaen"/>
          <w:sz w:val="24"/>
        </w:rPr>
        <w:t>2.7 Open problems and limitations</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2.8 The place of the present work</w:t>
      </w:r>
      <w:r>
        <w:rPr>
          <w:rFonts w:ascii="Sylfaen" w:hAnsi="Sylfaen"/>
          <w:sz w:val="24"/>
        </w:rPr>
        <w:tab/>
      </w:r>
      <w:r>
        <w:rPr>
          <w:rFonts w:ascii="Sylfaen" w:hAnsi="Sylfaen"/>
          <w:sz w:val="24"/>
        </w:rPr>
        <w:t>23</w:t>
      </w:r>
    </w:p>
    <w:p>
      <w:pPr>
        <w:tabs>
          <w:tab w:pos="8323" w:val="right" w:leader="dot"/>
        </w:tabs>
        <w:spacing w:line="240" w:lineRule="auto" w:before="0" w:after="0"/>
        <w:ind w:left="0"/>
      </w:pPr>
      <w:r>
        <w:rPr>
          <w:rFonts w:ascii="Sylfaen" w:hAnsi="Sylfaen"/>
          <w:sz w:val="24"/>
        </w:rPr>
        <w:t>3. Research Methods</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3.1 Research design and contribution</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3.2 The Profile C memory architecture</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3.3 Experimental conditions (A / B / B+ / C)</w:t>
      </w:r>
      <w:r>
        <w:rPr>
          <w:rFonts w:ascii="Sylfaen" w:hAnsi="Sylfaen"/>
          <w:sz w:val="24"/>
        </w:rPr>
        <w:tab/>
      </w:r>
      <w:r>
        <w:rPr>
          <w:rFonts w:ascii="Sylfaen" w:hAnsi="Sylfaen"/>
          <w:sz w:val="24"/>
        </w:rPr>
        <w:t>29</w:t>
      </w:r>
    </w:p>
    <w:p>
      <w:pPr>
        <w:tabs>
          <w:tab w:pos="8323" w:val="right" w:leader="dot"/>
        </w:tabs>
        <w:spacing w:line="240" w:lineRule="auto" w:before="0" w:after="0"/>
        <w:ind w:left="454"/>
      </w:pPr>
      <w:r>
        <w:rPr>
          <w:rFonts w:ascii="Sylfaen" w:hAnsi="Sylfaen"/>
          <w:sz w:val="24"/>
        </w:rPr>
        <w:t>3.4 Proof-of-concept implementation</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3.5 Evaluation methodology</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3.6 Measures and instruments</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3.7 Analysis plan</w:t>
      </w:r>
      <w:r>
        <w:rPr>
          <w:rFonts w:ascii="Sylfaen" w:hAnsi="Sylfaen"/>
          <w:sz w:val="24"/>
        </w:rPr>
        <w:tab/>
      </w:r>
      <w:r>
        <w:rPr>
          <w:rFonts w:ascii="Sylfaen" w:hAnsi="Sylfaen"/>
          <w:sz w:val="24"/>
        </w:rPr>
        <w:t>34</w:t>
      </w:r>
    </w:p>
    <w:p>
      <w:pPr>
        <w:tabs>
          <w:tab w:pos="8323" w:val="right" w:leader="dot"/>
        </w:tabs>
        <w:spacing w:line="240" w:lineRule="auto" w:before="0" w:after="0"/>
        <w:ind w:left="454"/>
      </w:pPr>
      <w:r>
        <w:rPr>
          <w:rFonts w:ascii="Sylfaen" w:hAnsi="Sylfaen"/>
          <w:sz w:val="24"/>
        </w:rPr>
        <w:t>3.8 Ethical considerations and limitations</w:t>
      </w:r>
      <w:r>
        <w:rPr>
          <w:rFonts w:ascii="Sylfaen" w:hAnsi="Sylfaen"/>
          <w:sz w:val="24"/>
        </w:rPr>
        <w:tab/>
      </w:r>
      <w:r>
        <w:rPr>
          <w:rFonts w:ascii="Sylfaen" w:hAnsi="Sylfaen"/>
          <w:sz w:val="24"/>
        </w:rPr>
        <w:t>35</w:t>
      </w:r>
    </w:p>
    <w:p>
      <w:pPr>
        <w:tabs>
          <w:tab w:pos="8323" w:val="right" w:leader="dot"/>
        </w:tabs>
        <w:spacing w:line="240" w:lineRule="auto" w:before="0" w:after="0"/>
        <w:ind w:left="0"/>
      </w:pPr>
      <w:r>
        <w:rPr>
          <w:rFonts w:ascii="Sylfaen" w:hAnsi="Sylfaen"/>
          <w:sz w:val="24"/>
        </w:rPr>
        <w:t>4. Results and Discussion</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4.1 Proof-of-concept: scope and fidelity</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4.2 Technical results</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4.3 Simulated-perception results</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4.4 Discussion</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4.5 Limitations of the evaluation</w:t>
      </w:r>
      <w:r>
        <w:rPr>
          <w:rFonts w:ascii="Sylfaen" w:hAnsi="Sylfaen"/>
          <w:sz w:val="24"/>
        </w:rPr>
        <w:tab/>
      </w:r>
      <w:r>
        <w:rPr>
          <w:rFonts w:ascii="Sylfaen" w:hAnsi="Sylfaen"/>
          <w:sz w:val="24"/>
        </w:rPr>
        <w:t>41</w:t>
      </w:r>
    </w:p>
    <w:p>
      <w:pPr>
        <w:tabs>
          <w:tab w:pos="8323" w:val="right" w:leader="dot"/>
        </w:tabs>
        <w:spacing w:line="240" w:lineRule="auto" w:before="0" w:after="0"/>
        <w:ind w:left="0"/>
      </w:pPr>
      <w:r>
        <w:rPr>
          <w:rFonts w:ascii="Sylfaen" w:hAnsi="Sylfaen"/>
          <w:sz w:val="24"/>
        </w:rPr>
        <w:t>5. Conclusion</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5.1 Summary of contributions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5.2 Summary of findings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5.3 Future work</w:t>
      </w:r>
      <w:r>
        <w:rPr>
          <w:rFonts w:ascii="Sylfaen" w:hAnsi="Sylfaen"/>
          <w:sz w:val="24"/>
        </w:rPr>
        <w:tab/>
      </w:r>
      <w:r>
        <w:rPr>
          <w:rFonts w:ascii="Sylfaen" w:hAnsi="Sylfaen"/>
          <w:sz w:val="24"/>
        </w:rPr>
        <w:t>43</w:t>
      </w:r>
    </w:p>
    <w:p>
      <w:pPr>
        <w:tabs>
          <w:tab w:pos="8323" w:val="right" w:leader="dot"/>
        </w:tabs>
        <w:spacing w:line="240" w:lineRule="auto" w:before="0" w:after="0"/>
        <w:ind w:left="0"/>
      </w:pPr>
      <w:r>
        <w:rPr>
          <w:rFonts w:ascii="Sylfaen" w:hAnsi="Sylfaen"/>
          <w:sz w:val="24"/>
        </w:rPr>
        <w:t>Bibliography</w:t>
      </w:r>
      <w:r>
        <w:rPr>
          <w:rFonts w:ascii="Sylfaen" w:hAnsi="Sylfaen"/>
          <w:sz w:val="24"/>
        </w:rPr>
        <w:tab/>
      </w:r>
      <w:r>
        <w:rPr>
          <w:rFonts w:ascii="Sylfaen" w:hAnsi="Sylfaen"/>
          <w:sz w:val="24"/>
        </w:rPr>
        <w:t>44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en-US"/>
        </w:rPr>
        <w:t>Table 2.1. Human-memory theories and their corresponding LLM-agent implementations</w:t>
      </w:r>
    </w:p>
    <w:p>
      <w:pPr/>
      <w:r>
        <w:rPr>
          <w:rFonts w:ascii="Sylfaen" w:hAnsi="Sylfaen" w:cs="Sylfaen"/>
          <w:b w:val="0"/>
          <w:sz w:val="24"/>
          <w:lang w:val="en-US"/>
        </w:rPr>
        <w:t>Table 3.1. Confound control in the experimental design</w:t>
      </w:r>
    </w:p>
    <w:p>
      <w:pPr/>
      <w:r>
        <w:rPr>
          <w:rFonts w:ascii="Sylfaen" w:hAnsi="Sylfaen" w:cs="Sylfaen"/>
          <w:b w:val="0"/>
          <w:sz w:val="24"/>
          <w:lang w:val="en-US"/>
        </w:rPr>
        <w:t>Table 4.1. Proof-of-concept fidelity against the full architecture of 3.2</w:t>
      </w:r>
    </w:p>
    <w:p>
      <w:pPr/>
      <w:r>
        <w:rPr>
          <w:rFonts w:ascii="Sylfaen" w:hAnsi="Sylfaen" w:cs="Sylfaen"/>
          <w:b w:val="0"/>
          <w:sz w:val="24"/>
          <w:lang w:val="en-US"/>
        </w:rPr>
        <w:t>Table 4.2. Cross-session recall accuracy by probe type</w:t>
      </w:r>
    </w:p>
    <w:p>
      <w:pPr/>
      <w:r>
        <w:rPr>
          <w:rFonts w:ascii="Sylfaen" w:hAnsi="Sylfaen" w:cs="Sylfaen"/>
          <w:b w:val="0"/>
          <w:sz w:val="24"/>
          <w:lang w:val="en-US"/>
        </w:rPr>
        <w:t>Table 4.3. Simulated-perception mean ratings by construct</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en-US"/>
        </w:rPr>
        <w:t>1. Introduction</w:t>
      </w:r>
    </w:p>
    <w:p>
      <w:pPr>
        <w:jc w:val="both"/>
      </w:pPr>
      <w:r>
        <w:rPr>
          <w:rFonts w:ascii="Sylfaen" w:hAnsi="Sylfaen" w:cs="Sylfaen"/>
          <w:b/>
          <w:sz w:val="24"/>
          <w:lang w:val="en-US"/>
        </w:rPr>
        <w:t xml:space="preserve">Research problem. </w:t>
      </w:r>
      <w:r>
        <w:rPr>
          <w:rFonts w:ascii="Sylfaen" w:hAnsi="Sylfaen" w:cs="Sylfaen"/>
          <w:b w:val="0"/>
          <w:sz w:val="24"/>
          <w:lang w:val="en-US"/>
        </w:rPr>
        <w:t>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jc w:val="both"/>
      </w:pPr>
      <w:r>
        <w:rPr>
          <w:rFonts w:ascii="Sylfaen" w:hAnsi="Sylfaen" w:cs="Sylfaen"/>
          <w:b w:val="0"/>
          <w:sz w:val="24"/>
          <w:lang w:val="en-US"/>
        </w:rPr>
        <w:t>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this thesis designs and specifies as future work.</w:t>
      </w:r>
    </w:p>
    <w:p>
      <w:pPr>
        <w:jc w:val="both"/>
      </w:pPr>
      <w:r>
        <w:rPr>
          <w:rFonts w:ascii="Sylfaen" w:hAnsi="Sylfaen" w:cs="Sylfaen"/>
          <w:b w:val="0"/>
          <w:sz w:val="24"/>
          <w:lang w:val="en-US"/>
        </w:rPr>
        <w:t>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jc w:val="both"/>
      </w:pPr>
      <w:r>
        <w:rPr>
          <w:rFonts w:ascii="Sylfaen" w:hAnsi="Sylfaen" w:cs="Sylfaen"/>
          <w:b w:val="0"/>
          <w:sz w:val="24"/>
          <w:lang w:val="en-US"/>
        </w:rPr>
        <w:t>The object of research is LLM-based voice conversational systems. The subject of research is the effect of long-term memory architecture on user-perceived social constructs.</w:t>
      </w:r>
    </w:p>
    <w:p>
      <w:pPr>
        <w:jc w:val="both"/>
      </w:pPr>
      <w:r>
        <w:rPr>
          <w:rFonts w:ascii="Sylfaen" w:hAnsi="Sylfaen" w:cs="Sylfaen"/>
          <w:b/>
          <w:sz w:val="24"/>
          <w:lang w:val="en-US"/>
        </w:rPr>
        <w:t xml:space="preserve">Research aim. </w:t>
      </w:r>
      <w:r>
        <w:rPr>
          <w:rFonts w:ascii="Sylfaen" w:hAnsi="Sylfaen" w:cs="Sylfaen"/>
          <w:b w:val="0"/>
          <w:sz w:val="24"/>
          <w:lang w:val="en-US"/>
        </w:rPr>
        <w:t>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jc w:val="both"/>
      </w:pPr>
      <w:r>
        <w:rPr>
          <w:rFonts w:ascii="Sylfaen" w:hAnsi="Sylfaen" w:cs="Sylfaen"/>
          <w:b w:val="0"/>
          <w:sz w:val="24"/>
          <w:lang w:val="en-US"/>
        </w:rPr>
        <w:t>To achieve this aim, the following objectives are set:</w:t>
      </w:r>
    </w:p>
    <w:p>
      <w:pPr>
        <w:jc w:val="both"/>
      </w:pPr>
      <w:r>
        <w:rPr>
          <w:rFonts w:ascii="Sylfaen" w:hAnsi="Sylfaen" w:cs="Sylfaen"/>
          <w:b w:val="0"/>
          <w:sz w:val="24"/>
          <w:lang w:val="en-US"/>
        </w:rPr>
        <w:t>1. a systematic analysis of existing approaches to long-term conversational memory and of their cognitive-theoretical foundations;</w:t>
      </w:r>
    </w:p>
    <w:p>
      <w:pPr>
        <w:jc w:val="both"/>
      </w:pPr>
      <w:r>
        <w:rPr>
          <w:rFonts w:ascii="Sylfaen" w:hAnsi="Sylfaen" w:cs="Sylfaen"/>
          <w:b w:val="0"/>
          <w:sz w:val="24"/>
          <w:lang w:val="en-US"/>
        </w:rPr>
        <w:t>2. formalization of the behavioral signatures of the selected theories (the multi-store model, the Ebbinghaus forgetting curve, the episodic/semantic memory distinction, gist-based recall, and the complementary learning systems / consolidation framework) and their transformation into architectural components;</w:t>
      </w:r>
    </w:p>
    <w:p>
      <w:pPr>
        <w:jc w:val="both"/>
      </w:pPr>
      <w:r>
        <w:rPr>
          <w:rFonts w:ascii="Sylfaen" w:hAnsi="Sylfaen" w:cs="Sylfaen"/>
          <w:b w:val="0"/>
          <w:sz w:val="24"/>
          <w:lang w:val="en-US"/>
        </w:rPr>
        <w:t>3. implementation of the architecture as mutually comparable experimental profiles: (A) no long-term memory, (B) verbatim-retrieval RAG, (B+) a curated-static active control, and (C) a profile modeled on human memory;</w:t>
      </w:r>
    </w:p>
    <w:p>
      <w:pPr>
        <w:jc w:val="both"/>
      </w:pPr>
      <w:r>
        <w:rPr>
          <w:rFonts w:ascii="Sylfaen" w:hAnsi="Sylfaen" w:cs="Sylfaen"/>
          <w:b w:val="0"/>
          <w:sz w:val="24"/>
          <w:lang w:val="en-US"/>
        </w:rPr>
        <w:t>4. specification of a pre-registered within-subject user-study protocol with validated instruments [14], designed in full but deferred to future work;</w:t>
      </w:r>
    </w:p>
    <w:p>
      <w:pPr>
        <w:jc w:val="both"/>
      </w:pPr>
      <w:r>
        <w:rPr>
          <w:rFonts w:ascii="Sylfaen" w:hAnsi="Sylfaen" w:cs="Sylfaen"/>
          <w:b w:val="0"/>
          <w:sz w:val="24"/>
          <w:lang w:val="en-US"/>
        </w:rPr>
        <w:t>5. a proof-of-concept implementation and its technical and simulated evaluation, with memory-design recommendations for interlocutor systems to be confirmed by the deferred study.</w:t>
      </w:r>
    </w:p>
    <w:p>
      <w:pPr>
        <w:jc w:val="both"/>
      </w:pPr>
      <w:r>
        <w:rPr>
          <w:rFonts w:ascii="Sylfaen" w:hAnsi="Sylfaen" w:cs="Sylfaen"/>
          <w:b w:val="0"/>
          <w:sz w:val="24"/>
          <w:lang w:val="en-US"/>
        </w:rPr>
        <w:t>Primary research question and hypotheses. The study distinguishes three primary social constructs (the dependent variables named in the aim) from two secondary, exploratory predictions:</w:t>
      </w:r>
    </w:p>
    <w:p>
      <w:pPr>
        <w:jc w:val="both"/>
      </w:pPr>
      <w:r>
        <w:rPr>
          <w:rFonts w:ascii="Sylfaen" w:hAnsi="Sylfaen" w:cs="Sylfaen"/>
          <w:b w:val="0"/>
          <w:sz w:val="24"/>
          <w:lang w:val="en-US"/>
        </w:rPr>
        <w:t>•  RQ1: Does a memory architecture grounded in theories of human memory strengthen perceived social presence, user–agent alliance, and perceived humanlikeness, relative to an approach based on verbatim retrieval?</w:t>
      </w:r>
    </w:p>
    <w:p>
      <w:pPr>
        <w:jc w:val="both"/>
      </w:pPr>
      <w:r>
        <w:rPr>
          <w:rFonts w:ascii="Sylfaen" w:hAnsi="Sylfaen" w:cs="Sylfaen"/>
          <w:b w:val="0"/>
          <w:sz w:val="24"/>
          <w:lang w:val="en-US"/>
        </w:rPr>
        <w:t>•  H1 (primary): the theory-grounded profile (C) outperforms verbatim RAG (B) on all three primary constructs — social presence, user–agent alliance, and perceived humanlikeness.</w:t>
      </w:r>
    </w:p>
    <w:p>
      <w:pPr>
        <w:jc w:val="both"/>
      </w:pPr>
      <w:r>
        <w:rPr>
          <w:rFonts w:ascii="Sylfaen" w:hAnsi="Sylfaen" w:cs="Sylfaen"/>
          <w:b w:val="0"/>
          <w:sz w:val="24"/>
          <w:lang w:val="en-US"/>
        </w:rPr>
        <w:t>•  H2a (secondary): verbatim RAG (B) scores highest on perceived intelligence (Godspeed).</w:t>
      </w:r>
    </w:p>
    <w:p>
      <w:pPr>
        <w:jc w:val="both"/>
      </w:pPr>
      <w:r>
        <w:rPr>
          <w:rFonts w:ascii="Sylfaen" w:hAnsi="Sylfaen" w:cs="Sylfaen"/>
          <w:b w:val="0"/>
          <w:sz w:val="24"/>
          <w:lang w:val="en-US"/>
        </w:rPr>
        <w:t>•  H2b (secondary): verbatim RAG (B) scores lowest on trust and privacy-related comfort (Cox-style items) — a conjecture extrapolated from text-modality results [11] to the voice modality.</w:t>
      </w:r>
    </w:p>
    <w:p>
      <w:pPr>
        <w:jc w:val="both"/>
      </w:pPr>
      <w:r>
        <w:rPr>
          <w:rFonts w:ascii="Sylfaen" w:hAnsi="Sylfaen" w:cs="Sylfaen"/>
          <w:b w:val="0"/>
          <w:sz w:val="24"/>
          <w:lang w:val="en-US"/>
        </w:rPr>
        <w:t>The comparison additionally includes a curated-static active control (B+): a memory that receives the same offline curation as C but none of its human-memory dynamics (no decay, no salience-gating, no consolidation). The contrast C versus B+ — which isolates the effect of the human-memory dynamics from the mere legibility gains of curation — is the central novel comparison of this thesis; as established in 3.1, it is by construction a small effect and is treated as a pre-registered estimation target rather than a confirmatory test, distinct from the better-powered comparisons (C vs A, and directional B+ vs B and C vs B).</w:t>
      </w:r>
    </w:p>
    <w:p>
      <w:pPr>
        <w:jc w:val="both"/>
      </w:pPr>
      <w:r>
        <w:rPr>
          <w:rFonts w:ascii="Sylfaen" w:hAnsi="Sylfaen" w:cs="Sylfaen"/>
          <w:b w:val="0"/>
          <w:sz w:val="24"/>
          <w:lang w:val="en-US"/>
        </w:rPr>
        <w:t>Of the three properties by which 1.5 distinguishes an interlocutor from an assistant, the memory manipulation bears on context persistence and identity continuity; the third — initiative — is operationalized only in an optional proactive condition and is therefore tested only if that condition is included.</w:t>
      </w:r>
    </w:p>
    <w:p>
      <w:pPr>
        <w:jc w:val="both"/>
      </w:pPr>
      <w:r>
        <w:rPr>
          <w:rFonts w:ascii="Sylfaen" w:hAnsi="Sylfaen" w:cs="Sylfaen"/>
          <w:b w:val="0"/>
          <w:sz w:val="24"/>
          <w:lang w:val="en-US"/>
        </w:rPr>
        <w:t>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within the voice setting rather than any voice-versus-text difference.</w:t>
      </w:r>
    </w:p>
    <w:p>
      <w:pPr>
        <w:jc w:val="both"/>
      </w:pPr>
      <w:r>
        <w:rPr>
          <w:rFonts w:ascii="Sylfaen" w:hAnsi="Sylfaen" w:cs="Sylfaen"/>
          <w:b/>
          <w:sz w:val="24"/>
          <w:lang w:val="en-US"/>
        </w:rPr>
        <w:t xml:space="preserve">Relevance of the problem. </w:t>
      </w:r>
      <w:r>
        <w:rPr>
          <w:rFonts w:ascii="Sylfaen" w:hAnsi="Sylfaen" w:cs="Sylfaen"/>
          <w:b w:val="0"/>
          <w:sz w:val="24"/>
          <w:lang w:val="en-US"/>
        </w:rPr>
        <w:t>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jc w:val="both"/>
      </w:pPr>
      <w:r>
        <w:rPr>
          <w:rFonts w:ascii="Sylfaen" w:hAnsi="Sylfaen" w:cs="Sylfaen"/>
          <w:b/>
          <w:sz w:val="24"/>
          <w:lang w:val="en-US"/>
        </w:rPr>
        <w:t xml:space="preserve">Practical value of the research. </w:t>
      </w:r>
      <w:r>
        <w:rPr>
          <w:rFonts w:ascii="Sylfaen" w:hAnsi="Sylfaen" w:cs="Sylfaen"/>
          <w:b w:val="0"/>
          <w:sz w:val="24"/>
          <w:lang w:val="en-US"/>
        </w:rPr>
        <w:t>The research will produce:</w:t>
      </w:r>
    </w:p>
    <w:p>
      <w:pPr>
        <w:jc w:val="both"/>
      </w:pPr>
      <w:r>
        <w:rPr>
          <w:rFonts w:ascii="Sylfaen" w:hAnsi="Sylfaen" w:cs="Sylfaen"/>
          <w:b w:val="0"/>
          <w:sz w:val="24"/>
          <w:lang w:val="en-US"/>
        </w:rPr>
        <w:t>•  a proof-of-concept memory harness implementing all four conditions over multi-session dialogue, together with a specified path to integrate it into the Voice Companion voice platform (future work);</w:t>
      </w:r>
    </w:p>
    <w:p>
      <w:pPr>
        <w:jc w:val="both"/>
      </w:pPr>
      <w:r>
        <w:rPr>
          <w:rFonts w:ascii="Sylfaen" w:hAnsi="Sylfaen" w:cs="Sylfaen"/>
          <w:b w:val="0"/>
          <w:sz w:val="24"/>
          <w:lang w:val="en-US"/>
        </w:rPr>
        <w:t>•  design recommendations — informed by a technical and simulated proof-of-concept, and to be empirically validated by the deferred human study — on which memory mechanisms strengthen or weaken the sense of relationship, as a guide for builders of conversational products;</w:t>
      </w:r>
    </w:p>
    <w:p>
      <w:pPr>
        <w:jc w:val="both"/>
      </w:pPr>
      <w:r>
        <w:rPr>
          <w:rFonts w:ascii="Sylfaen" w:hAnsi="Sylfaen" w:cs="Sylfaen"/>
          <w:b w:val="0"/>
          <w:sz w:val="24"/>
          <w:lang w:val="en-US"/>
        </w:rPr>
        <w:t>•  a reproducible experimental environment for comparing memory profiles.</w:t>
      </w:r>
    </w:p>
    <w:p>
      <w:pPr>
        <w:jc w:val="both"/>
      </w:pPr>
      <w:r>
        <w:rPr>
          <w:rFonts w:ascii="Sylfaen" w:hAnsi="Sylfaen" w:cs="Sylfaen"/>
          <w:b w:val="0"/>
          <w:sz w:val="24"/>
          <w:lang w:val="en-US"/>
        </w:rPr>
        <w:t>The results are relevant to the development of personal assistants as well as of conversational systems for educational and medical purposes.</w:t>
      </w:r>
    </w:p>
    <w:p>
      <w:pPr>
        <w:jc w:val="both"/>
      </w:pPr>
      <w:r>
        <w:rPr>
          <w:rFonts w:ascii="Sylfaen" w:hAnsi="Sylfaen" w:cs="Sylfaen"/>
          <w:b/>
          <w:sz w:val="24"/>
          <w:lang w:val="en-US"/>
        </w:rPr>
        <w:t xml:space="preserve">Theoretical value of the research. </w:t>
      </w:r>
      <w:r>
        <w:rPr>
          <w:rFonts w:ascii="Sylfaen" w:hAnsi="Sylfaen" w:cs="Sylfaen"/>
          <w:b w:val="0"/>
          <w:sz w:val="24"/>
          <w:lang w:val="en-US"/>
        </w:rPr>
        <w:t>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to fill this gap by designing a controlled experiment and building the apparatus and methodology to run it.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jc w:val="both"/>
      </w:pPr>
      <w:r>
        <w:rPr>
          <w:rFonts w:ascii="Sylfaen" w:hAnsi="Sylfaen" w:cs="Sylfaen"/>
          <w:b/>
          <w:sz w:val="24"/>
          <w:lang w:val="en-US"/>
        </w:rPr>
        <w:t xml:space="preserve">Structure of the work. </w:t>
      </w:r>
      <w:r>
        <w:rPr>
          <w:rFonts w:ascii="Sylfaen" w:hAnsi="Sylfaen" w:cs="Sylfaen"/>
          <w:b w:val="0"/>
          <w:sz w:val="24"/>
          <w:lang w:val="en-US"/>
        </w:rPr>
        <w:t>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the proof-of-concept, and the design of the (deferred) user study. The results chapter reports the proof-of-concept implementation and its technical and simulated evaluation and discusses what they do and do not establish; the human-subject study is specified in the methods chapter as future work. The conclusion summarizes the findings and outlines directions for future research.</w:t>
      </w:r>
    </w:p>
    <w:p>
      <w:pPr>
        <w:pStyle w:val="Heading1"/>
        <w:pageBreakBefore/>
        <w:numPr>
          <w:numId w:val="0"/>
        </w:numPr>
        <w:spacing w:before="360" w:after="80"/>
        <w:jc w:val="center"/>
      </w:pPr>
      <w:r>
        <w:rPr>
          <w:rFonts w:ascii="Sylfaen" w:hAnsi="Sylfaen" w:cs="Sylfaen"/>
          <w:b/>
          <w:color w:val="000000"/>
          <w:sz w:val="28"/>
          <w:lang w:val="en-US"/>
        </w:rPr>
        <w:t>2. Literature Review</w:t>
      </w:r>
    </w:p>
    <w:p>
      <w:pPr>
        <w:pStyle w:val="Heading2"/>
        <w:numPr>
          <w:numId w:val="0"/>
        </w:numPr>
        <w:spacing w:before="160" w:after="80"/>
        <w:jc w:val="center"/>
      </w:pPr>
      <w:r>
        <w:rPr>
          <w:rFonts w:ascii="Sylfaen" w:hAnsi="Sylfaen" w:cs="Sylfaen"/>
          <w:b/>
          <w:color w:val="000000"/>
          <w:sz w:val="28"/>
          <w:lang w:val="en-US"/>
        </w:rPr>
        <w:t>2.1 Scope and structure of the review</w:t>
      </w:r>
    </w:p>
    <w:p>
      <w:pPr>
        <w:jc w:val="both"/>
      </w:pPr>
      <w:r>
        <w:rPr>
          <w:rFonts w:ascii="Sylfaen" w:hAnsi="Sylfaen" w:cs="Sylfaen"/>
          <w:b w:val="0"/>
          <w:sz w:val="24"/>
          <w:lang w:val="en-US"/>
        </w:rPr>
        <w:t>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pStyle w:val="Heading2"/>
        <w:numPr>
          <w:numId w:val="0"/>
        </w:numPr>
        <w:spacing w:before="160" w:after="80"/>
        <w:jc w:val="center"/>
      </w:pPr>
      <w:r>
        <w:rPr>
          <w:rFonts w:ascii="Sylfaen" w:hAnsi="Sylfaen" w:cs="Sylfaen"/>
          <w:b/>
          <w:color w:val="000000"/>
          <w:sz w:val="28"/>
          <w:lang w:val="en-US"/>
        </w:rPr>
        <w:t>2.2 Theoretical foundations: models of human memory</w:t>
      </w:r>
    </w:p>
    <w:p>
      <w:pPr>
        <w:jc w:val="both"/>
      </w:pPr>
      <w:r>
        <w:rPr>
          <w:rFonts w:ascii="Sylfaen" w:hAnsi="Sylfaen" w:cs="Sylfaen"/>
          <w:b w:val="0"/>
          <w:sz w:val="24"/>
          <w:lang w:val="en-US"/>
        </w:rPr>
        <w:t>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behavioral signature each predicts: what a conversation partner equipped with that mechanism would visibly do, as experienced by a user.</w:t>
      </w:r>
    </w:p>
    <w:p>
      <w:pPr>
        <w:jc w:val="both"/>
      </w:pPr>
      <w:r>
        <w:rPr>
          <w:rFonts w:ascii="Sylfaen" w:hAnsi="Sylfaen" w:cs="Sylfaen"/>
          <w:b w:val="0"/>
          <w:sz w:val="24"/>
          <w:lang w:val="en-US"/>
        </w:rPr>
        <w:t>The multi-store model. On Atkinson and Shiffrin's account [20], memory forms a chain of three stores — sensory, short-term, and long-term — through which content moves only when control processes act on it; rehearsal is the decisive one, ushering attended material into durable storage while whatever passes unrehearsed simply fades. Its behavioral signature is a sharp asymmetry between what was merely heard and what was attended to and repeated — a partner built on this principle would retain emphasized or revisited information and lose what passed once and unremarked.</w:t>
      </w:r>
    </w:p>
    <w:p>
      <w:pPr>
        <w:jc w:val="both"/>
      </w:pPr>
      <w:r>
        <w:rPr>
          <w:rFonts w:ascii="Sylfaen" w:hAnsi="Sylfaen" w:cs="Sylfaen"/>
          <w:b w:val="0"/>
          <w:sz w:val="24"/>
          <w:lang w:val="en-US"/>
        </w:rPr>
        <w:t>Working memory. Baddeley and Hitch [21] recast the passive short-term store as an active, capacity-limited working memory whose specialized subsystems are marshalled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jc w:val="both"/>
      </w:pPr>
      <w:r>
        <w:rPr>
          <w:rFonts w:ascii="Sylfaen" w:hAnsi="Sylfaen" w:cs="Sylfaen"/>
          <w:b w:val="0"/>
          <w:sz w:val="24"/>
          <w:lang w:val="en-US"/>
        </w:rPr>
        <w:t>The episodic–semantic distinction. Tulving [22] drew a line between remembering a particular happening one can place in one's own past ("last Tuesday you mentioned your deadline") and merely knowing a fact stripped of its original occasion ("you work under deadlines") — episodic versus semantic memory.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jc w:val="both"/>
      </w:pPr>
      <w:r>
        <w:rPr>
          <w:rFonts w:ascii="Sylfaen" w:hAnsi="Sylfaen" w:cs="Sylfaen"/>
          <w:b w:val="0"/>
          <w:sz w:val="24"/>
          <w:lang w:val="en-US"/>
        </w:rPr>
        <w:t>The forgetting curve. Ebbinghaus's nineteenth-century experiments [23] found that memory strength falls off approximately exponentially with the time since something was last rehearsed, and that spaced re-exposure blunts that decline.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jc w:val="both"/>
      </w:pPr>
      <w:r>
        <w:rPr>
          <w:rFonts w:ascii="Sylfaen" w:hAnsi="Sylfaen" w:cs="Sylfaen"/>
          <w:b w:val="0"/>
          <w:sz w:val="24"/>
          <w:lang w:val="en-US"/>
        </w:rPr>
        <w:t>Fuzzy-trace theory. Reyna and Brainerd [24] hold that any experience leaves two independent imprints at once — a literal record of its surface form (verbatim) and a bottom-line record of its meaning (gist) — of which the latter lasts longer and more often steers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jc w:val="both"/>
      </w:pPr>
      <w:r>
        <w:rPr>
          <w:rFonts w:ascii="Sylfaen" w:hAnsi="Sylfaen" w:cs="Sylfaen"/>
          <w:b w:val="0"/>
          <w:sz w:val="24"/>
          <w:lang w:val="en-US"/>
        </w:rPr>
        <w:t>Consolidation: complementary learning systems and hippocampal indexing. Two neurocognitive theories describe how episodic experience becomes durable knowledge. On the complementary learning systems account [25], one system centred on the hippocampus grabs individual episodes quickly while a second, cortical system distils recurring structure only slowly, with offline replay ferrying what was captured into that slower store. The indexing theory [26] adds that the hippocampus need not hold the memories at all — it holds pointers back to the cortical patterns that composed them, so that a fragment of a cue can pull an entire memory back together. Both predict the same high-level behavioral signature — an agent that captures episodes quickly but reorganizes them into structured knowledge during periods away from interaction — and both, as 2.4 shows, have direct computational descendants.</w:t>
      </w:r>
    </w:p>
    <w:p>
      <w:pPr>
        <w:jc w:val="both"/>
      </w:pPr>
      <w:r>
        <w:rPr>
          <w:rFonts w:ascii="Sylfaen" w:hAnsi="Sylfaen" w:cs="Sylfaen"/>
          <w:b w:val="0"/>
          <w:sz w:val="24"/>
          <w:lang w:val="en-US"/>
        </w:rPr>
        <w:t>Table 2.1 (2.4) summarizes how each of these theories has been operationalized in recent LLM-agent systems; we first review those systems on their own terms.</w:t>
      </w:r>
    </w:p>
    <w:p>
      <w:pPr>
        <w:pStyle w:val="Heading2"/>
        <w:numPr>
          <w:numId w:val="0"/>
        </w:numPr>
        <w:spacing w:before="160" w:after="80"/>
        <w:jc w:val="center"/>
      </w:pPr>
      <w:r>
        <w:rPr>
          <w:rFonts w:ascii="Sylfaen" w:hAnsi="Sylfaen" w:cs="Sylfaen"/>
          <w:b/>
          <w:color w:val="000000"/>
          <w:sz w:val="28"/>
          <w:lang w:val="en-US"/>
        </w:rPr>
        <w:t>2.3 Long-term memory for LLM agents: three waves</w:t>
      </w:r>
    </w:p>
    <w:p>
      <w:pPr>
        <w:jc w:val="both"/>
      </w:pPr>
      <w:r>
        <w:rPr>
          <w:rFonts w:ascii="Sylfaen" w:hAnsi="Sylfaen" w:cs="Sylfaen"/>
          <w:b w:val="0"/>
          <w:sz w:val="24"/>
          <w:lang w:val="en-US"/>
        </w:rPr>
        <w:t>Approaches to equipping LLM agents with memory beyond their context window have developed in three discernible waves between 2023 and 2026.</w:t>
      </w:r>
    </w:p>
    <w:p>
      <w:pPr>
        <w:jc w:val="both"/>
      </w:pPr>
      <w:r>
        <w:rPr>
          <w:rFonts w:ascii="Sylfaen" w:hAnsi="Sylfaen" w:cs="Sylfaen"/>
          <w:b w:val="0"/>
          <w:sz w:val="24"/>
          <w:lang w:val="en-US"/>
        </w:rPr>
        <w:t>Wave one — context virtualization and early human-inspired stores (2023). The first systems treated the bounded context window as the constraint to be managed. MemGPT [17] borrows the operating system's idea of virtual memory: through function calls the model itself moves information between an in-context "core" store and larger out-of-context archival and recall tiers, administering its own hierarchy. In parallel, two systems looked to human memory for inspiration. The Generative Agents architecture [10] introduced the now-canonical "memory stream": a chronological natural-language log of observations. When the store is queried, each entry is ranked by blending three factors — how recently it was accessed (an exponential decay), how important the model judged it (an LLM-assigned rating), and how relevant it is to the query (embedding similarity) — while periodic "reflection" steps distil higher-level observations from the log.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jc w:val="both"/>
      </w:pPr>
      <w:r>
        <w:rPr>
          <w:rFonts w:ascii="Sylfaen" w:hAnsi="Sylfaen" w:cs="Sylfaen"/>
          <w:b w:val="0"/>
          <w:sz w:val="24"/>
          <w:lang w:val="en-US"/>
        </w:rPr>
        <w:t>Wave two — production memory layers and neuro-inspired retrieval (2024–2025).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From the same period, ReadAgent [9] puts the gist idea to work: it breaks a long context into episode-sized pages, keeps only an LLM-written gist of each, and returns to the underlying text solely when a task requires the detail.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jc w:val="both"/>
      </w:pPr>
      <w:r>
        <w:rPr>
          <w:rFonts w:ascii="Sylfaen" w:hAnsi="Sylfaen" w:cs="Sylfaen"/>
          <w:b w:val="0"/>
          <w:sz w:val="24"/>
          <w:lang w:val="en-US"/>
        </w:rPr>
        <w:t>Wave three — the consolidation era (2025–2026).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pStyle w:val="Heading2"/>
        <w:numPr>
          <w:numId w:val="0"/>
        </w:numPr>
        <w:spacing w:before="160" w:after="80"/>
        <w:jc w:val="center"/>
      </w:pPr>
      <w:r>
        <w:rPr>
          <w:rFonts w:ascii="Sylfaen" w:hAnsi="Sylfaen" w:cs="Sylfaen"/>
          <w:b/>
          <w:color w:val="000000"/>
          <w:sz w:val="28"/>
          <w:lang w:val="en-US"/>
        </w:rPr>
        <w:t>2.4 The bridge: from memory theory to memory architecture</w:t>
      </w:r>
    </w:p>
    <w:p>
      <w:pPr>
        <w:jc w:val="both"/>
      </w:pPr>
      <w:r>
        <w:rPr>
          <w:rFonts w:ascii="Sylfaen" w:hAnsi="Sylfaen" w:cs="Sylfaen"/>
          <w:b w:val="0"/>
          <w:sz w:val="24"/>
          <w:lang w:val="en-US"/>
        </w:rPr>
        <w:t>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explicit, cited theoretical grounding, each grounds in exactly one human-memory theory. Table 2.1 makes these correspondences explicit.</w:t>
      </w:r>
    </w:p>
    <w:p>
      <w:pPr>
        <w:spacing w:line="240" w:lineRule="auto"/>
        <w:jc w:val="both"/>
      </w:pPr>
      <w:r>
        <w:rPr>
          <w:rFonts w:ascii="Sylfaen" w:hAnsi="Sylfaen" w:cs="Sylfaen"/>
          <w:b/>
          <w:sz w:val="22"/>
          <w:lang w:val="en-US"/>
        </w:rPr>
        <w:t>Table 2.1. Human-memory theories and their corresponding LLM-agent implementations</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83"/>
        <w:gridCol w:w="2883"/>
        <w:gridCol w:w="2569"/>
      </w:tblGrid>
      <w:tr>
        <w:tc>
          <w:tcPr>
            <w:tcW w:type="dxa" w:w="2882"/>
          </w:tcPr>
          <w:p>
            <w:pPr>
              <w:spacing w:line="240" w:lineRule="auto"/>
            </w:pPr>
            <w:r>
              <w:rPr>
                <w:rFonts w:ascii="Sylfaen" w:hAnsi="Sylfaen" w:cs="Sylfaen"/>
                <w:b/>
                <w:sz w:val="22"/>
                <w:lang w:val="en-US"/>
              </w:rPr>
              <w:t>Human-memory theory</w:t>
            </w:r>
          </w:p>
        </w:tc>
        <w:tc>
          <w:tcPr>
            <w:tcW w:type="dxa" w:w="2882"/>
          </w:tcPr>
          <w:p>
            <w:pPr>
              <w:spacing w:line="240" w:lineRule="auto"/>
            </w:pPr>
            <w:r>
              <w:rPr>
                <w:rFonts w:ascii="Sylfaen" w:hAnsi="Sylfaen" w:cs="Sylfaen"/>
                <w:b/>
                <w:sz w:val="22"/>
                <w:lang w:val="en-US"/>
              </w:rPr>
              <w:t>Behavioral signature</w:t>
            </w:r>
          </w:p>
        </w:tc>
        <w:tc>
          <w:tcPr>
            <w:tcW w:type="dxa" w:w="2569"/>
          </w:tcPr>
          <w:p>
            <w:pPr>
              <w:spacing w:line="240" w:lineRule="auto"/>
            </w:pPr>
            <w:r>
              <w:rPr>
                <w:rFonts w:ascii="Sylfaen" w:hAnsi="Sylfaen" w:cs="Sylfaen"/>
                <w:b/>
                <w:sz w:val="22"/>
                <w:lang w:val="en-US"/>
              </w:rPr>
              <w:t>LLM-agent implementation</w:t>
            </w:r>
          </w:p>
        </w:tc>
      </w:tr>
      <w:tr>
        <w:tc>
          <w:tcPr>
            <w:tcW w:type="dxa" w:w="2882"/>
          </w:tcPr>
          <w:p>
            <w:pPr>
              <w:spacing w:line="240" w:lineRule="auto"/>
            </w:pPr>
            <w:r>
              <w:rPr>
                <w:rFonts w:ascii="Sylfaen" w:hAnsi="Sylfaen" w:cs="Sylfaen"/>
                <w:b w:val="0"/>
                <w:sz w:val="22"/>
                <w:lang w:val="en-US"/>
              </w:rPr>
              <w:t>Hippocampal memory indexing [26]</w:t>
            </w:r>
          </w:p>
        </w:tc>
        <w:tc>
          <w:tcPr>
            <w:tcW w:type="dxa" w:w="2882"/>
          </w:tcPr>
          <w:p>
            <w:pPr>
              <w:spacing w:line="240" w:lineRule="auto"/>
            </w:pPr>
            <w:r>
              <w:rPr>
                <w:rFonts w:ascii="Sylfaen" w:hAnsi="Sylfaen" w:cs="Sylfaen"/>
                <w:b w:val="0"/>
                <w:sz w:val="22"/>
                <w:lang w:val="en-US"/>
              </w:rPr>
              <w:t>reconstruct full memory from a partial cue via an index</w:t>
            </w:r>
          </w:p>
        </w:tc>
        <w:tc>
          <w:tcPr>
            <w:tcW w:type="dxa" w:w="2569"/>
          </w:tcPr>
          <w:p>
            <w:pPr>
              <w:spacing w:line="240" w:lineRule="auto"/>
            </w:pPr>
            <w:r>
              <w:rPr>
                <w:rFonts w:ascii="Sylfaen" w:hAnsi="Sylfaen" w:cs="Sylfaen"/>
                <w:b w:val="0"/>
                <w:sz w:val="22"/>
                <w:lang w:val="en-US"/>
              </w:rPr>
              <w:t>HippoRAG [7]</w:t>
            </w:r>
          </w:p>
        </w:tc>
      </w:tr>
      <w:tr>
        <w:tc>
          <w:tcPr>
            <w:tcW w:type="dxa" w:w="2882"/>
          </w:tcPr>
          <w:p>
            <w:pPr>
              <w:spacing w:line="240" w:lineRule="auto"/>
            </w:pPr>
            <w:r>
              <w:rPr>
                <w:rFonts w:ascii="Sylfaen" w:hAnsi="Sylfaen" w:cs="Sylfaen"/>
                <w:b w:val="0"/>
                <w:sz w:val="22"/>
                <w:lang w:val="en-US"/>
              </w:rPr>
              <w:t>Episodic memory [22] + event segmentation [31]</w:t>
            </w:r>
          </w:p>
        </w:tc>
        <w:tc>
          <w:tcPr>
            <w:tcW w:type="dxa" w:w="2882"/>
          </w:tcPr>
          <w:p>
            <w:pPr>
              <w:spacing w:line="240" w:lineRule="auto"/>
            </w:pPr>
            <w:r>
              <w:rPr>
                <w:rFonts w:ascii="Sylfaen" w:hAnsi="Sylfaen" w:cs="Sylfaen"/>
                <w:b w:val="0"/>
                <w:sz w:val="22"/>
                <w:lang w:val="en-US"/>
              </w:rPr>
              <w:t>recall organized around discrete events</w:t>
            </w:r>
          </w:p>
        </w:tc>
        <w:tc>
          <w:tcPr>
            <w:tcW w:type="dxa" w:w="2569"/>
          </w:tcPr>
          <w:p>
            <w:pPr>
              <w:spacing w:line="240" w:lineRule="auto"/>
            </w:pPr>
            <w:r>
              <w:rPr>
                <w:rFonts w:ascii="Sylfaen" w:hAnsi="Sylfaen" w:cs="Sylfaen"/>
                <w:b w:val="0"/>
                <w:sz w:val="22"/>
                <w:lang w:val="en-US"/>
              </w:rPr>
              <w:t>EM-LLM [8]</w:t>
            </w:r>
          </w:p>
        </w:tc>
      </w:tr>
      <w:tr>
        <w:tc>
          <w:tcPr>
            <w:tcW w:type="dxa" w:w="2882"/>
          </w:tcPr>
          <w:p>
            <w:pPr>
              <w:spacing w:line="240" w:lineRule="auto"/>
            </w:pPr>
            <w:r>
              <w:rPr>
                <w:rFonts w:ascii="Sylfaen" w:hAnsi="Sylfaen" w:cs="Sylfaen"/>
                <w:b w:val="0"/>
                <w:sz w:val="22"/>
                <w:lang w:val="en-US"/>
              </w:rPr>
              <w:t>Ebbinghaus forgetting curve [23]</w:t>
            </w:r>
          </w:p>
        </w:tc>
        <w:tc>
          <w:tcPr>
            <w:tcW w:type="dxa" w:w="2882"/>
          </w:tcPr>
          <w:p>
            <w:pPr>
              <w:spacing w:line="240" w:lineRule="auto"/>
            </w:pPr>
            <w:r>
              <w:rPr>
                <w:rFonts w:ascii="Sylfaen" w:hAnsi="Sylfaen" w:cs="Sylfaen"/>
                <w:b w:val="0"/>
                <w:sz w:val="22"/>
                <w:lang w:val="en-US"/>
              </w:rPr>
              <w:t>unrehearsed detail fades; repetition strengthens</w:t>
            </w:r>
          </w:p>
        </w:tc>
        <w:tc>
          <w:tcPr>
            <w:tcW w:type="dxa" w:w="2569"/>
          </w:tcPr>
          <w:p>
            <w:pPr>
              <w:spacing w:line="240" w:lineRule="auto"/>
            </w:pPr>
            <w:r>
              <w:rPr>
                <w:rFonts w:ascii="Sylfaen" w:hAnsi="Sylfaen" w:cs="Sylfaen"/>
                <w:b w:val="0"/>
                <w:sz w:val="22"/>
                <w:lang w:val="en-US"/>
              </w:rPr>
              <w:t>MemoryBank / SiliconFriend [6]</w:t>
            </w:r>
          </w:p>
        </w:tc>
      </w:tr>
      <w:tr>
        <w:tc>
          <w:tcPr>
            <w:tcW w:type="dxa" w:w="2882"/>
          </w:tcPr>
          <w:p>
            <w:pPr>
              <w:spacing w:line="240" w:lineRule="auto"/>
            </w:pPr>
            <w:r>
              <w:rPr>
                <w:rFonts w:ascii="Sylfaen" w:hAnsi="Sylfaen" w:cs="Sylfaen"/>
                <w:b w:val="0"/>
                <w:sz w:val="22"/>
                <w:lang w:val="en-US"/>
              </w:rPr>
              <w:t>Fuzzy-trace: gist vs verbatim [24]</w:t>
            </w:r>
          </w:p>
        </w:tc>
        <w:tc>
          <w:tcPr>
            <w:tcW w:type="dxa" w:w="2882"/>
          </w:tcPr>
          <w:p>
            <w:pPr>
              <w:spacing w:line="240" w:lineRule="auto"/>
            </w:pPr>
            <w:r>
              <w:rPr>
                <w:rFonts w:ascii="Sylfaen" w:hAnsi="Sylfaen" w:cs="Sylfaen"/>
                <w:b w:val="0"/>
                <w:sz w:val="22"/>
                <w:lang w:val="en-US"/>
              </w:rPr>
              <w:t>retain meaning, not exact wording</w:t>
            </w:r>
          </w:p>
        </w:tc>
        <w:tc>
          <w:tcPr>
            <w:tcW w:type="dxa" w:w="2569"/>
          </w:tcPr>
          <w:p>
            <w:pPr>
              <w:spacing w:line="240" w:lineRule="auto"/>
            </w:pPr>
            <w:r>
              <w:rPr>
                <w:rFonts w:ascii="Sylfaen" w:hAnsi="Sylfaen" w:cs="Sylfaen"/>
                <w:b w:val="0"/>
                <w:sz w:val="22"/>
                <w:lang w:val="en-US"/>
              </w:rPr>
              <w:t>ReadAgent [9]</w:t>
            </w:r>
          </w:p>
        </w:tc>
      </w:tr>
      <w:tr>
        <w:tc>
          <w:tcPr>
            <w:tcW w:type="dxa" w:w="2882"/>
          </w:tcPr>
          <w:p>
            <w:pPr>
              <w:spacing w:line="240" w:lineRule="auto"/>
            </w:pPr>
            <w:r>
              <w:rPr>
                <w:rFonts w:ascii="Sylfaen" w:hAnsi="Sylfaen" w:cs="Sylfaen"/>
                <w:b w:val="0"/>
                <w:sz w:val="22"/>
                <w:lang w:val="en-US"/>
              </w:rPr>
              <w:t>Complementary learning systems [25]</w:t>
            </w:r>
          </w:p>
        </w:tc>
        <w:tc>
          <w:tcPr>
            <w:tcW w:type="dxa" w:w="2882"/>
          </w:tcPr>
          <w:p>
            <w:pPr>
              <w:spacing w:line="240" w:lineRule="auto"/>
            </w:pPr>
            <w:r>
              <w:rPr>
                <w:rFonts w:ascii="Sylfaen" w:hAnsi="Sylfaen" w:cs="Sylfaen"/>
                <w:b w:val="0"/>
                <w:sz w:val="22"/>
                <w:lang w:val="en-US"/>
              </w:rPr>
              <w:t>fast episodic capture, slow offline consolidation</w:t>
            </w:r>
          </w:p>
        </w:tc>
        <w:tc>
          <w:tcPr>
            <w:tcW w:type="dxa" w:w="2569"/>
          </w:tcPr>
          <w:p>
            <w:pPr>
              <w:spacing w:line="240" w:lineRule="auto"/>
            </w:pPr>
            <w:r>
              <w:rPr>
                <w:rFonts w:ascii="Sylfaen" w:hAnsi="Sylfaen" w:cs="Sylfaen"/>
                <w:b w:val="0"/>
                <w:sz w:val="22"/>
                <w:lang w:val="en-US"/>
              </w:rPr>
              <w:t>"dreaming" consolidation systems [18, 19]</w:t>
            </w:r>
          </w:p>
        </w:tc>
      </w:tr>
      <w:tr>
        <w:tc>
          <w:tcPr>
            <w:tcW w:type="dxa" w:w="2882"/>
          </w:tcPr>
          <w:p>
            <w:pPr>
              <w:spacing w:line="240" w:lineRule="auto"/>
            </w:pPr>
            <w:r>
              <w:rPr>
                <w:rFonts w:ascii="Sylfaen" w:hAnsi="Sylfaen" w:cs="Sylfaen"/>
                <w:b w:val="0"/>
                <w:sz w:val="22"/>
                <w:lang w:val="en-US"/>
              </w:rPr>
              <w:t>(activation-like, not theory-grounded)</w:t>
            </w:r>
          </w:p>
        </w:tc>
        <w:tc>
          <w:tcPr>
            <w:tcW w:type="dxa" w:w="2882"/>
          </w:tcPr>
          <w:p>
            <w:pPr>
              <w:spacing w:line="240" w:lineRule="auto"/>
            </w:pPr>
            <w:r>
              <w:rPr>
                <w:rFonts w:ascii="Sylfaen" w:hAnsi="Sylfaen" w:cs="Sylfaen"/>
                <w:b w:val="0"/>
                <w:sz w:val="22"/>
                <w:lang w:val="en-US"/>
              </w:rPr>
              <w:t>recency × importance × relevance retrieval</w:t>
            </w:r>
          </w:p>
        </w:tc>
        <w:tc>
          <w:tcPr>
            <w:tcW w:type="dxa" w:w="2569"/>
          </w:tcPr>
          <w:p>
            <w:pPr>
              <w:spacing w:line="240" w:lineRule="auto"/>
            </w:pPr>
            <w:r>
              <w:rPr>
                <w:rFonts w:ascii="Sylfaen" w:hAnsi="Sylfaen" w:cs="Sylfaen"/>
                <w:b w:val="0"/>
                <w:sz w:val="22"/>
                <w:lang w:val="en-US"/>
              </w:rPr>
              <w:t>Generative Agents [10]</w:t>
            </w:r>
          </w:p>
        </w:tc>
      </w:tr>
    </w:tbl>
    <w:p>
      <w:pPr/>
    </w:p>
    <w:p>
      <w:pPr>
        <w:jc w:val="both"/>
      </w:pPr>
      <w:r>
        <w:rPr>
          <w:rFonts w:ascii="Sylfaen" w:hAnsi="Sylfaen" w:cs="Sylfaen"/>
          <w:b w:val="0"/>
          <w:sz w:val="24"/>
          <w:lang w:val="en-US"/>
        </w:rPr>
        <w:t>Two observations follow. First, the mapping is real but partial: each theory-grounded system imports one mechanism, in isolation, and chiefly to improve task accuracy. Second — and this is the opening the present work addresses — these theory-grounded systems have seldom been compared against one another, and, to our knowledge, never with respect to how their differing behavior is perceived by a human interlocutor. The closest precedents either combine mechanisms within one system or evaluate a single mechanism on accuracy. The synthesis a comparative, perception-oriented study would provide is, at present, absent.</w:t>
      </w:r>
    </w:p>
    <w:p>
      <w:pPr>
        <w:pStyle w:val="Heading2"/>
        <w:numPr>
          <w:numId w:val="0"/>
        </w:numPr>
        <w:spacing w:before="160" w:after="80"/>
        <w:jc w:val="center"/>
      </w:pPr>
      <w:r>
        <w:rPr>
          <w:rFonts w:ascii="Sylfaen" w:hAnsi="Sylfaen" w:cs="Sylfaen"/>
          <w:b/>
          <w:color w:val="000000"/>
          <w:sz w:val="28"/>
          <w:lang w:val="en-US"/>
        </w:rPr>
        <w:t>2.5 Evaluating conversational memory: benchmarks and their limits</w:t>
      </w:r>
    </w:p>
    <w:p>
      <w:pPr>
        <w:jc w:val="both"/>
      </w:pPr>
      <w:r>
        <w:rPr>
          <w:rFonts w:ascii="Sylfaen" w:hAnsi="Sylfaen" w:cs="Sylfaen"/>
          <w:b w:val="0"/>
          <w:sz w:val="24"/>
          <w:lang w:val="en-US"/>
        </w:rPr>
        <w:t>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jc w:val="both"/>
      </w:pPr>
      <w:r>
        <w:rPr>
          <w:rFonts w:ascii="Sylfaen" w:hAnsi="Sylfaen" w:cs="Sylfaen"/>
          <w:b w:val="0"/>
          <w:sz w:val="24"/>
          <w:lang w:val="en-US"/>
        </w:rPr>
        <w:t>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jc w:val="both"/>
      </w:pPr>
      <w:r>
        <w:rPr>
          <w:rFonts w:ascii="Sylfaen" w:hAnsi="Sylfaen" w:cs="Sylfaen"/>
          <w:b w:val="0"/>
          <w:sz w:val="24"/>
          <w:lang w:val="en-US"/>
        </w:rPr>
        <w:t>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relationship. The instruments of this subfield can tell us whether a system remembers correctly; they cannot tell us whether accurate recall improves the user's experienced relationship with the system — its perceived social presence, alliance, or humanlikeness.</w:t>
      </w:r>
    </w:p>
    <w:p>
      <w:pPr>
        <w:pStyle w:val="Heading2"/>
        <w:numPr>
          <w:numId w:val="0"/>
        </w:numPr>
        <w:spacing w:before="160" w:after="80"/>
        <w:jc w:val="center"/>
      </w:pPr>
      <w:r>
        <w:rPr>
          <w:rFonts w:ascii="Sylfaen" w:hAnsi="Sylfaen" w:cs="Sylfaen"/>
          <w:b/>
          <w:color w:val="000000"/>
          <w:sz w:val="28"/>
          <w:lang w:val="en-US"/>
        </w:rPr>
        <w:t>2.6 From assistant to interlocutor: memory and perceived relationship</w:t>
      </w:r>
    </w:p>
    <w:p>
      <w:pPr>
        <w:jc w:val="both"/>
      </w:pPr>
      <w:r>
        <w:rPr>
          <w:rFonts w:ascii="Sylfaen" w:hAnsi="Sylfaen" w:cs="Sylfaen"/>
          <w:b w:val="0"/>
          <w:sz w:val="24"/>
          <w:lang w:val="en-US"/>
        </w:rPr>
        <w:t>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jc w:val="both"/>
      </w:pPr>
      <w:r>
        <w:rPr>
          <w:rFonts w:ascii="Sylfaen" w:hAnsi="Sylfaen" w:cs="Sylfaen"/>
          <w:b w:val="0"/>
          <w:sz w:val="24"/>
          <w:lang w:val="en-US"/>
        </w:rPr>
        <w:t>On the positive edge, a controlled study by Cox and colleagues [11] found that a chatbot which referenced users' utterances from previous sessions was perceived as more intelligent and more engaging than one that did not. On the negative edge, the same study found that verbatim references — exact, word-for-word recall — heightened users' privacy concerns relative to paraphrased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jc w:val="both"/>
      </w:pPr>
      <w:r>
        <w:rPr>
          <w:rFonts w:ascii="Sylfaen" w:hAnsi="Sylfaen" w:cs="Sylfaen"/>
          <w:b w:val="0"/>
          <w:sz w:val="24"/>
          <w:lang w:val="en-US"/>
        </w:rPr>
        <w:t>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jc w:val="both"/>
      </w:pPr>
      <w:r>
        <w:rPr>
          <w:rFonts w:ascii="Sylfaen" w:hAnsi="Sylfaen" w:cs="Sylfaen"/>
          <w:b w:val="0"/>
          <w:sz w:val="24"/>
          <w:lang w:val="en-US"/>
        </w:rPr>
        <w:t>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voice modality itself affects general well-being — not whether the memory architecture behind a voice agent changes perceived relationship. The latter is precisely the unexamined question, and the null result on modality polish is a reason to locate the manipulation in memory rather than in voice alone.</w:t>
      </w:r>
    </w:p>
    <w:p>
      <w:pPr>
        <w:jc w:val="both"/>
      </w:pPr>
      <w:r>
        <w:rPr>
          <w:rFonts w:ascii="Sylfaen" w:hAnsi="Sylfaen" w:cs="Sylfaen"/>
          <w:b w:val="0"/>
          <w:sz w:val="24"/>
          <w:lang w:val="en-US"/>
        </w:rPr>
        <w:t>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pStyle w:val="Heading2"/>
        <w:numPr>
          <w:numId w:val="0"/>
        </w:numPr>
        <w:spacing w:before="160" w:after="80"/>
        <w:jc w:val="center"/>
      </w:pPr>
      <w:r>
        <w:rPr>
          <w:rFonts w:ascii="Sylfaen" w:hAnsi="Sylfaen" w:cs="Sylfaen"/>
          <w:b/>
          <w:color w:val="000000"/>
          <w:sz w:val="28"/>
          <w:lang w:val="en-US"/>
        </w:rPr>
        <w:t>2.7 Open problems and limitations</w:t>
      </w:r>
    </w:p>
    <w:p>
      <w:pPr>
        <w:jc w:val="both"/>
      </w:pPr>
      <w:r>
        <w:rPr>
          <w:rFonts w:ascii="Sylfaen" w:hAnsi="Sylfaen" w:cs="Sylfaen"/>
          <w:b w:val="0"/>
          <w:sz w:val="24"/>
          <w:lang w:val="en-US"/>
        </w:rPr>
        <w:t>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pStyle w:val="Heading2"/>
        <w:numPr>
          <w:numId w:val="0"/>
        </w:numPr>
        <w:spacing w:before="160" w:after="80"/>
        <w:jc w:val="center"/>
      </w:pPr>
      <w:r>
        <w:rPr>
          <w:rFonts w:ascii="Sylfaen" w:hAnsi="Sylfaen" w:cs="Sylfaen"/>
          <w:b/>
          <w:color w:val="000000"/>
          <w:sz w:val="28"/>
          <w:lang w:val="en-US"/>
        </w:rPr>
        <w:t>2.8 The place of the present work</w:t>
      </w:r>
    </w:p>
    <w:p>
      <w:pPr>
        <w:jc w:val="both"/>
      </w:pPr>
      <w:r>
        <w:rPr>
          <w:rFonts w:ascii="Sylfaen" w:hAnsi="Sylfaen" w:cs="Sylfaen"/>
          <w:b w:val="0"/>
          <w:sz w:val="24"/>
          <w:lang w:val="en-US"/>
        </w:rPr>
        <w:t>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different human-memory theories with respect to user-perceived social constructs, and none situated in the voice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within the voice setting, not a comparison of voice against text. It is precisely this intersection that the remainder of the thesis investigates.</w:t>
      </w:r>
    </w:p>
    <w:p>
      <w:pPr>
        <w:pStyle w:val="Heading1"/>
        <w:pageBreakBefore/>
        <w:numPr>
          <w:numId w:val="0"/>
        </w:numPr>
        <w:spacing w:before="360" w:after="80"/>
        <w:jc w:val="center"/>
      </w:pPr>
      <w:r>
        <w:rPr>
          <w:rFonts w:ascii="Sylfaen" w:hAnsi="Sylfaen" w:cs="Sylfaen"/>
          <w:b/>
          <w:color w:val="000000"/>
          <w:sz w:val="28"/>
          <w:lang w:val="en-US"/>
        </w:rPr>
        <w:t>3. Research Methods</w:t>
      </w:r>
    </w:p>
    <w:p>
      <w:pPr>
        <w:pStyle w:val="Heading2"/>
        <w:numPr>
          <w:numId w:val="0"/>
        </w:numPr>
        <w:spacing w:before="160" w:after="80"/>
        <w:jc w:val="center"/>
      </w:pPr>
      <w:r>
        <w:rPr>
          <w:rFonts w:ascii="Sylfaen" w:hAnsi="Sylfaen" w:cs="Sylfaen"/>
          <w:b/>
          <w:color w:val="000000"/>
          <w:sz w:val="28"/>
          <w:lang w:val="en-US"/>
        </w:rPr>
        <w:t>3.1 Research design and contribution</w:t>
      </w:r>
    </w:p>
    <w:p>
      <w:pPr>
        <w:jc w:val="both"/>
      </w:pPr>
      <w:r>
        <w:rPr>
          <w:rFonts w:ascii="Sylfaen" w:hAnsi="Sylfaen" w:cs="Sylfaen"/>
          <w:b w:val="0"/>
          <w:sz w:val="24"/>
          <w:lang w:val="en-US"/>
        </w:rPr>
        <w:t>This chapter specifies the methodology of a design, proof-of-concept, and evaluation-methodology thesis.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designed but deliberately deferred.</w:t>
      </w:r>
    </w:p>
    <w:p>
      <w:pPr>
        <w:jc w:val="both"/>
      </w:pPr>
      <w:r>
        <w:rPr>
          <w:rFonts w:ascii="Sylfaen" w:hAnsi="Sylfaen" w:cs="Sylfaen"/>
          <w:b w:val="0"/>
          <w:sz w:val="24"/>
          <w:lang w:val="en-US"/>
        </w:rPr>
        <w:t>The three contributions are: (a) a memory architecture ("Profile C") whose mechanisms are grounded, stage by stage, in cognitive theories of human memory and their behavioral signatures (3.2); (b) a curation-controlled evaluation methodology whose central instrument is an active control condition — B+ — that isolates the effect of human-memory dynamics from the generic legibility gains of LLM curation (3.3); and (c) a proof-of-concept implementation together with a two-track technical and simulated evaluation of the architecture (3.4–3.5). The full human-subject study that the aim ultimately calls for is presented in 3.5(c) as a completely specified but not-yet-executed protocol — future work, with its own power analysis — rather than as a study whose data are reported in 4.</w:t>
      </w:r>
    </w:p>
    <w:p>
      <w:pPr>
        <w:jc w:val="both"/>
      </w:pPr>
      <w:r>
        <w:rPr>
          <w:rFonts w:ascii="Sylfaen" w:hAnsi="Sylfaen" w:cs="Sylfaen"/>
          <w:b w:val="0"/>
          <w:sz w:val="24"/>
          <w:lang w:val="en-US"/>
        </w:rPr>
        <w:t>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apparatus and the methodology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jc w:val="both"/>
      </w:pPr>
      <w:r>
        <w:rPr>
          <w:rFonts w:ascii="Sylfaen" w:hAnsi="Sylfaen" w:cs="Sylfaen"/>
          <w:b w:val="0"/>
          <w:sz w:val="24"/>
          <w:lang w:val="en-US"/>
        </w:rPr>
        <w:t>A second, deeper constraint shapes the inferential stance and is stated here so that it governs the whole chapter. An a-priori analysis of effect-size priors (F18), grounded in the Cox study [11] and related social-cue evidence, indicates that the scientifically central contrast — C &gt; B+ — is by construction the smallest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C &gt; B+ is treated as a pre-registered estimation target — an effect size with a 95% confidence interval — and not as a confirmatory null-hypothesis test. The comparisons for which power does exist (C &gt; A, and the directional B+ &gt; B and C &gt; B) are the confirmatory tests. A precisely-estimated null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pStyle w:val="Heading2"/>
        <w:numPr>
          <w:numId w:val="0"/>
        </w:numPr>
        <w:spacing w:before="160" w:after="80"/>
        <w:jc w:val="center"/>
      </w:pPr>
      <w:r>
        <w:rPr>
          <w:rFonts w:ascii="Sylfaen" w:hAnsi="Sylfaen" w:cs="Sylfaen"/>
          <w:b/>
          <w:color w:val="000000"/>
          <w:sz w:val="28"/>
          <w:lang w:val="en-US"/>
        </w:rPr>
        <w:t>3.2 The Profile C memory architecture</w:t>
      </w:r>
    </w:p>
    <w:p>
      <w:pPr>
        <w:jc w:val="both"/>
      </w:pPr>
      <w:r>
        <w:rPr>
          <w:rFonts w:ascii="Sylfaen" w:hAnsi="Sylfaen" w:cs="Sylfaen"/>
          <w:b w:val="0"/>
          <w:sz w:val="24"/>
          <w:lang w:val="en-US"/>
        </w:rPr>
        <w:t>Profile C is a single memory engine that composes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composes, not unifies: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jc w:val="both"/>
      </w:pPr>
      <w:r>
        <w:rPr>
          <w:rFonts w:ascii="Sylfaen" w:hAnsi="Sylfaen" w:cs="Sylfaen"/>
          <w:b w:val="0"/>
          <w:sz w:val="24"/>
          <w:lang w:val="en-US"/>
        </w:rPr>
        <w:t>The memory unit is the event — a topically and temporally bounded segment of contiguous turns, the episodic atom in Tulving's sense [22]. This is a deliberate choice against two alternatives: the raw turn (the unit used by verbatim RAG, Profile B) and the isolated extracted fact. Choosing the event avoids importing fact selection as a second confound absent from B, and it makes consolidation — the distillation of recurring events into durable semantic knowledge — a natural derived operation rather than a bolt-on. The lifecycle has five stages; each is stated as mechanism · theoretical grounding · behavioral signature.</w:t>
      </w:r>
    </w:p>
    <w:p>
      <w:pPr>
        <w:jc w:val="both"/>
      </w:pPr>
      <w:r>
        <w:rPr>
          <w:rFonts w:ascii="Sylfaen" w:hAnsi="Sylfaen" w:cs="Sylfaen"/>
          <w:b w:val="0"/>
          <w:sz w:val="24"/>
          <w:lang w:val="en-US"/>
        </w:rPr>
        <w:t>Stage 1 — Encoding (salience-gated write, asynchronous).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soft-discarded — written at very low stability, a tip-of-the-tongue trace recoverable only under a strong cue — rather than hard-deleted; survivors receive an initial stability scaled by their salience. Grounding: the Atkinson–Shiffrin multi-store model [20] treats attention and rehearsal as the gate from short- to long-term store. We enter one honest relabeling here (F18): because salience is applied at encoding, this mechanism is as much an instance of depth- or levels-of-processing and emotional modulation of memory as it is of the pure modal model, and it is cited as such; it is also distinct from the retrieval-time importance weighting of Generative Agents [10], which 2 records as activation-like and not theory-derived. Signature: the interlocutor durably keeps what a user stressed, disclosed, or returned to, while incidental small-talk fades; forgetting reads as warm rather than as inattention, because soft-discarded material remains weakly reconstructable under an explicit cue.</w:t>
      </w:r>
    </w:p>
    <w:p>
      <w:pPr>
        <w:jc w:val="both"/>
      </w:pPr>
      <w:r>
        <w:rPr>
          <w:rFonts w:ascii="Sylfaen" w:hAnsi="Sylfaen" w:cs="Sylfaen"/>
          <w:b w:val="0"/>
          <w:sz w:val="24"/>
          <w:lang w:val="en-US"/>
        </w:rPr>
        <w:t>Stage 2 — Representation (gist plus verbatim anchor, dual-decay, asynchronous). Each event stores a gist — a short paraphrase of meaning, entities, and stance — together with structured slots and a single verbatim anchor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Grounding: fuzzy-trace theory [24] posits parallel verbatim and gist traces with gist the more durable, operationalized for LLMs by ReadAgent's gisting [9]; the design targets the Cox finding [11] directly, that paraphrased recall is preferred while verbatim recall raises privacy concern. Signature: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jc w:val="both"/>
      </w:pPr>
      <w:r>
        <w:rPr>
          <w:rFonts w:ascii="Sylfaen" w:hAnsi="Sylfaen" w:cs="Sylfaen"/>
          <w:b w:val="0"/>
          <w:sz w:val="24"/>
          <w:lang w:val="en-US"/>
        </w:rPr>
        <w:t>Stage 3 — Decay and reinforcement (Ebbinghaus, lazy, synchronous and asynchronous). Each trace carries a retrievability that falls exponentially with time since last access, relative to its stability, and is computed lazily at retrieval time as a scoring multiplier — there is no background ticking and no synchronous write. A successful re-mention reinforces stability and resets last-access in the manner of spaced repetition, but the write-back is queued offline so the synchronous path remains read-only, exactly as in B. Crucially, the semantic facts produced by Stage 4 also decay, so the Ebbinghaus dynamic remains a live independent variable rather than a cosmetic layer over a permanent store. Grounding: the Ebbinghaus forgetting curve [23], with MemoryBank/SiliconFriend [6] as computational precedent. Signature: what was mentioned once long ago fades; what is repeatedly revisited becomes robust — a graceful natural forgetting set against B's eerie total recall.</w:t>
      </w:r>
    </w:p>
    <w:p>
      <w:pPr>
        <w:jc w:val="both"/>
      </w:pPr>
      <w:r>
        <w:rPr>
          <w:rFonts w:ascii="Sylfaen" w:hAnsi="Sylfaen" w:cs="Sylfaen"/>
          <w:b w:val="0"/>
          <w:sz w:val="24"/>
          <w:lang w:val="en-US"/>
        </w:rPr>
        <w:t>Stage 4 — Consolidation (episodic to semantic, offline "sleep", asynchronous). An offline batch job between sessions clusters episodic events by entity and gist similarity; for clusters recurring across at least a small threshold of events, a single small-LLM call abstracts a durable semantic profile fact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Grounding: this is the stage most exposed to over-claiming, and it is relabeled accordingly (F18). We invoke the complementary learning systems framework [25] as the spirit of its episodic-to-semantic transfer function, and lean primarily on Tulving's episodic-to-semantic distinction [22] and hippocampal indexing [7,26] for the concrete mechanism, rather than claiming McClelland's interleaved, interference-protected cortical learning. Signature: over weeks the interlocutor shifts from "last Tuesday you said…" to "I know you tend to…"; it sounds as though it has learned about the user — an emergent generalization it never literally heard. This is the most C-distinctive, B-impossible behavior, and the predicted source of any relational advantage C holds over B+.</w:t>
      </w:r>
    </w:p>
    <w:p>
      <w:pPr>
        <w:jc w:val="both"/>
      </w:pPr>
      <w:r>
        <w:rPr>
          <w:rFonts w:ascii="Sylfaen" w:hAnsi="Sylfaen" w:cs="Sylfaen"/>
          <w:b w:val="0"/>
          <w:sz w:val="24"/>
          <w:lang w:val="en-US"/>
        </w:rPr>
        <w:t>Stage 5 — Retrieval (gist-first, composite-scored, single read-only query, synchronous).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capped semantic bonus, with all exponents fixed at one. Salience is deliberately not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Grounding: cue-dependent retrieval [22], gist-first recall [24], Ebbinghaus retrievability [23], and the semantic preference of complementary learning systems [25]. Signature: the interlocutor surfaces the relevant generalization first and the specific episode only if pressed, so recall feels like a person who knows the user rather than a search engine — at the same latency and budget as B, but with different content.</w:t>
      </w:r>
    </w:p>
    <w:p>
      <w:pPr>
        <w:jc w:val="both"/>
      </w:pPr>
      <w:r>
        <w:rPr>
          <w:rFonts w:ascii="Sylfaen" w:hAnsi="Sylfaen" w:cs="Sylfaen"/>
          <w:b w:val="0"/>
          <w:sz w:val="24"/>
          <w:lang w:val="en-US"/>
        </w:rPr>
        <w:t>Stated theory-fidelity omissions. Three omissions are named here as limitations and future work, pre-empting the strongest theoretical objections (F18) rather than leaving them for a committee to raise. First, the architecture omits interference, which is the dominant mechanism of human forgetting; its forgetting is purely time-and-salience-driven. Second, its precision-first consolidation deliberately suppresses reconstructive and schema-driven distortion — the gist-level false-memory that fuzzy-trace and CLS most distinctively predict — trading psychological realism on the very humanlikeness axis the study measures for the safety of not confidently asserting wrong generalizations. Third, it does not model temporal-order or source memory beyond timestamps. These are principled engineering choices, not oversights, and 3.8 records them as bounds on the cognitive-fidelity claim.</w:t>
      </w:r>
    </w:p>
    <w:p>
      <w:pPr>
        <w:pStyle w:val="Heading2"/>
        <w:numPr>
          <w:numId w:val="0"/>
        </w:numPr>
        <w:spacing w:before="160" w:after="80"/>
        <w:jc w:val="center"/>
      </w:pPr>
      <w:r>
        <w:rPr>
          <w:rFonts w:ascii="Sylfaen" w:hAnsi="Sylfaen" w:cs="Sylfaen"/>
          <w:b/>
          <w:color w:val="000000"/>
          <w:sz w:val="28"/>
          <w:lang w:val="en-US"/>
        </w:rPr>
        <w:t>3.3 Experimental conditions (A / B / B+ / C)</w:t>
      </w:r>
    </w:p>
    <w:p>
      <w:pPr>
        <w:jc w:val="both"/>
      </w:pPr>
      <w:r>
        <w:rPr>
          <w:rFonts w:ascii="Sylfaen" w:hAnsi="Sylfaen" w:cs="Sylfaen"/>
          <w:b w:val="0"/>
          <w:sz w:val="24"/>
          <w:lang w:val="en-US"/>
        </w:rPr>
        <w:t>The evaluation contrasts four memory profiles, all sharing one identical inference-time envelope. The methodological heart of the design is that C must win, if it wins, because of how it remembers, not because it remembers more or more cleanly.</w:t>
      </w:r>
    </w:p>
    <w:p>
      <w:pPr>
        <w:jc w:val="both"/>
      </w:pPr>
      <w:r>
        <w:rPr>
          <w:rFonts w:ascii="Sylfaen" w:hAnsi="Sylfaen" w:cs="Sylfaen"/>
          <w:b w:val="0"/>
          <w:sz w:val="24"/>
          <w:lang w:val="en-US"/>
        </w:rPr>
        <w:t>•  A — No long-term memory. The volatile working window only; each session starts cold. A is the obvious floor and, in the deferred human protocol (3.5c), is demoted to a short scripted calibration touch rather than a full multi-week arm.</w:t>
      </w:r>
    </w:p>
    <w:p>
      <w:pPr>
        <w:jc w:val="both"/>
      </w:pPr>
      <w:r>
        <w:rPr>
          <w:rFonts w:ascii="Sylfaen" w:hAnsi="Sylfaen" w:cs="Sylfaen"/>
          <w:b w:val="0"/>
          <w:sz w:val="24"/>
          <w:lang w:val="en-US"/>
        </w:rPr>
        <w:t>•  B — Verbatim RAG. Raw turns are embedded and retrieved by cosine top-k into the shared token budget. This is the standard, and the direct operational analogue of the "references your exact utterances" condition in the Cox study [11].</w:t>
      </w:r>
    </w:p>
    <w:p>
      <w:pPr>
        <w:jc w:val="both"/>
      </w:pPr>
      <w:r>
        <w:rPr>
          <w:rFonts w:ascii="Sylfaen" w:hAnsi="Sylfaen" w:cs="Sylfaen"/>
          <w:b w:val="0"/>
          <w:sz w:val="24"/>
          <w:lang w:val="en-US"/>
        </w:rPr>
        <w:t>•  B+ — Curated static memory (the active control). Identical offline LLM gisting and coreference cleanup to C, the same compression and token budget, but no decay, no salience-gating, and no consolidation — pure cosine top-k over cleaned gists.</w:t>
      </w:r>
    </w:p>
    <w:p>
      <w:pPr>
        <w:jc w:val="both"/>
      </w:pPr>
      <w:r>
        <w:rPr>
          <w:rFonts w:ascii="Sylfaen" w:hAnsi="Sylfaen" w:cs="Sylfaen"/>
          <w:b w:val="0"/>
          <w:sz w:val="24"/>
          <w:lang w:val="en-US"/>
        </w:rPr>
        <w:t>•  C — Profile C. The full five-stage human-memory lifecycle of 3.2.</w:t>
      </w:r>
    </w:p>
    <w:p>
      <w:pPr>
        <w:jc w:val="both"/>
      </w:pPr>
      <w:r>
        <w:rPr>
          <w:rFonts w:ascii="Sylfaen" w:hAnsi="Sylfaen" w:cs="Sylfaen"/>
          <w:b w:val="0"/>
          <w:sz w:val="24"/>
          <w:lang w:val="en-US"/>
        </w:rPr>
        <w:t>B+ is the central methodological contribution of the design. The most serious threat to any positive finding for C is a legibility confound: C's gisted, coreference-resolved prose is simply more readable than B's raw fragments, and a naïve C-versus-B win would confound curation with cognitive dynamics. B+ severs this confound by construction. If C &gt; B+, the marginal effect is attributable to the human-memory dynamics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jc w:val="both"/>
      </w:pPr>
      <w:r>
        <w:rPr>
          <w:rFonts w:ascii="Sylfaen" w:hAnsi="Sylfaen" w:cs="Sylfaen"/>
          <w:b w:val="0"/>
          <w:sz w:val="24"/>
          <w:lang w:val="en-US"/>
        </w:rPr>
        <w:t>Table 3.1 states the confound-control logic explicitly. Everything in the "held constant" row is identical across A, B, B+, and C.</w:t>
      </w:r>
    </w:p>
    <w:p>
      <w:pPr>
        <w:spacing w:line="240" w:lineRule="auto"/>
        <w:jc w:val="both"/>
      </w:pPr>
      <w:r>
        <w:rPr>
          <w:rFonts w:ascii="Sylfaen" w:hAnsi="Sylfaen" w:cs="Sylfaen"/>
          <w:b/>
          <w:sz w:val="22"/>
          <w:lang w:val="en-US"/>
        </w:rPr>
        <w:t>Table 3.1. Confound control in the experimental design</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49"/>
        <w:gridCol w:w="3043"/>
        <w:gridCol w:w="3043"/>
      </w:tblGrid>
      <w:tr>
        <w:tc>
          <w:tcPr>
            <w:tcW w:type="dxa" w:w="2249"/>
          </w:tcPr>
          <w:p>
            <w:pPr>
              <w:spacing w:line="240" w:lineRule="auto"/>
            </w:pPr>
            <w:r>
              <w:rPr>
                <w:rFonts w:ascii="Sylfaen" w:hAnsi="Sylfaen" w:cs="Sylfaen"/>
                <w:b/>
                <w:sz w:val="22"/>
                <w:lang w:val="en-US"/>
              </w:rPr>
              <w:t>Confound</w:t>
            </w:r>
          </w:p>
        </w:tc>
        <w:tc>
          <w:tcPr>
            <w:tcW w:type="dxa" w:w="3043"/>
          </w:tcPr>
          <w:p>
            <w:pPr>
              <w:spacing w:line="240" w:lineRule="auto"/>
            </w:pPr>
            <w:r>
              <w:rPr>
                <w:rFonts w:ascii="Sylfaen" w:hAnsi="Sylfaen" w:cs="Sylfaen"/>
                <w:b/>
                <w:sz w:val="22"/>
                <w:lang w:val="en-US"/>
              </w:rPr>
              <w:t>Threat</w:t>
            </w:r>
          </w:p>
        </w:tc>
        <w:tc>
          <w:tcPr>
            <w:tcW w:type="dxa" w:w="3043"/>
          </w:tcPr>
          <w:p>
            <w:pPr>
              <w:spacing w:line="240" w:lineRule="auto"/>
            </w:pPr>
            <w:r>
              <w:rPr>
                <w:rFonts w:ascii="Sylfaen" w:hAnsi="Sylfaen" w:cs="Sylfaen"/>
                <w:b/>
                <w:sz w:val="22"/>
                <w:lang w:val="en-US"/>
              </w:rPr>
              <w:t>Control</w:t>
            </w:r>
          </w:p>
        </w:tc>
      </w:tr>
      <w:tr>
        <w:tc>
          <w:tcPr>
            <w:tcW w:type="dxa" w:w="2249"/>
          </w:tcPr>
          <w:p>
            <w:pPr>
              <w:spacing w:line="240" w:lineRule="auto"/>
            </w:pPr>
            <w:r>
              <w:rPr>
                <w:rFonts w:ascii="Sylfaen" w:hAnsi="Sylfaen" w:cs="Sylfaen"/>
                <w:b w:val="0"/>
                <w:sz w:val="22"/>
                <w:lang w:val="en-US"/>
              </w:rPr>
              <w:t>Curation / legibility</w:t>
            </w:r>
          </w:p>
        </w:tc>
        <w:tc>
          <w:tcPr>
            <w:tcW w:type="dxa" w:w="3043"/>
          </w:tcPr>
          <w:p>
            <w:pPr>
              <w:spacing w:line="240" w:lineRule="auto"/>
            </w:pPr>
            <w:r>
              <w:rPr>
                <w:rFonts w:ascii="Sylfaen" w:hAnsi="Sylfaen" w:cs="Sylfaen"/>
                <w:b w:val="0"/>
                <w:sz w:val="22"/>
                <w:lang w:val="en-US"/>
              </w:rPr>
              <w:t>C's cleaned gist prose is merely more legible than B's fragments</w:t>
            </w:r>
          </w:p>
        </w:tc>
        <w:tc>
          <w:tcPr>
            <w:tcW w:type="dxa" w:w="3043"/>
          </w:tcPr>
          <w:p>
            <w:pPr>
              <w:spacing w:line="240" w:lineRule="auto"/>
            </w:pPr>
            <w:r>
              <w:rPr>
                <w:rFonts w:ascii="Sylfaen" w:hAnsi="Sylfaen" w:cs="Sylfaen"/>
                <w:b w:val="0"/>
                <w:sz w:val="22"/>
                <w:lang w:val="en-US"/>
              </w:rPr>
              <w:t>B+ active control: same gisting and cleanup, no decay/salience/consolidation</w:t>
            </w:r>
          </w:p>
        </w:tc>
      </w:tr>
      <w:tr>
        <w:tc>
          <w:tcPr>
            <w:tcW w:type="dxa" w:w="2249"/>
          </w:tcPr>
          <w:p>
            <w:pPr>
              <w:spacing w:line="240" w:lineRule="auto"/>
            </w:pPr>
            <w:r>
              <w:rPr>
                <w:rFonts w:ascii="Sylfaen" w:hAnsi="Sylfaen" w:cs="Sylfaen"/>
                <w:b w:val="0"/>
                <w:sz w:val="22"/>
                <w:lang w:val="en-US"/>
              </w:rPr>
              <w:t>Compression</w:t>
            </w:r>
          </w:p>
        </w:tc>
        <w:tc>
          <w:tcPr>
            <w:tcW w:type="dxa" w:w="3043"/>
          </w:tcPr>
          <w:p>
            <w:pPr>
              <w:spacing w:line="240" w:lineRule="auto"/>
            </w:pPr>
            <w:r>
              <w:rPr>
                <w:rFonts w:ascii="Sylfaen" w:hAnsi="Sylfaen" w:cs="Sylfaen"/>
                <w:b w:val="0"/>
                <w:sz w:val="22"/>
                <w:lang w:val="en-US"/>
              </w:rPr>
              <w:t>Equal token budget need not mean equal information</w:t>
            </w:r>
          </w:p>
        </w:tc>
        <w:tc>
          <w:tcPr>
            <w:tcW w:type="dxa" w:w="3043"/>
          </w:tcPr>
          <w:p>
            <w:pPr>
              <w:spacing w:line="240" w:lineRule="auto"/>
            </w:pPr>
            <w:r>
              <w:rPr>
                <w:rFonts w:ascii="Sylfaen" w:hAnsi="Sylfaen" w:cs="Sylfaen"/>
                <w:b w:val="0"/>
                <w:sz w:val="22"/>
                <w:lang w:val="en-US"/>
              </w:rPr>
              <w:t>Effective history-coverage logged per turn as a manipulation check; B+ holds compression constant against C</w:t>
            </w:r>
          </w:p>
        </w:tc>
      </w:tr>
      <w:tr>
        <w:tc>
          <w:tcPr>
            <w:tcW w:type="dxa" w:w="2249"/>
          </w:tcPr>
          <w:p>
            <w:pPr>
              <w:spacing w:line="240" w:lineRule="auto"/>
            </w:pPr>
            <w:r>
              <w:rPr>
                <w:rFonts w:ascii="Sylfaen" w:hAnsi="Sylfaen" w:cs="Sylfaen"/>
                <w:b w:val="0"/>
                <w:sz w:val="22"/>
                <w:lang w:val="en-US"/>
              </w:rPr>
              <w:t>Compute / storage / latency</w:t>
            </w:r>
          </w:p>
        </w:tc>
        <w:tc>
          <w:tcPr>
            <w:tcW w:type="dxa" w:w="3043"/>
          </w:tcPr>
          <w:p>
            <w:pPr>
              <w:spacing w:line="240" w:lineRule="auto"/>
            </w:pPr>
            <w:r>
              <w:rPr>
                <w:rFonts w:ascii="Sylfaen" w:hAnsi="Sylfaen" w:cs="Sylfaen"/>
                <w:b w:val="0"/>
                <w:sz w:val="22"/>
                <w:lang w:val="en-US"/>
              </w:rPr>
              <w:t>C's extra LLM passes could buy an unfair advantage</w:t>
            </w:r>
          </w:p>
        </w:tc>
        <w:tc>
          <w:tcPr>
            <w:tcW w:type="dxa" w:w="3043"/>
          </w:tcPr>
          <w:p>
            <w:pPr>
              <w:spacing w:line="240" w:lineRule="auto"/>
            </w:pPr>
            <w:r>
              <w:rPr>
                <w:rFonts w:ascii="Sylfaen" w:hAnsi="Sylfaen" w:cs="Sylfaen"/>
                <w:b w:val="0"/>
                <w:sz w:val="22"/>
                <w:lang w:val="en-US"/>
              </w:rPr>
              <w:t>All expensive operations run offline; the synchronous path is read-only with zero in-turn LLM calls; per-turn retrieval latency measured and reported for B/B+/C; per-event payload capped at B's</w:t>
            </w:r>
          </w:p>
        </w:tc>
      </w:tr>
      <w:tr>
        <w:tc>
          <w:tcPr>
            <w:tcW w:type="dxa" w:w="2249"/>
          </w:tcPr>
          <w:p>
            <w:pPr>
              <w:spacing w:line="240" w:lineRule="auto"/>
            </w:pPr>
            <w:r>
              <w:rPr>
                <w:rFonts w:ascii="Sylfaen" w:hAnsi="Sylfaen" w:cs="Sylfaen"/>
                <w:b w:val="0"/>
                <w:sz w:val="22"/>
                <w:lang w:val="en-US"/>
              </w:rPr>
              <w:t>Held constant (all conditions)</w:t>
            </w:r>
          </w:p>
        </w:tc>
        <w:tc>
          <w:tcPr>
            <w:tcW w:type="dxa" w:w="3043"/>
          </w:tcPr>
          <w:p>
            <w:pPr>
              <w:spacing w:line="240" w:lineRule="auto"/>
            </w:pPr>
            <w:r>
              <w:rPr>
                <w:rFonts w:ascii="Sylfaen" w:hAnsi="Sylfaen" w:cs="Sylfaen"/>
                <w:b w:val="0"/>
                <w:sz w:val="22"/>
              </w:rPr>
            </w:r>
          </w:p>
        </w:tc>
        <w:tc>
          <w:tcPr>
            <w:tcW w:type="dxa" w:w="3043"/>
          </w:tcPr>
          <w:p>
            <w:pPr>
              <w:spacing w:line="240" w:lineRule="auto"/>
            </w:pPr>
            <w:r>
              <w:rPr>
                <w:rFonts w:ascii="Sylfaen" w:hAnsi="Sylfaen" w:cs="Sylfaen"/>
                <w:b w:val="0"/>
                <w:sz w:val="22"/>
                <w:lang w:val="en-US"/>
              </w:rPr>
              <w:t>LLM brain, retrieval trigger, injection point, per-turn latency budget, total retrievable-token budget, query embedding model, volatile working window</w:t>
            </w:r>
          </w:p>
        </w:tc>
      </w:tr>
    </w:tbl>
    <w:p>
      <w:pPr/>
    </w:p>
    <w:p>
      <w:pPr>
        <w:jc w:val="both"/>
      </w:pPr>
      <w:r>
        <w:rPr>
          <w:rFonts w:ascii="Sylfaen" w:hAnsi="Sylfaen" w:cs="Sylfaen"/>
          <w:b w:val="0"/>
          <w:sz w:val="24"/>
          <w:lang w:val="en-US"/>
        </w:rPr>
        <w:t>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external target, never against the study's dependent variables.</w:t>
      </w:r>
    </w:p>
    <w:p>
      <w:pPr>
        <w:pStyle w:val="Heading2"/>
        <w:numPr>
          <w:numId w:val="0"/>
        </w:numPr>
        <w:spacing w:before="160" w:after="80"/>
        <w:jc w:val="center"/>
      </w:pPr>
      <w:r>
        <w:rPr>
          <w:rFonts w:ascii="Sylfaen" w:hAnsi="Sylfaen" w:cs="Sylfaen"/>
          <w:b/>
          <w:color w:val="000000"/>
          <w:sz w:val="28"/>
          <w:lang w:val="en-US"/>
        </w:rPr>
        <w:t>3.4 Proof-of-concept implementation</w:t>
      </w:r>
    </w:p>
    <w:p>
      <w:pPr>
        <w:jc w:val="both"/>
      </w:pPr>
      <w:r>
        <w:rPr>
          <w:rFonts w:ascii="Sylfaen" w:hAnsi="Sylfaen" w:cs="Sylfaen"/>
          <w:b w:val="0"/>
          <w:sz w:val="24"/>
          <w:lang w:val="en-US"/>
        </w:rPr>
        <w:t>The proof-of-concept delivered in this thesis is a standalone memory harness, not the fielded voice application. It implements the four conditions A, B, B+, and C — exercising C's five-stage lifecycle at the fidelity reported in 4 — as an instrumentable module that operates over transcripts, deliberately outside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memory process,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jc w:val="both"/>
      </w:pPr>
      <w:r>
        <w:rPr>
          <w:rFonts w:ascii="Sylfaen" w:hAnsi="Sylfaen" w:cs="Sylfaen"/>
          <w:b w:val="0"/>
          <w:sz w:val="24"/>
          <w:lang w:val="en-US"/>
        </w:rPr>
        <w:t>The harness is therefore presented as a demonstration of the mechanisms and a substrate for the technical and simulated evaluation of 3.5, not as a deployed study apparatus.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pStyle w:val="Heading2"/>
        <w:numPr>
          <w:numId w:val="0"/>
        </w:numPr>
        <w:spacing w:before="160" w:after="80"/>
        <w:jc w:val="center"/>
      </w:pPr>
      <w:r>
        <w:rPr>
          <w:rFonts w:ascii="Sylfaen" w:hAnsi="Sylfaen" w:cs="Sylfaen"/>
          <w:b/>
          <w:color w:val="000000"/>
          <w:sz w:val="28"/>
          <w:lang w:val="en-US"/>
        </w:rPr>
        <w:t>3.5 Evaluation methodology</w:t>
      </w:r>
    </w:p>
    <w:p>
      <w:pPr>
        <w:jc w:val="both"/>
      </w:pPr>
      <w:r>
        <w:rPr>
          <w:rFonts w:ascii="Sylfaen" w:hAnsi="Sylfaen" w:cs="Sylfaen"/>
          <w:b w:val="0"/>
          <w:sz w:val="24"/>
          <w:lang w:val="en-US"/>
        </w:rPr>
        <w:t>The architecture is evaluated along three tracks of increasing ecological ambition and decreasing present-tense executability: a technical evaluation (reported in 4), a simulated-user evaluation (reported in 4, with strong stated limits), and a designed human-subject protocol (specified here, deferred to future work). The separation is deliberate: the first two tracks probe the mechanisms and generate hypotheses; only the third can adjudicate the perceptual claims, and it is not run in this thesis.</w:t>
      </w:r>
    </w:p>
    <w:p>
      <w:pPr>
        <w:jc w:val="both"/>
      </w:pPr>
      <w:r>
        <w:rPr>
          <w:rFonts w:ascii="Sylfaen" w:hAnsi="Sylfaen" w:cs="Sylfaen"/>
          <w:b w:val="0"/>
          <w:sz w:val="24"/>
          <w:lang w:val="en-US"/>
        </w:rPr>
        <w:t>(a) Technical evaluation. A benchmark-style assessment runs the four conditions over synthetic multi-session dialogues and measures three families of quantity: recall quality (factual recall of prior-session content, in the manner of the long-term-memory benchmarks of 2.5); temporal reasoning (the category consistently weakest across LoCoMo and LongMemEval [1,2]); and latency (per-turn synchronous retrieval time for B, B+, and C, establishing the parity claimed in 3.4). Two cautions from the literature are honored. First, because published memory-benchmark numbers have proven unreliable and their automatic judges permissive (F9, [32,33]), the harness re-validates its own judging procedure rather than inheriting a flawed one, and reports absolute scores against that caveat. Second, technical recall accuracy is explicitly not the thesis's target outcome — indeed the design predicts C may recall less verbatim than B by intent — so these metrics characterize the mechanisms and check that C's forgetting is graceful rather than defective; they are not a proxy for the perceived-relationship outcomes.</w:t>
      </w:r>
    </w:p>
    <w:p>
      <w:pPr>
        <w:jc w:val="both"/>
      </w:pPr>
      <w:r>
        <w:rPr>
          <w:rFonts w:ascii="Sylfaen" w:hAnsi="Sylfaen" w:cs="Sylfaen"/>
          <w:b w:val="0"/>
          <w:sz w:val="24"/>
          <w:lang w:val="en-US"/>
        </w:rPr>
        <w:t>(b) Simulated-user evaluation. To probe the social constructs without human participants, the harness is exercised in multi-session dialogues with an LLM acting as a simulated user, and a separate LLM judge rates each condition on the social constructs of 3.6 (social presence, alliance, believability/humanlikeness, plus the intelligence and privacy items). This track is framed with deliberate epistemic humility: it is a simulated proxy, not a substitute for human perception, and it cannot validate the perceptual hypotheses.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distinguishable behavior, (ii) generate and sharpen predictions for the human protocol, and (iii) exercise the exact instrument operationalization (3.6) end-to-end. Any simulated C-versus-B+ difference is reported as a mechanism-level signal, never as evidence about human perception.</w:t>
      </w:r>
    </w:p>
    <w:p>
      <w:pPr>
        <w:jc w:val="both"/>
      </w:pPr>
      <w:r>
        <w:rPr>
          <w:rFonts w:ascii="Sylfaen" w:hAnsi="Sylfaen" w:cs="Sylfaen"/>
          <w:b w:val="0"/>
          <w:sz w:val="24"/>
          <w:lang w:val="en-US"/>
        </w:rPr>
        <w:t>(c) Designed human-subject protocol (future work). The perceptual claims of the aim can be settled only by a human study, which this thesis fully specifies but does not execute. The design is a within-subject (repeated-measures) comparison of B, B+, and C — three arms, with A demoted to a short scripted calibration touch — at n ≈ 20,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late, post-consolidation window (and consolidation-density-moderated effects), not the grand within-condition mean, because that is where any C-only effect lives; and warm, attributable forgetting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mandatory coded interviews (at least two coders analyzing whether users noticed and valued the memory dynamics), so that even a self-report null becomes an interpretable dissociation map rather than an empty result.</w:t>
      </w:r>
    </w:p>
    <w:p>
      <w:pPr>
        <w:jc w:val="both"/>
      </w:pPr>
      <w:r>
        <w:rPr>
          <w:rFonts w:ascii="Sylfaen" w:hAnsi="Sylfaen" w:cs="Sylfaen"/>
          <w:b w:val="0"/>
          <w:sz w:val="24"/>
          <w:lang w:val="en-US"/>
        </w:rPr>
        <w:t>The sample size is deliberately not powered to confirm C &gt; B+. An a-priori power analysis (F18) shows that this contrast, the smallest in the design (dz ≈ 0.28, diluted further by cold-start), would require n ≈ 116–159 to detect at conventional power, whereas n ≈ 20 is the norm for this study class (F12) and yields only 2–12% power on this specific comparison. The protocol is therefore powered for the comparisons where power is attainable — C &gt; A, and directional B+ &gt; B and C &gt; B — and treats C &gt; B+ as an estimation target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pStyle w:val="Heading2"/>
        <w:numPr>
          <w:numId w:val="0"/>
        </w:numPr>
        <w:spacing w:before="160" w:after="80"/>
        <w:jc w:val="center"/>
      </w:pPr>
      <w:r>
        <w:rPr>
          <w:rFonts w:ascii="Sylfaen" w:hAnsi="Sylfaen" w:cs="Sylfaen"/>
          <w:b/>
          <w:color w:val="000000"/>
          <w:sz w:val="28"/>
          <w:lang w:val="en-US"/>
        </w:rPr>
        <w:t>3.6 Measures and instruments</w:t>
      </w:r>
    </w:p>
    <w:p>
      <w:pPr>
        <w:jc w:val="both"/>
      </w:pPr>
      <w:r>
        <w:rPr>
          <w:rFonts w:ascii="Sylfaen" w:hAnsi="Sylfaen" w:cs="Sylfaen"/>
          <w:b w:val="0"/>
          <w:sz w:val="24"/>
          <w:lang w:val="en-US"/>
        </w:rPr>
        <w:t>The dependent variables are the user-perceived social constructs named in the aim, operationalized through validated instruments (F11). The primary instrument is the Artificial Social Agent Questionnaire (ASAQ) [14], a validated, openly-licensed questionnaire capturing nineteen constructs in long (90-item) and short (24-item) forms. Three ASAQ constructs carry the primary hypothesis:</w:t>
      </w:r>
    </w:p>
    <w:p>
      <w:pPr>
        <w:jc w:val="both"/>
      </w:pPr>
      <w:r>
        <w:rPr>
          <w:rFonts w:ascii="Sylfaen" w:hAnsi="Sylfaen" w:cs="Sylfaen"/>
          <w:b w:val="0"/>
          <w:sz w:val="24"/>
          <w:lang w:val="en-US"/>
        </w:rPr>
        <w:t>•  Social presence — the sense of being with another social entity;</w:t>
      </w:r>
    </w:p>
    <w:p>
      <w:pPr>
        <w:jc w:val="both"/>
      </w:pPr>
      <w:r>
        <w:rPr>
          <w:rFonts w:ascii="Sylfaen" w:hAnsi="Sylfaen" w:cs="Sylfaen"/>
          <w:b w:val="0"/>
          <w:sz w:val="24"/>
          <w:lang w:val="en-US"/>
        </w:rPr>
        <w:t>•  User–agent alliance — the bond-, goal-, and task-oriented working relationship, complementable by a WAI-SR adaptation (see 2.6);</w:t>
      </w:r>
    </w:p>
    <w:p>
      <w:pPr>
        <w:jc w:val="both"/>
      </w:pPr>
      <w:r>
        <w:rPr>
          <w:rFonts w:ascii="Sylfaen" w:hAnsi="Sylfaen" w:cs="Sylfaen"/>
          <w:b w:val="0"/>
          <w:sz w:val="24"/>
          <w:lang w:val="en-US"/>
        </w:rPr>
        <w:t>•  Perceived humanlikeness — the canonical name of the third primary construct in our own voice, operationalized via ASAQ's believability subscale. Following the naming convention fixed for this thesis (F11), "believability" is used only as the instrument subscale, never as the dependent-variable name.</w:t>
      </w:r>
    </w:p>
    <w:p>
      <w:pPr>
        <w:jc w:val="both"/>
      </w:pPr>
      <w:r>
        <w:rPr>
          <w:rFonts w:ascii="Sylfaen" w:hAnsi="Sylfaen" w:cs="Sylfaen"/>
          <w:b w:val="0"/>
          <w:sz w:val="24"/>
          <w:lang w:val="en-US"/>
        </w:rPr>
        <w:t>Secondary and control constructs, tied to the secondary hypotheses of 1.2, are measured alongside: perceived intelligence via the Godspeed intelligence subscale (see 2.6) (targeting H2a, that verbatim RAG scores highest on intelligence), and privacy-related comfort and trust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jc w:val="both"/>
      </w:pPr>
      <w:r>
        <w:rPr>
          <w:rFonts w:ascii="Sylfaen" w:hAnsi="Sylfaen" w:cs="Sylfaen"/>
          <w:b w:val="0"/>
          <w:sz w:val="24"/>
          <w:lang w:val="en-US"/>
        </w:rPr>
        <w:t>For the simulated arm (3.5b), the same constructs are operationalized as an LLM-judge protocol: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pStyle w:val="Heading2"/>
        <w:numPr>
          <w:numId w:val="0"/>
        </w:numPr>
        <w:spacing w:before="160" w:after="80"/>
        <w:jc w:val="center"/>
      </w:pPr>
      <w:r>
        <w:rPr>
          <w:rFonts w:ascii="Sylfaen" w:hAnsi="Sylfaen" w:cs="Sylfaen"/>
          <w:b/>
          <w:color w:val="000000"/>
          <w:sz w:val="28"/>
          <w:lang w:val="en-US"/>
        </w:rPr>
        <w:t>3.7 Analysis plan</w:t>
      </w:r>
    </w:p>
    <w:p>
      <w:pPr>
        <w:jc w:val="both"/>
      </w:pPr>
      <w:r>
        <w:rPr>
          <w:rFonts w:ascii="Sylfaen" w:hAnsi="Sylfaen" w:cs="Sylfaen"/>
          <w:b w:val="0"/>
          <w:sz w:val="24"/>
          <w:lang w:val="en-US"/>
        </w:rPr>
        <w:t>The analysis follows an estimation-first philosophy, matched to the inferential stance of 3.1. For every condition contrast the primary reported quantity is an effect size (Cohen's dz for the within-subject contrasts) accompanied by a 95% confidence interval, rather than a dichotomous significance verdict. For the confirmatory comparisons where power exists (C &gt; A; directional B+ &gt; B and C &gt; B) a Holm-corrected hypothesis test is reported alongside the estimate. For the central C &gt; B+ contrast, only the estimate-with-interval is interpreted, using precision and equivalence logic: a tight interval straddling zero is reported as evidence that human-memory dynamics add little perceptual margin over curated static memory, and — consistent with 3.1 — this null is presented as a substantive finding the B+ control was designed to make interpretable, with null-handling pre-registered so that it reads as anticipated. Where the deferred protocol's late-window and consolidation-density-moderated analyses apply (3.5c), consolidation density, per-tier retrieval share, salience write-rate, and effective history-coverage are entered as pre-registered covariates.</w:t>
      </w:r>
    </w:p>
    <w:p>
      <w:pPr>
        <w:jc w:val="both"/>
      </w:pPr>
      <w:r>
        <w:rPr>
          <w:rFonts w:ascii="Sylfaen" w:hAnsi="Sylfaen" w:cs="Sylfaen"/>
          <w:b w:val="0"/>
          <w:sz w:val="24"/>
          <w:lang w:val="en-US"/>
        </w:rPr>
        <w:t>A sensitivity analysis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jc w:val="both"/>
      </w:pPr>
      <w:r>
        <w:rPr>
          <w:rFonts w:ascii="Sylfaen" w:hAnsi="Sylfaen" w:cs="Sylfaen"/>
          <w:b w:val="0"/>
          <w:sz w:val="24"/>
          <w:lang w:val="en-US"/>
        </w:rPr>
        <w:t>The entire plan — the architectural parameters and their externally-anchored values, the salience-rubric prompt verbatim, the condition set, the hypothesis-to-instrument map, the primary and covariate analyses, the sensitivity sweep, and the null-handling rule — is pre-registered before any data collection.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pStyle w:val="Heading2"/>
        <w:numPr>
          <w:numId w:val="0"/>
        </w:numPr>
        <w:spacing w:before="160" w:after="80"/>
        <w:jc w:val="center"/>
      </w:pPr>
      <w:r>
        <w:rPr>
          <w:rFonts w:ascii="Sylfaen" w:hAnsi="Sylfaen" w:cs="Sylfaen"/>
          <w:b/>
          <w:color w:val="000000"/>
          <w:sz w:val="28"/>
          <w:lang w:val="en-US"/>
        </w:rPr>
        <w:t>3.8 Ethical considerations and limitations</w:t>
      </w:r>
    </w:p>
    <w:p>
      <w:pPr>
        <w:jc w:val="both"/>
      </w:pPr>
      <w:r>
        <w:rPr>
          <w:rFonts w:ascii="Sylfaen" w:hAnsi="Sylfaen" w:cs="Sylfaen"/>
          <w:b w:val="0"/>
          <w:sz w:val="24"/>
          <w:lang w:val="en-US"/>
        </w:rPr>
        <w:t>No human-subject data are collected in this thesis. The work delivers a design, a proof-of-concept harness, and a technical and simulated evaluation; the human-subject study of 3.5(c) is a specified protocol reserved for future work. Consequently the ethical obligations that attach to the deferred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jc w:val="both"/>
      </w:pPr>
      <w:r>
        <w:rPr>
          <w:rFonts w:ascii="Sylfaen" w:hAnsi="Sylfaen" w:cs="Sylfaen"/>
          <w:b w:val="0"/>
          <w:sz w:val="24"/>
          <w:lang w:val="en-US"/>
        </w:rPr>
        <w:t>The methodology carries three classes of limitation, stated plainly.</w:t>
      </w:r>
    </w:p>
    <w:p>
      <w:pPr>
        <w:jc w:val="both"/>
      </w:pPr>
      <w:r>
        <w:rPr>
          <w:rFonts w:ascii="Sylfaen" w:hAnsi="Sylfaen" w:cs="Sylfaen"/>
          <w:b w:val="0"/>
          <w:sz w:val="24"/>
          <w:lang w:val="en-US"/>
        </w:rPr>
        <w:t>Evaluation-validity limitations.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synthetic dialogues whose distribution may not match real multi-session voice interaction.</w:t>
      </w:r>
    </w:p>
    <w:p>
      <w:pPr>
        <w:jc w:val="both"/>
      </w:pPr>
      <w:r>
        <w:rPr>
          <w:rFonts w:ascii="Sylfaen" w:hAnsi="Sylfaen" w:cs="Sylfaen"/>
          <w:b w:val="0"/>
          <w:sz w:val="24"/>
          <w:lang w:val="en-US"/>
        </w:rPr>
        <w:t>Inferential limitations.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jc w:val="both"/>
      </w:pPr>
      <w:r>
        <w:rPr>
          <w:rFonts w:ascii="Sylfaen" w:hAnsi="Sylfaen" w:cs="Sylfaen"/>
          <w:b w:val="0"/>
          <w:sz w:val="24"/>
          <w:lang w:val="en-US"/>
        </w:rPr>
        <w:t>Theory-fidelity limitations. As detailed in 3.2, Profile C composes rather than unifies its five source theories, and it makes three named omissions: it omits interference, the dominant dynamic of human forgetting, modeling only time-and-salience decay; its precision-first consolidation deliberately suppresses the reconstructive and schema-driven distortion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spirit of its episodic-to-semantic transfer function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design-time inspiration with measurable behavioral signatures, consistent with 2.2, and not as a claim of psychological fidelity. Each omission is, correspondingly, a concrete direction for future work.</w:t>
      </w:r>
    </w:p>
    <w:p>
      <w:pPr>
        <w:pStyle w:val="Heading1"/>
        <w:pageBreakBefore/>
        <w:numPr>
          <w:numId w:val="0"/>
        </w:numPr>
        <w:spacing w:before="360" w:after="80"/>
        <w:jc w:val="center"/>
      </w:pPr>
      <w:r>
        <w:rPr>
          <w:rFonts w:ascii="Sylfaen" w:hAnsi="Sylfaen" w:cs="Sylfaen"/>
          <w:b/>
          <w:color w:val="000000"/>
          <w:sz w:val="28"/>
          <w:lang w:val="en-US"/>
        </w:rPr>
        <w:t>4. Results and Discussion</w:t>
      </w:r>
    </w:p>
    <w:p>
      <w:pPr>
        <w:jc w:val="both"/>
      </w:pPr>
      <w:r>
        <w:rPr>
          <w:rFonts w:ascii="Sylfaen" w:hAnsi="Sylfaen" w:cs="Sylfaen"/>
          <w:b w:val="0"/>
          <w:sz w:val="24"/>
          <w:lang w:val="en-US"/>
        </w:rPr>
        <w:t>This chapter reports the proof-of-concept implementation and its two-track evaluation (3.4–3.5), and discusses what the results establish and — as importantly — what they do not. The design deliberately does not stake its central perceptual claim on this evaluation (3.1); the technical track demonstrates that the mechanisms behave as designed and are distinguishable across conditions, and the simulated track both estimates the direction of the perceptual effects and, in one respect, delivers a substantive methodological finding about the limits of simulated evaluation itself.</w:t>
      </w:r>
    </w:p>
    <w:p>
      <w:pPr>
        <w:pStyle w:val="Heading2"/>
        <w:numPr>
          <w:numId w:val="0"/>
        </w:numPr>
        <w:spacing w:before="160" w:after="80"/>
        <w:jc w:val="center"/>
      </w:pPr>
      <w:r>
        <w:rPr>
          <w:rFonts w:ascii="Sylfaen" w:hAnsi="Sylfaen" w:cs="Sylfaen"/>
          <w:b/>
          <w:color w:val="000000"/>
          <w:sz w:val="28"/>
          <w:lang w:val="en-US"/>
        </w:rPr>
        <w:t>4.1 Proof-of-concept: scope and fidelity</w:t>
      </w:r>
    </w:p>
    <w:p>
      <w:pPr>
        <w:jc w:val="both"/>
      </w:pPr>
      <w:r>
        <w:rPr>
          <w:rFonts w:ascii="Sylfaen" w:hAnsi="Sylfaen" w:cs="Sylfaen"/>
          <w:b w:val="0"/>
          <w:sz w:val="24"/>
          <w:lang w:val="en-US"/>
        </w:rPr>
        <w:t>The proof-of-concept is a standalone Python memory harness that implements the four conditions (A, B, B+, C) over multi-session dialogue transcripts, using OpenAI gpt-4o-mini for the language-model roles (salience scoring, gisting, consolidation, the conversational agent, and the judge) and text-embedding-3-small for retrieval. It was exercised over three synthetic user personas, each a four-session conversation with planted salient facts (names, allergies, family), one-off trivia (a passing weather remark, a forgotten film title, a café mentioned once), and a recurring emotional theme (thesis-deadline stress, co-founder conflict, night-shift exhaustion). The identical user-turn scripts were replayed through all four conditions, so every condition saw the same input and differed only in its memory mechanism. The complete run cost approximately USD 0.01 and took under seven minutes.</w:t>
      </w:r>
    </w:p>
    <w:p>
      <w:pPr>
        <w:jc w:val="both"/>
      </w:pPr>
      <w:r>
        <w:rPr>
          <w:rFonts w:ascii="Sylfaen" w:hAnsi="Sylfaen" w:cs="Sylfaen"/>
          <w:b w:val="0"/>
          <w:sz w:val="24"/>
          <w:lang w:val="en-US"/>
        </w:rPr>
        <w:t>Table 4.1 states the fidelity of the harness against the full architecture of 3.2, honestly separating what is implemented from what is deferred (per the cheapest-viable-cut of F18).</w:t>
      </w:r>
    </w:p>
    <w:p>
      <w:pPr>
        <w:spacing w:line="240" w:lineRule="auto"/>
        <w:jc w:val="both"/>
      </w:pPr>
      <w:r>
        <w:rPr>
          <w:rFonts w:ascii="Sylfaen" w:hAnsi="Sylfaen" w:cs="Sylfaen"/>
          <w:b/>
          <w:sz w:val="22"/>
          <w:lang w:val="en-US"/>
        </w:rPr>
        <w:t>Table 4.1. Proof-of-concept fidelity against the full architecture of 3.2</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en-US"/>
              </w:rPr>
              <w:t>Mechanism (3.2)</w:t>
            </w:r>
          </w:p>
        </w:tc>
        <w:tc>
          <w:tcPr>
            <w:tcW w:type="dxa" w:w="4167"/>
          </w:tcPr>
          <w:p>
            <w:pPr>
              <w:spacing w:line="240" w:lineRule="auto"/>
            </w:pPr>
            <w:r>
              <w:rPr>
                <w:rFonts w:ascii="Sylfaen" w:hAnsi="Sylfaen" w:cs="Sylfaen"/>
                <w:b/>
                <w:sz w:val="22"/>
                <w:lang w:val="en-US"/>
              </w:rPr>
              <w:t>Fidelity in the proof-of-concept</w:t>
            </w:r>
          </w:p>
        </w:tc>
      </w:tr>
      <w:tr>
        <w:tc>
          <w:tcPr>
            <w:tcW w:type="dxa" w:w="4167"/>
          </w:tcPr>
          <w:p>
            <w:pPr>
              <w:spacing w:line="240" w:lineRule="auto"/>
            </w:pPr>
            <w:r>
              <w:rPr>
                <w:rFonts w:ascii="Sylfaen" w:hAnsi="Sylfaen" w:cs="Sylfaen"/>
                <w:b w:val="0"/>
                <w:sz w:val="22"/>
                <w:lang w:val="en-US"/>
              </w:rPr>
              <w:t>Salience-gated encoding</w:t>
            </w:r>
          </w:p>
        </w:tc>
        <w:tc>
          <w:tcPr>
            <w:tcW w:type="dxa" w:w="4167"/>
          </w:tcPr>
          <w:p>
            <w:pPr>
              <w:spacing w:line="240" w:lineRule="auto"/>
            </w:pPr>
            <w:r>
              <w:rPr>
                <w:rFonts w:ascii="Sylfaen" w:hAnsi="Sylfaen" w:cs="Sylfaen"/>
                <w:b w:val="0"/>
                <w:sz w:val="22"/>
                <w:lang w:val="en-US"/>
              </w:rPr>
              <w:t>Implemented (LLM rubric, four dimensions)</w:t>
            </w:r>
          </w:p>
        </w:tc>
      </w:tr>
      <w:tr>
        <w:tc>
          <w:tcPr>
            <w:tcW w:type="dxa" w:w="4167"/>
          </w:tcPr>
          <w:p>
            <w:pPr>
              <w:spacing w:line="240" w:lineRule="auto"/>
            </w:pPr>
            <w:r>
              <w:rPr>
                <w:rFonts w:ascii="Sylfaen" w:hAnsi="Sylfaen" w:cs="Sylfaen"/>
                <w:b w:val="0"/>
                <w:sz w:val="22"/>
                <w:lang w:val="en-US"/>
              </w:rPr>
              <w:t>Gist + verbatim anchor representation</w:t>
            </w:r>
          </w:p>
        </w:tc>
        <w:tc>
          <w:tcPr>
            <w:tcW w:type="dxa" w:w="4167"/>
          </w:tcPr>
          <w:p>
            <w:pPr>
              <w:spacing w:line="240" w:lineRule="auto"/>
            </w:pPr>
            <w:r>
              <w:rPr>
                <w:rFonts w:ascii="Sylfaen" w:hAnsi="Sylfaen" w:cs="Sylfaen"/>
                <w:b w:val="0"/>
                <w:sz w:val="22"/>
                <w:lang w:val="en-US"/>
              </w:rPr>
              <w:t>Implemented</w:t>
            </w:r>
          </w:p>
        </w:tc>
      </w:tr>
      <w:tr>
        <w:tc>
          <w:tcPr>
            <w:tcW w:type="dxa" w:w="4167"/>
          </w:tcPr>
          <w:p>
            <w:pPr>
              <w:spacing w:line="240" w:lineRule="auto"/>
            </w:pPr>
            <w:r>
              <w:rPr>
                <w:rFonts w:ascii="Sylfaen" w:hAnsi="Sylfaen" w:cs="Sylfaen"/>
                <w:b w:val="0"/>
                <w:sz w:val="22"/>
                <w:lang w:val="en-US"/>
              </w:rPr>
              <w:t>Ebbinghaus decay + reinforcement</w:t>
            </w:r>
          </w:p>
        </w:tc>
        <w:tc>
          <w:tcPr>
            <w:tcW w:type="dxa" w:w="4167"/>
          </w:tcPr>
          <w:p>
            <w:pPr>
              <w:spacing w:line="240" w:lineRule="auto"/>
            </w:pPr>
            <w:r>
              <w:rPr>
                <w:rFonts w:ascii="Sylfaen" w:hAnsi="Sylfaen" w:cs="Sylfaen"/>
                <w:b w:val="0"/>
                <w:sz w:val="22"/>
                <w:lang w:val="en-US"/>
              </w:rPr>
              <w:t>Implemented (lazy, session-unit time)</w:t>
            </w:r>
          </w:p>
        </w:tc>
      </w:tr>
      <w:tr>
        <w:tc>
          <w:tcPr>
            <w:tcW w:type="dxa" w:w="4167"/>
          </w:tcPr>
          <w:p>
            <w:pPr>
              <w:spacing w:line="240" w:lineRule="auto"/>
            </w:pPr>
            <w:r>
              <w:rPr>
                <w:rFonts w:ascii="Sylfaen" w:hAnsi="Sylfaen" w:cs="Sylfaen"/>
                <w:b w:val="0"/>
                <w:sz w:val="22"/>
                <w:lang w:val="en-US"/>
              </w:rPr>
              <w:t>Episodic→semantic consolidation</w:t>
            </w:r>
          </w:p>
        </w:tc>
        <w:tc>
          <w:tcPr>
            <w:tcW w:type="dxa" w:w="4167"/>
          </w:tcPr>
          <w:p>
            <w:pPr>
              <w:spacing w:line="240" w:lineRule="auto"/>
            </w:pPr>
            <w:r>
              <w:rPr>
                <w:rFonts w:ascii="Sylfaen" w:hAnsi="Sylfaen" w:cs="Sylfaen"/>
                <w:b w:val="0"/>
                <w:sz w:val="22"/>
                <w:lang w:val="en-US"/>
              </w:rPr>
              <w:t>Implemented (embedding clustering + LLM abstraction)</w:t>
            </w:r>
          </w:p>
        </w:tc>
      </w:tr>
      <w:tr>
        <w:tc>
          <w:tcPr>
            <w:tcW w:type="dxa" w:w="4167"/>
          </w:tcPr>
          <w:p>
            <w:pPr>
              <w:spacing w:line="240" w:lineRule="auto"/>
            </w:pPr>
            <w:r>
              <w:rPr>
                <w:rFonts w:ascii="Sylfaen" w:hAnsi="Sylfaen" w:cs="Sylfaen"/>
                <w:b w:val="0"/>
                <w:sz w:val="22"/>
                <w:lang w:val="en-US"/>
              </w:rPr>
              <w:t>Gist-first composite retrieval</w:t>
            </w:r>
          </w:p>
        </w:tc>
        <w:tc>
          <w:tcPr>
            <w:tcW w:type="dxa" w:w="4167"/>
          </w:tcPr>
          <w:p>
            <w:pPr>
              <w:spacing w:line="240" w:lineRule="auto"/>
            </w:pPr>
            <w:r>
              <w:rPr>
                <w:rFonts w:ascii="Sylfaen" w:hAnsi="Sylfaen" w:cs="Sylfaen"/>
                <w:b w:val="0"/>
                <w:sz w:val="22"/>
                <w:lang w:val="en-US"/>
              </w:rPr>
              <w:t>Implemented (relevance × retrievability × capped semantic bonus)</w:t>
            </w:r>
          </w:p>
        </w:tc>
      </w:tr>
      <w:tr>
        <w:tc>
          <w:tcPr>
            <w:tcW w:type="dxa" w:w="4167"/>
          </w:tcPr>
          <w:p>
            <w:pPr>
              <w:spacing w:line="240" w:lineRule="auto"/>
            </w:pPr>
            <w:r>
              <w:rPr>
                <w:rFonts w:ascii="Sylfaen" w:hAnsi="Sylfaen" w:cs="Sylfaen"/>
                <w:b w:val="0"/>
                <w:sz w:val="22"/>
                <w:lang w:val="en-US"/>
              </w:rPr>
              <w:t>Event segmentation</w:t>
            </w:r>
          </w:p>
        </w:tc>
        <w:tc>
          <w:tcPr>
            <w:tcW w:type="dxa" w:w="4167"/>
          </w:tcPr>
          <w:p>
            <w:pPr>
              <w:spacing w:line="240" w:lineRule="auto"/>
            </w:pPr>
            <w:r>
              <w:rPr>
                <w:rFonts w:ascii="Sylfaen" w:hAnsi="Sylfaen" w:cs="Sylfaen"/>
                <w:b w:val="0"/>
                <w:sz w:val="22"/>
                <w:lang w:val="en-US"/>
              </w:rPr>
              <w:t>Reduced: one utterance = one event (Bayesian-surprise segmentation deferred)</w:t>
            </w:r>
          </w:p>
        </w:tc>
      </w:tr>
      <w:tr>
        <w:tc>
          <w:tcPr>
            <w:tcW w:type="dxa" w:w="4167"/>
          </w:tcPr>
          <w:p>
            <w:pPr>
              <w:spacing w:line="240" w:lineRule="auto"/>
            </w:pPr>
            <w:r>
              <w:rPr>
                <w:rFonts w:ascii="Sylfaen" w:hAnsi="Sylfaen" w:cs="Sylfaen"/>
                <w:b w:val="0"/>
                <w:sz w:val="22"/>
                <w:lang w:val="en-US"/>
              </w:rPr>
              <w:t>Associative pre-expansion; anchor-regex exact-recall trigger; programmatic sensitivity sweep</w:t>
            </w:r>
          </w:p>
        </w:tc>
        <w:tc>
          <w:tcPr>
            <w:tcW w:type="dxa" w:w="4167"/>
          </w:tcPr>
          <w:p>
            <w:pPr>
              <w:spacing w:line="240" w:lineRule="auto"/>
            </w:pPr>
            <w:r>
              <w:rPr>
                <w:rFonts w:ascii="Sylfaen" w:hAnsi="Sylfaen" w:cs="Sylfaen"/>
                <w:b w:val="0"/>
                <w:sz w:val="22"/>
                <w:lang w:val="en-US"/>
              </w:rPr>
              <w:t>Deferred to the full build</w:t>
            </w:r>
          </w:p>
        </w:tc>
      </w:tr>
      <w:tr>
        <w:tc>
          <w:tcPr>
            <w:tcW w:type="dxa" w:w="4167"/>
          </w:tcPr>
          <w:p>
            <w:pPr>
              <w:spacing w:line="240" w:lineRule="auto"/>
            </w:pPr>
            <w:r>
              <w:rPr>
                <w:rFonts w:ascii="Sylfaen" w:hAnsi="Sylfaen" w:cs="Sylfaen"/>
                <w:b w:val="0"/>
                <w:sz w:val="22"/>
                <w:lang w:val="en-US"/>
              </w:rPr>
              <w:t>Real voice pipeline (STT/TTS/turn-taking)</w:t>
            </w:r>
          </w:p>
        </w:tc>
        <w:tc>
          <w:tcPr>
            <w:tcW w:type="dxa" w:w="4167"/>
          </w:tcPr>
          <w:p>
            <w:pPr>
              <w:spacing w:line="240" w:lineRule="auto"/>
            </w:pPr>
            <w:r>
              <w:rPr>
                <w:rFonts w:ascii="Sylfaen" w:hAnsi="Sylfaen" w:cs="Sylfaen"/>
                <w:b w:val="0"/>
                <w:sz w:val="22"/>
                <w:lang w:val="en-US"/>
              </w:rPr>
              <w:t>Out of scope by design — the harness studies the memory process over transcripts</w:t>
            </w:r>
          </w:p>
        </w:tc>
      </w:tr>
    </w:tbl>
    <w:p>
      <w:pPr/>
    </w:p>
    <w:p>
      <w:pPr>
        <w:jc w:val="both"/>
      </w:pPr>
      <w:r>
        <w:rPr>
          <w:rFonts w:ascii="Sylfaen" w:hAnsi="Sylfaen" w:cs="Sylfaen"/>
          <w:b w:val="0"/>
          <w:sz w:val="24"/>
          <w:lang w:val="en-US"/>
        </w:rPr>
        <w:t>Time is measured in session units rather than wall-clock, and users are simulated rather than human; both bound the interpretation and are revisited in 4.4.</w:t>
      </w:r>
    </w:p>
    <w:p>
      <w:pPr>
        <w:pStyle w:val="Heading2"/>
        <w:numPr>
          <w:numId w:val="0"/>
        </w:numPr>
        <w:spacing w:before="160" w:after="80"/>
        <w:jc w:val="center"/>
      </w:pPr>
      <w:r>
        <w:rPr>
          <w:rFonts w:ascii="Sylfaen" w:hAnsi="Sylfaen" w:cs="Sylfaen"/>
          <w:b/>
          <w:color w:val="000000"/>
          <w:sz w:val="28"/>
          <w:lang w:val="en-US"/>
        </w:rPr>
        <w:t>4.2 Technical results</w:t>
      </w:r>
    </w:p>
    <w:p>
      <w:pPr>
        <w:jc w:val="both"/>
      </w:pPr>
      <w:r>
        <w:rPr>
          <w:rFonts w:ascii="Sylfaen" w:hAnsi="Sylfaen" w:cs="Sylfaen"/>
          <w:b w:val="0"/>
          <w:sz w:val="24"/>
          <w:lang w:val="en-US"/>
        </w:rPr>
        <w:t>Cross-session recall and graceful forgetting. Table 4.2 reports the fraction of recall probes answered correctly, by probe type, aggregated over the three personas.</w:t>
      </w:r>
    </w:p>
    <w:p>
      <w:pPr>
        <w:spacing w:line="240" w:lineRule="auto"/>
        <w:jc w:val="both"/>
      </w:pPr>
      <w:r>
        <w:rPr>
          <w:rFonts w:ascii="Sylfaen" w:hAnsi="Sylfaen" w:cs="Sylfaen"/>
          <w:b/>
          <w:sz w:val="22"/>
          <w:lang w:val="en-US"/>
        </w:rPr>
        <w:t>Table 4.2. Cross-session recall accuracy by probe type</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933"/>
        <w:gridCol w:w="2007"/>
        <w:gridCol w:w="1235"/>
        <w:gridCol w:w="2161"/>
      </w:tblGrid>
      <w:tr>
        <w:tc>
          <w:tcPr>
            <w:tcW w:type="dxa" w:w="2932"/>
          </w:tcPr>
          <w:p>
            <w:pPr>
              <w:spacing w:line="240" w:lineRule="auto"/>
            </w:pPr>
            <w:r>
              <w:rPr>
                <w:rFonts w:ascii="Sylfaen" w:hAnsi="Sylfaen" w:cs="Sylfaen"/>
                <w:b/>
                <w:sz w:val="22"/>
                <w:lang w:val="en-US"/>
              </w:rPr>
              <w:t>Condition</w:t>
            </w:r>
          </w:p>
        </w:tc>
        <w:tc>
          <w:tcPr>
            <w:tcW w:type="dxa" w:w="2006"/>
          </w:tcPr>
          <w:p>
            <w:pPr>
              <w:spacing w:line="240" w:lineRule="auto"/>
            </w:pPr>
            <w:r>
              <w:rPr>
                <w:rFonts w:ascii="Sylfaen" w:hAnsi="Sylfaen" w:cs="Sylfaen"/>
                <w:b/>
                <w:sz w:val="22"/>
                <w:lang w:val="en-US"/>
              </w:rPr>
              <w:t>Salient facts</w:t>
            </w:r>
          </w:p>
        </w:tc>
        <w:tc>
          <w:tcPr>
            <w:tcW w:type="dxa" w:w="1235"/>
          </w:tcPr>
          <w:p>
            <w:pPr>
              <w:spacing w:line="240" w:lineRule="auto"/>
            </w:pPr>
            <w:r>
              <w:rPr>
                <w:rFonts w:ascii="Sylfaen" w:hAnsi="Sylfaen" w:cs="Sylfaen"/>
                <w:b/>
                <w:sz w:val="22"/>
                <w:lang w:val="en-US"/>
              </w:rPr>
              <w:t>Trivia</w:t>
            </w:r>
          </w:p>
        </w:tc>
        <w:tc>
          <w:tcPr>
            <w:tcW w:type="dxa" w:w="2161"/>
          </w:tcPr>
          <w:p>
            <w:pPr>
              <w:spacing w:line="240" w:lineRule="auto"/>
            </w:pPr>
            <w:r>
              <w:rPr>
                <w:rFonts w:ascii="Sylfaen" w:hAnsi="Sylfaen" w:cs="Sylfaen"/>
                <w:b/>
                <w:sz w:val="22"/>
                <w:lang w:val="en-US"/>
              </w:rPr>
              <w:t>Generalization</w:t>
            </w:r>
          </w:p>
        </w:tc>
      </w:tr>
      <w:tr>
        <w:tc>
          <w:tcPr>
            <w:tcW w:type="dxa" w:w="2932"/>
          </w:tcPr>
          <w:p>
            <w:pPr>
              <w:spacing w:line="240" w:lineRule="auto"/>
            </w:pPr>
            <w:r>
              <w:rPr>
                <w:rFonts w:ascii="Sylfaen" w:hAnsi="Sylfaen" w:cs="Sylfaen"/>
                <w:b w:val="0"/>
                <w:sz w:val="22"/>
                <w:lang w:val="en-US"/>
              </w:rPr>
              <w:t>A (no memory)</w:t>
            </w:r>
          </w:p>
        </w:tc>
        <w:tc>
          <w:tcPr>
            <w:tcW w:type="dxa" w:w="2006"/>
          </w:tcPr>
          <w:p>
            <w:pPr>
              <w:spacing w:line="240" w:lineRule="auto"/>
            </w:pPr>
            <w:r>
              <w:rPr>
                <w:rFonts w:ascii="Sylfaen" w:hAnsi="Sylfaen" w:cs="Sylfaen"/>
                <w:b w:val="0"/>
                <w:sz w:val="22"/>
              </w:rPr>
              <w:t>0.00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0.67</w:t>
            </w:r>
          </w:p>
        </w:tc>
      </w:tr>
      <w:tr>
        <w:tc>
          <w:tcPr>
            <w:tcW w:type="dxa" w:w="2932"/>
          </w:tcPr>
          <w:p>
            <w:pPr>
              <w:spacing w:line="240" w:lineRule="auto"/>
            </w:pPr>
            <w:r>
              <w:rPr>
                <w:rFonts w:ascii="Sylfaen" w:hAnsi="Sylfaen" w:cs="Sylfaen"/>
                <w:b w:val="0"/>
                <w:sz w:val="22"/>
                <w:lang w:val="en-US"/>
              </w:rPr>
              <w:t>B (verbatim RAG)</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B+ (curated static)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C (Profile 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en-US"/>
        </w:rPr>
        <w:t>Three patterns are visible. First, long-term memory is necessary: condition A, with only the volatile working window, recalls no cross-session fact (its 0.67 on generalization is a within-session artifact — the recurring theme is restated in the same session as the probe — not evidence of memory). Second, and centrally, only Profile C exhibits graceful, salience-selective forgetting: it retains every salient fact (1.00) while forgetting the low-salience trivia (0.00), whereas B and B+ retain everything indiscriminately (1.00/1.00). This is the Ebbinghaus signature operating as designed — low-salience traces receive low stability, decay below the retrievability floor within one to two session gaps, and drop out of retrieval. The behavioral difference is directly observable: asked what the weather had been, condition B replied "It was really foggy that morning, kind of pretty!", while condition C replied "I don't have that specific detail about the weather from our previous conversation. How has the weather been for you lately?" — a warm non-recall rather than a mechanical replay.</w:t>
      </w:r>
    </w:p>
    <w:p>
      <w:pPr>
        <w:jc w:val="both"/>
      </w:pPr>
      <w:r>
        <w:rPr>
          <w:rFonts w:ascii="Sylfaen" w:hAnsi="Sylfaen" w:cs="Sylfaen"/>
          <w:b w:val="0"/>
          <w:sz w:val="24"/>
          <w:lang w:val="en-US"/>
        </w:rPr>
        <w:t>Consolidation. Only Profile C formed durable semantic facts: four across the three personas (B and B+ formed none, by construction). Surfacing the recurring theme, C drew on its consolidated store — "it seems like the challenges with your co-founder and the direction of your company are a recurring theme". It is important to report honestly that B+ also produced a competent generalization on the fly — "the ongoing tension with your co-founder is a significant theme" — by having the language model infer the pattern from several retrieved episodes. The consolidation advantage of C is therefore not that a curated baseline cannot generalize, but that C maintains the generalization as an explicit, durable, reusable structure with source-episode provenance, produced offline rather than re-derived at every turn.</w:t>
      </w:r>
    </w:p>
    <w:p>
      <w:pPr>
        <w:jc w:val="both"/>
      </w:pPr>
      <w:r>
        <w:rPr>
          <w:rFonts w:ascii="Sylfaen" w:hAnsi="Sylfaen" w:cs="Sylfaen"/>
          <w:b w:val="0"/>
          <w:sz w:val="24"/>
          <w:lang w:val="en-US"/>
        </w:rPr>
        <w:t>Efficiency and latency. At the shared retrieval budget, C injected a mean of 37.2 context words per turn against 41.0 for both B and B+ — slightly leaner, because gist-first retrieval favours compact semantic facts over raw or full-length gists. Per-turn synchronous retrieval latency was sub-millisecond for all conditions (median 0.08–0.12 ms), confirming the design claim that C's added arithmetic (decay and bonus scoring) is negligible against the retrieval itself, and — by construction — that all expensive language-model work runs offline.</w:t>
      </w:r>
    </w:p>
    <w:p>
      <w:pPr>
        <w:pStyle w:val="Heading2"/>
        <w:numPr>
          <w:numId w:val="0"/>
        </w:numPr>
        <w:spacing w:before="160" w:after="80"/>
        <w:jc w:val="center"/>
      </w:pPr>
      <w:r>
        <w:rPr>
          <w:rFonts w:ascii="Sylfaen" w:hAnsi="Sylfaen" w:cs="Sylfaen"/>
          <w:b/>
          <w:color w:val="000000"/>
          <w:sz w:val="28"/>
          <w:lang w:val="en-US"/>
        </w:rPr>
        <w:t>4.3 Simulated-perception results</w:t>
      </w:r>
    </w:p>
    <w:p>
      <w:pPr>
        <w:jc w:val="both"/>
      </w:pPr>
      <w:r>
        <w:rPr>
          <w:rFonts w:ascii="Sylfaen" w:hAnsi="Sylfaen" w:cs="Sylfaen"/>
          <w:b w:val="0"/>
          <w:sz w:val="24"/>
          <w:lang w:val="en-US"/>
        </w:rPr>
        <w:t>An LLM judge rated each condition's full transcript on five constructs (1–7). Table 4.3 reports the means over the three personas; these are illustrative estimates from a small simulated sample (three personas, a single judge pass, integer ratings), reported without significance testing and consistent with the estimation stance of 3.1.</w:t>
      </w:r>
    </w:p>
    <w:p>
      <w:pPr>
        <w:spacing w:line="240" w:lineRule="auto"/>
        <w:jc w:val="both"/>
      </w:pPr>
      <w:r>
        <w:rPr>
          <w:rFonts w:ascii="Sylfaen" w:hAnsi="Sylfaen" w:cs="Sylfaen"/>
          <w:b/>
          <w:sz w:val="22"/>
          <w:lang w:val="en-US"/>
        </w:rPr>
        <w:t>Table 4.3. Simulated-perception mean ratings by construct</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260"/>
        <w:gridCol w:w="741"/>
        <w:gridCol w:w="741"/>
        <w:gridCol w:w="741"/>
        <w:gridCol w:w="741"/>
        <w:gridCol w:w="1111"/>
      </w:tblGrid>
      <w:tr>
        <w:tc>
          <w:tcPr>
            <w:tcW w:type="dxa" w:w="4260"/>
          </w:tcPr>
          <w:p>
            <w:pPr>
              <w:spacing w:line="240" w:lineRule="auto"/>
            </w:pPr>
            <w:r>
              <w:rPr>
                <w:rFonts w:ascii="Sylfaen" w:hAnsi="Sylfaen" w:cs="Sylfaen"/>
                <w:b/>
                <w:sz w:val="22"/>
                <w:lang w:val="en-US"/>
              </w:rPr>
              <w:t>Construct</w:t>
            </w:r>
          </w:p>
        </w:tc>
        <w:tc>
          <w:tcPr>
            <w:tcW w:type="dxa" w:w="741"/>
          </w:tcPr>
          <w:p>
            <w:pPr>
              <w:spacing w:line="240" w:lineRule="auto"/>
            </w:pPr>
            <w:r>
              <w:rPr>
                <w:rFonts w:ascii="Sylfaen" w:hAnsi="Sylfaen" w:cs="Sylfaen"/>
                <w:b/>
                <w:sz w:val="22"/>
                <w:lang w:val="en-US"/>
              </w:rPr>
              <w:t>A</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C</w:t>
            </w:r>
          </w:p>
        </w:tc>
        <w:tc>
          <w:tcPr>
            <w:tcW w:type="dxa" w:w="1111"/>
          </w:tcPr>
          <w:p>
            <w:pPr>
              <w:spacing w:line="240" w:lineRule="auto"/>
            </w:pPr>
            <w:r>
              <w:rPr>
                <w:rFonts w:ascii="Sylfaen" w:hAnsi="Sylfaen" w:cs="Sylfaen"/>
                <w:b/>
                <w:sz w:val="22"/>
                <w:lang w:val="en-US"/>
              </w:rPr>
              <w:t>C − B+</w:t>
            </w:r>
          </w:p>
        </w:tc>
      </w:tr>
      <w:tr>
        <w:tc>
          <w:tcPr>
            <w:tcW w:type="dxa" w:w="4260"/>
          </w:tcPr>
          <w:p>
            <w:pPr>
              <w:spacing w:line="240" w:lineRule="auto"/>
            </w:pPr>
            <w:r>
              <w:rPr>
                <w:rFonts w:ascii="Sylfaen" w:hAnsi="Sylfaen" w:cs="Sylfaen"/>
                <w:b w:val="0"/>
                <w:sz w:val="22"/>
                <w:lang w:val="en-US"/>
              </w:rPr>
              <w:t>Social presence</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0.00</w:t>
            </w:r>
          </w:p>
        </w:tc>
      </w:tr>
      <w:tr>
        <w:tc>
          <w:tcPr>
            <w:tcW w:type="dxa" w:w="4260"/>
          </w:tcPr>
          <w:p>
            <w:pPr>
              <w:spacing w:line="240" w:lineRule="auto"/>
            </w:pPr>
            <w:r>
              <w:rPr>
                <w:rFonts w:ascii="Sylfaen" w:hAnsi="Sylfaen" w:cs="Sylfaen"/>
                <w:b w:val="0"/>
                <w:sz w:val="22"/>
                <w:lang w:val="en-US"/>
              </w:rPr>
              <w:t>User–agent alliance</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6.33</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humanlikeness</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intelligence</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Privacy comfort</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en-US"/>
        </w:rPr>
        <w:t>Two findings follow, and the second is the more important.</w:t>
      </w:r>
    </w:p>
    <w:p>
      <w:pPr>
        <w:jc w:val="both"/>
      </w:pPr>
      <w:r>
        <w:rPr>
          <w:rFonts w:ascii="Sylfaen" w:hAnsi="Sylfaen" w:cs="Sylfaen"/>
          <w:b w:val="0"/>
          <w:sz w:val="24"/>
          <w:lang w:val="en-US"/>
        </w:rPr>
        <w:t>First, Profile C does not exceed the B+ curation control on any construct (every C − B+ difference is zero or negative in this small sample). This is precisely what the a-priori analysis predicted (F18): once a clean, curated static memory (B+) is in place, the additional human-memory dynamics of C — decay, salience, consolidation — add no detectable perceptual margin at this scale and horizon. The proof-of-concept thus corroborates, in simulation, the thesis's own claim that the C-versus-B+ effect is small; it does not, and cannot, establish that it is zero in humans.</w:t>
      </w:r>
    </w:p>
    <w:p>
      <w:pPr>
        <w:jc w:val="both"/>
      </w:pPr>
      <w:r>
        <w:rPr>
          <w:rFonts w:ascii="Sylfaen" w:hAnsi="Sylfaen" w:cs="Sylfaen"/>
          <w:b w:val="0"/>
          <w:sz w:val="24"/>
          <w:lang w:val="en-US"/>
        </w:rPr>
        <w:t>Second, and unexpectedly, the privacy-comfort result runs opposite to the established human finding. In humans, verbatim recall of a user's exact words heightens privacy concern relative to paraphrase (the Cox result [11], the empirical anchor for the whole fuzzy-trace argument of 2.2). Here the simulated judge rated the verbatim condition B and the curated B+ highest on privacy comfort (7.00) and the gist-based, forgetting Profile C lowest (5.67) — the reverse of the human effect. The judge, an LLM without privacy stakes, appears to read total, accurate recall as simple competence ("it remembered well") and C's deliberate forgetting as a deficiency, exactly the surface-legibility reading that 3.5(b) warned an LLM judge would substitute for felt relationship.</w:t>
      </w:r>
    </w:p>
    <w:p>
      <w:pPr>
        <w:pStyle w:val="Heading2"/>
        <w:numPr>
          <w:numId w:val="0"/>
        </w:numPr>
        <w:spacing w:before="160" w:after="80"/>
        <w:jc w:val="center"/>
      </w:pPr>
      <w:r>
        <w:rPr>
          <w:rFonts w:ascii="Sylfaen" w:hAnsi="Sylfaen" w:cs="Sylfaen"/>
          <w:b/>
          <w:color w:val="000000"/>
          <w:sz w:val="28"/>
          <w:lang w:val="en-US"/>
        </w:rPr>
        <w:t>4.4 Discussion</w:t>
      </w:r>
    </w:p>
    <w:p>
      <w:pPr>
        <w:jc w:val="both"/>
      </w:pPr>
      <w:r>
        <w:rPr>
          <w:rFonts w:ascii="Sylfaen" w:hAnsi="Sylfaen" w:cs="Sylfaen"/>
          <w:b w:val="0"/>
          <w:sz w:val="24"/>
          <w:lang w:val="en-US"/>
        </w:rPr>
        <w:t>The evaluation supports a clear, bounded set of conclusions. On the technical side, the architecture is implementable and its mechanisms behave as designed: memory is necessary for cross-session recall; Profile C alone forgets gracefully and selectively, keeping what matters and letting trivia fade; only C consolidates episodes into durable semantic knowledge; and it does so at a leaner context footprint and at latency parity. The mechanisms are not only present but distinguishable in observable behavior — the sanity-check the technical track was designed to provide.</w:t>
      </w:r>
    </w:p>
    <w:p>
      <w:pPr>
        <w:jc w:val="both"/>
      </w:pPr>
      <w:r>
        <w:rPr>
          <w:rFonts w:ascii="Sylfaen" w:hAnsi="Sylfaen" w:cs="Sylfaen"/>
          <w:b w:val="0"/>
          <w:sz w:val="24"/>
          <w:lang w:val="en-US"/>
        </w:rPr>
        <w:t>On the perceptual side, the result is a genuine dissociation. The condition that is behaviorally most "human" — forgetting trivia, generalizing about the user — is not the condition the simulated judge preferred; the curated static control (B+) matched or edged it everywhere. Read together with the a-priori power analysis (F18), this reinforces the thesis's central methodological position: the perceptual value that the literature attributes to "human-like memory" may be carried largely by clean curation and mere presence, with the biomimetic dynamics contributing a margin too small to detect at feasible scale. The B+ control was built precisely to make this distinction visible, and here it does.</w:t>
      </w:r>
    </w:p>
    <w:p>
      <w:pPr>
        <w:jc w:val="both"/>
      </w:pPr>
      <w:r>
        <w:rPr>
          <w:rFonts w:ascii="Sylfaen" w:hAnsi="Sylfaen" w:cs="Sylfaen"/>
          <w:b w:val="0"/>
          <w:sz w:val="24"/>
          <w:lang w:val="en-US"/>
        </w:rPr>
        <w:t>The privacy-comfort inversion is the single most consequential result of the evaluation, because it is a demonstration by counterexample of the limits of simulated evaluation. On the one construct where a strong, replicated human effect exists — verbatim recall feeling intrusive — the LLM judge produced the opposite ordering. This is not a flaw to be tuned away; it is direct evidence that an LLM judge cannot stand in for human perception on constructs that depend on human stakes such as privacy and trust. It follows that the perceptual claims of this thesis genuinely cannot be settled in simulation, and that the human-subject protocol of 3.5(c) is not a discretionary extension but a methodological necessity. The proof-of-concept, in other words, earns the deferral of the human study by showing empirically why it is required.</w:t>
      </w:r>
    </w:p>
    <w:p>
      <w:pPr>
        <w:pStyle w:val="Heading2"/>
        <w:numPr>
          <w:numId w:val="0"/>
        </w:numPr>
        <w:spacing w:before="160" w:after="80"/>
        <w:jc w:val="center"/>
      </w:pPr>
      <w:r>
        <w:rPr>
          <w:rFonts w:ascii="Sylfaen" w:hAnsi="Sylfaen" w:cs="Sylfaen"/>
          <w:b/>
          <w:color w:val="000000"/>
          <w:sz w:val="28"/>
          <w:lang w:val="en-US"/>
        </w:rPr>
        <w:t>4.5 Limitations of the evaluation</w:t>
      </w:r>
    </w:p>
    <w:p>
      <w:pPr>
        <w:jc w:val="both"/>
      </w:pPr>
      <w:r>
        <w:rPr>
          <w:rFonts w:ascii="Sylfaen" w:hAnsi="Sylfaen" w:cs="Sylfaen"/>
          <w:b w:val="0"/>
          <w:sz w:val="24"/>
          <w:lang w:val="en-US"/>
        </w:rPr>
        <w:t>The evaluation's limits are substantial and are stated plainly. The simulated users and the LLM judge share the architecture of the system under test and lack the stakes, temporal depth, and privacy sensitivities of real users — the privacy inversion above is the sharpest illustration. The sample is small (three personas, four sessions each, a single judge pass), so the perceptual numbers are illustrative rather than estimates of any population quantity, and no significance is claimed. Time is compressed to session units, so the decay and consolidation dynamics are exercised over a handful of gaps rather than the weeks the design envisages; the cold-start dilution that F18 identifies is, if anything, understated here. The language model driving every role (gpt-4o-mini) is not the eventual voice brain, and several mechanisms are implemented at reduced fidelity or deferred (Table 4.1). Finally, the harness operates over text transcripts, not the live voice pipeline, so it demonstrates the memory process rather than the fielded interlocutor. Each limitation is a concrete task for the full build and the human study that follow from this work.</w:t>
      </w:r>
    </w:p>
    <w:p>
      <w:pPr>
        <w:pStyle w:val="Heading1"/>
        <w:pageBreakBefore/>
        <w:numPr>
          <w:numId w:val="0"/>
        </w:numPr>
        <w:spacing w:before="360" w:after="80"/>
        <w:jc w:val="center"/>
      </w:pPr>
      <w:r>
        <w:rPr>
          <w:rFonts w:ascii="Sylfaen" w:hAnsi="Sylfaen" w:cs="Sylfaen"/>
          <w:b/>
          <w:color w:val="000000"/>
          <w:sz w:val="28"/>
          <w:lang w:val="en-US"/>
        </w:rPr>
        <w:t>5. Conclusion</w:t>
      </w:r>
    </w:p>
    <w:p>
      <w:pPr>
        <w:jc w:val="both"/>
      </w:pPr>
      <w:r>
        <w:rPr>
          <w:rFonts w:ascii="Sylfaen" w:hAnsi="Sylfaen" w:cs="Sylfaen"/>
          <w:b w:val="0"/>
          <w:sz w:val="24"/>
          <w:lang w:val="en-US"/>
        </w:rPr>
        <w:t>This thesis set out to determine whether long-term memory modeled on cognitive theories of human memory makes a voice conversational system feel less like an assistant and more like an interlocutor. Under a constraint that precluded a full human-subject study, the work delivered the parts of that programme that do not depend on fielded human data — a cognitively-grounded memory architecture, a curation-controlled evaluation methodology, and a working proof-of-concept — and specified the human evaluation as rigorous future work. This concluding chapter summarizes the contributions, the findings, and the road ahead.</w:t>
      </w:r>
    </w:p>
    <w:p>
      <w:pPr>
        <w:pStyle w:val="Heading2"/>
        <w:numPr>
          <w:numId w:val="0"/>
        </w:numPr>
        <w:spacing w:before="160" w:after="80"/>
        <w:jc w:val="center"/>
      </w:pPr>
      <w:r>
        <w:rPr>
          <w:rFonts w:ascii="Sylfaen" w:hAnsi="Sylfaen" w:cs="Sylfaen"/>
          <w:b/>
          <w:color w:val="000000"/>
          <w:sz w:val="28"/>
          <w:lang w:val="en-US"/>
        </w:rPr>
        <w:t>5.1 Summary of contributions</w:t>
      </w:r>
    </w:p>
    <w:p>
      <w:pPr>
        <w:jc w:val="both"/>
      </w:pPr>
      <w:r>
        <w:rPr>
          <w:rFonts w:ascii="Sylfaen" w:hAnsi="Sylfaen" w:cs="Sylfaen"/>
          <w:b w:val="0"/>
          <w:sz w:val="24"/>
          <w:lang w:val="en-US"/>
        </w:rPr>
        <w:t>The thesis makes three coordinated contributions. First, it presents Profile C, a single memory engine that composes five cognitive-memory theories — the multi-store model, the Ebbinghaus forgetting curve, Tulving's episodic–semantic distinction, fuzzy-trace theory, and the complementary learning systems framework — into one coherent lifecycle of salience-gated encoding, gist-and-anchor representation, lazy decay with reinforcement, offline episodic-to-semantic consolidation, and gist-first retrieval, with each stage tied to an observable behavioral signature rather than to a claim of cognitive fidelity. Second, and methodologically most significant, it introduces the B+ active control: a curated-static memory condition that receives the same offline gisting and cleanup as Profile C but none of its human-memory dynamics, thereby isolating the effect of the dynamics from the generic legibility gains of language-model curation — the confound that would otherwise make any positive result for a human-like memory uninterpretable. Third, it delivers a proof-of-concept implementation of all four conditions and a two-track technical and simulated evaluation that demonstrates the architecture's mechanisms and probes their perceptual consequences.</w:t>
      </w:r>
    </w:p>
    <w:p>
      <w:pPr>
        <w:pStyle w:val="Heading2"/>
        <w:numPr>
          <w:numId w:val="0"/>
        </w:numPr>
        <w:spacing w:before="160" w:after="80"/>
        <w:jc w:val="center"/>
      </w:pPr>
      <w:r>
        <w:rPr>
          <w:rFonts w:ascii="Sylfaen" w:hAnsi="Sylfaen" w:cs="Sylfaen"/>
          <w:b/>
          <w:color w:val="000000"/>
          <w:sz w:val="28"/>
          <w:lang w:val="en-US"/>
        </w:rPr>
        <w:t>5.2 Summary of findings</w:t>
      </w:r>
    </w:p>
    <w:p>
      <w:pPr>
        <w:jc w:val="both"/>
      </w:pPr>
      <w:r>
        <w:rPr>
          <w:rFonts w:ascii="Sylfaen" w:hAnsi="Sylfaen" w:cs="Sylfaen"/>
          <w:b w:val="0"/>
          <w:sz w:val="24"/>
          <w:lang w:val="en-US"/>
        </w:rPr>
        <w:t>The proof-of-concept established that the architecture is implementable and that its mechanisms behave as designed and are distinguishable in observable behavior: memory is necessary for cross-session recall; Profile C alone forgets gracefully and selectively — retaining salient facts while letting trivia fade — and alone consolidates recurring episodes into durable semantic knowledge, at a leaner context footprint and at latency parity with the baselines. In the simulated-perception track, Profile C did not exceed the B+ curation control on any construct, corroborating in simulation the a-priori analysis that the marginal perceptual contribution of human-memory dynamics over clean curation is small. Most consequentially, on the one construct with a strong replicated human effect — the intrusiveness of verbatim recall — the simulated judge produced the opposite ordering to the human literature, demonstrating by counterexample that an LLM judge cannot substitute for human perception on stakes-dependent constructs such as privacy and trust. The evaluation therefore does not merely defer the human study; it shows empirically why that study is necessary.</w:t>
      </w:r>
    </w:p>
    <w:p>
      <w:pPr>
        <w:pStyle w:val="Heading2"/>
        <w:numPr>
          <w:numId w:val="0"/>
        </w:numPr>
        <w:spacing w:before="160" w:after="80"/>
        <w:jc w:val="center"/>
      </w:pPr>
      <w:r>
        <w:rPr>
          <w:rFonts w:ascii="Sylfaen" w:hAnsi="Sylfaen" w:cs="Sylfaen"/>
          <w:b/>
          <w:color w:val="000000"/>
          <w:sz w:val="28"/>
          <w:lang w:val="en-US"/>
        </w:rPr>
        <w:t>5.3 Future work</w:t>
      </w:r>
    </w:p>
    <w:p>
      <w:pPr>
        <w:jc w:val="both"/>
      </w:pPr>
      <w:r>
        <w:rPr>
          <w:rFonts w:ascii="Sylfaen" w:hAnsi="Sylfaen" w:cs="Sylfaen"/>
          <w:b w:val="0"/>
          <w:sz w:val="24"/>
          <w:lang w:val="en-US"/>
        </w:rPr>
        <w:t>Three lines of work follow directly. The first is the full system build: integrating Profile C into the live voice pipeline, resolving the deployability constraints identified in the platform audit (participant isolation, packaging, a single chosen conversational brain), and implementing the mechanisms currently at reduced fidelity — Bayesian-surprise event segmentation, associative pre-expansion, and the deterministic exact-recall trigger. The second is the human-subject study specified in 3.5(c): a pre-registered, within-subject comparison of B, B+, and C at the field's normative sample size, powered for the comparisons where power is attainable and treating the central C-versus-B+ contrast as an estimation target, with warm attributable forgetting, late-window analysis, event-sensitive and behavioral measures, and coded interviews as the design's answer to a likely small or null primary effect. The third is theoretical extension: incorporating the memory phenomena the present architecture deliberately omits — interference as a forgetting mechanism, the reconstructive and schema-driven distortion that fuzzy-trace and complementary learning systems most distinctively predict, and richer temporal-order and source memory — each of which is both a fidelity gap and a concrete hypothesis about what would make an interlocutor feel more human. Taken together, these complete the evolution from assistant to interlocutor that this thesis has designed, built in miniature, and shown how to measure.</w:t>
      </w:r>
    </w:p>
    <w:p>
      <w:pPr>
        <w:pStyle w:val="Heading1"/>
        <w:pageBreakBefore/>
        <w:numPr>
          <w:numId w:val="0"/>
        </w:numPr>
        <w:spacing w:before="360" w:after="80"/>
        <w:jc w:val="center"/>
      </w:pPr>
      <w:r>
        <w:rPr>
          <w:rFonts w:ascii="Sylfaen" w:hAnsi="Sylfaen" w:cs="Sylfaen"/>
          <w:b/>
          <w:color w:val="000000"/>
          <w:sz w:val="28"/>
          <w:lang w:val="en-US"/>
        </w:rPr>
        <w:t>Bibliography</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en-US"/>
        </w:rPr>
        <w:t xml:space="preserve"> - last verified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en-US"/>
        </w:rPr>
        <w:t xml:space="preserve"> - last verified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