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en-US"/>
        </w:rPr>
        <w:t>Aleksandre Imnaishvili</w:t>
      </w:r>
    </w:p>
    <w:p>
      <w:pPr>
        <w:spacing w:line="240" w:lineRule="auto" w:after="0"/>
        <w:jc w:val="center"/>
      </w:pPr>
    </w:p>
    <w:p>
      <w:pPr>
        <w:spacing w:line="240" w:lineRule="auto" w:after="0"/>
        <w:jc w:val="center"/>
      </w:pPr>
      <w:r>
        <w:rPr>
          <w:rFonts w:ascii="Sylfaen" w:hAnsi="Sylfaen" w:cs="Sylfaen"/>
          <w:b/>
          <w:sz w:val="32"/>
          <w:lang w:val="en-US"/>
        </w:rPr>
        <w:t>Conversational AI: The Evolution from Assistant to Interlocutor</w:t>
      </w:r>
    </w:p>
    <w:p>
      <w:pPr>
        <w:spacing w:line="240" w:lineRule="auto" w:after="0"/>
        <w:jc w:val="center"/>
      </w:pPr>
    </w:p>
    <w:p>
      <w:pPr>
        <w:spacing w:line="240" w:lineRule="auto" w:after="0"/>
        <w:jc w:val="center"/>
      </w:pPr>
      <w:r>
        <w:rPr>
          <w:rFonts w:ascii="Sylfaen" w:hAnsi="Sylfaen" w:cs="Sylfaen"/>
          <w:b/>
          <w:sz w:val="28"/>
          <w:lang w:val="en-US"/>
        </w:rPr>
        <w:t>Code: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en-US"/>
        </w:rPr>
        <w:t>Georgian Technical University</w:t>
      </w:r>
    </w:p>
    <w:p>
      <w:pPr>
        <w:spacing w:line="240" w:lineRule="auto" w:after="0"/>
        <w:jc w:val="center"/>
      </w:pPr>
      <w:r>
        <w:rPr>
          <w:rFonts w:ascii="Sylfaen" w:hAnsi="Sylfaen" w:cs="Sylfaen"/>
          <w:b w:val="0"/>
          <w:sz w:val="24"/>
          <w:lang w:val="en-US"/>
        </w:rPr>
        <w:t>Tbilisi, 0160, Georgia</w:t>
      </w:r>
    </w:p>
    <w:p>
      <w:pPr>
        <w:spacing w:line="240" w:lineRule="auto" w:after="0"/>
        <w:jc w:val="center"/>
      </w:pPr>
      <w:r>
        <w:rPr>
          <w:rFonts w:ascii="Sylfaen" w:hAnsi="Sylfaen" w:cs="Sylfaen"/>
          <w:b w:val="0"/>
          <w:sz w:val="24"/>
          <w:lang w:val="en-US"/>
        </w:rPr>
        <w:t>July 2026</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Introduction</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Literature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2.1 Scope and structure of the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2.2 Theoretical foundations: models of human memory</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2.3 Long-term memory for LLM agents: three waves</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2.4 The bridge: from memory theory to memory architecture</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2.5 Evaluating conversational memory: benchmarks and their limits</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2.6 From assistant to interlocutor: memory and perceived relationship</w:t>
      </w:r>
      <w:r>
        <w:rPr>
          <w:rFonts w:ascii="Sylfaen" w:hAnsi="Sylfaen"/>
          <w:sz w:val="24"/>
        </w:rPr>
        <w:tab/>
      </w:r>
      <w:r>
        <w:rPr>
          <w:rFonts w:ascii="Sylfaen" w:hAnsi="Sylfaen"/>
          <w:sz w:val="24"/>
        </w:rPr>
        <w:t>21</w:t>
      </w:r>
    </w:p>
    <w:p>
      <w:pPr>
        <w:tabs>
          <w:tab w:pos="8323" w:val="right" w:leader="dot"/>
        </w:tabs>
        <w:spacing w:line="240" w:lineRule="auto" w:before="0" w:after="0"/>
        <w:ind w:left="454"/>
      </w:pPr>
      <w:r>
        <w:rPr>
          <w:rFonts w:ascii="Sylfaen" w:hAnsi="Sylfaen"/>
          <w:sz w:val="24"/>
        </w:rPr>
        <w:t>2.7 Open problems and limitations</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2.8 The place of the present work</w:t>
      </w:r>
      <w:r>
        <w:rPr>
          <w:rFonts w:ascii="Sylfaen" w:hAnsi="Sylfaen"/>
          <w:sz w:val="24"/>
        </w:rPr>
        <w:tab/>
      </w:r>
      <w:r>
        <w:rPr>
          <w:rFonts w:ascii="Sylfaen" w:hAnsi="Sylfaen"/>
          <w:sz w:val="24"/>
        </w:rPr>
        <w:t>23</w:t>
      </w:r>
    </w:p>
    <w:p>
      <w:pPr>
        <w:tabs>
          <w:tab w:pos="8323" w:val="right" w:leader="dot"/>
        </w:tabs>
        <w:spacing w:line="240" w:lineRule="auto" w:before="0" w:after="0"/>
        <w:ind w:left="0"/>
      </w:pPr>
      <w:r>
        <w:rPr>
          <w:rFonts w:ascii="Sylfaen" w:hAnsi="Sylfaen"/>
          <w:sz w:val="24"/>
        </w:rPr>
        <w:t>3. Research Methods</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3.1 Research design and contribution</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3.2 The Profile C memory architecture</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3.3 Experimental conditions (A / B / B+ / C)</w:t>
      </w:r>
      <w:r>
        <w:rPr>
          <w:rFonts w:ascii="Sylfaen" w:hAnsi="Sylfaen"/>
          <w:sz w:val="24"/>
        </w:rPr>
        <w:tab/>
      </w:r>
      <w:r>
        <w:rPr>
          <w:rFonts w:ascii="Sylfaen" w:hAnsi="Sylfaen"/>
          <w:sz w:val="24"/>
        </w:rPr>
        <w:t>29</w:t>
      </w:r>
    </w:p>
    <w:p>
      <w:pPr>
        <w:tabs>
          <w:tab w:pos="8323" w:val="right" w:leader="dot"/>
        </w:tabs>
        <w:spacing w:line="240" w:lineRule="auto" w:before="0" w:after="0"/>
        <w:ind w:left="454"/>
      </w:pPr>
      <w:r>
        <w:rPr>
          <w:rFonts w:ascii="Sylfaen" w:hAnsi="Sylfaen"/>
          <w:sz w:val="24"/>
        </w:rPr>
        <w:t>3.4 Proof-of-concept implementation</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3.5 Evaluation methodology</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3.6 Measures and instruments</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3.7 Analysis plan</w:t>
      </w:r>
      <w:r>
        <w:rPr>
          <w:rFonts w:ascii="Sylfaen" w:hAnsi="Sylfaen"/>
          <w:sz w:val="24"/>
        </w:rPr>
        <w:tab/>
      </w:r>
      <w:r>
        <w:rPr>
          <w:rFonts w:ascii="Sylfaen" w:hAnsi="Sylfaen"/>
          <w:sz w:val="24"/>
        </w:rPr>
        <w:t>34</w:t>
      </w:r>
    </w:p>
    <w:p>
      <w:pPr>
        <w:tabs>
          <w:tab w:pos="8323" w:val="right" w:leader="dot"/>
        </w:tabs>
        <w:spacing w:line="240" w:lineRule="auto" w:before="0" w:after="0"/>
        <w:ind w:left="454"/>
      </w:pPr>
      <w:r>
        <w:rPr>
          <w:rFonts w:ascii="Sylfaen" w:hAnsi="Sylfaen"/>
          <w:sz w:val="24"/>
        </w:rPr>
        <w:t>3.8 Ethical considerations and limitations</w:t>
      </w:r>
      <w:r>
        <w:rPr>
          <w:rFonts w:ascii="Sylfaen" w:hAnsi="Sylfaen"/>
          <w:sz w:val="24"/>
        </w:rPr>
        <w:tab/>
      </w:r>
      <w:r>
        <w:rPr>
          <w:rFonts w:ascii="Sylfaen" w:hAnsi="Sylfaen"/>
          <w:sz w:val="24"/>
        </w:rPr>
        <w:t>35</w:t>
      </w:r>
    </w:p>
    <w:p>
      <w:pPr>
        <w:tabs>
          <w:tab w:pos="8323" w:val="right" w:leader="dot"/>
        </w:tabs>
        <w:spacing w:line="240" w:lineRule="auto" w:before="0" w:after="0"/>
        <w:ind w:left="0"/>
      </w:pPr>
      <w:r>
        <w:rPr>
          <w:rFonts w:ascii="Sylfaen" w:hAnsi="Sylfaen"/>
          <w:sz w:val="24"/>
        </w:rPr>
        <w:t>4. Results and Discussion</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4.1 Proof-of-concept: scope and fidelity</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4.2 Technical results</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4.3 Simulated-perception results</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4.4 Discussion</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4.5 Limitations of the evaluation</w:t>
      </w:r>
      <w:r>
        <w:rPr>
          <w:rFonts w:ascii="Sylfaen" w:hAnsi="Sylfaen"/>
          <w:sz w:val="24"/>
        </w:rPr>
        <w:tab/>
      </w:r>
      <w:r>
        <w:rPr>
          <w:rFonts w:ascii="Sylfaen" w:hAnsi="Sylfaen"/>
          <w:sz w:val="24"/>
        </w:rPr>
        <w:t>41</w:t>
      </w:r>
    </w:p>
    <w:p>
      <w:pPr>
        <w:tabs>
          <w:tab w:pos="8323" w:val="right" w:leader="dot"/>
        </w:tabs>
        <w:spacing w:line="240" w:lineRule="auto" w:before="0" w:after="0"/>
        <w:ind w:left="0"/>
      </w:pPr>
      <w:r>
        <w:rPr>
          <w:rFonts w:ascii="Sylfaen" w:hAnsi="Sylfaen"/>
          <w:sz w:val="24"/>
        </w:rPr>
        <w:t>5. Conclusion</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5.1 Summary of contributions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5.2 Summary of findings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5.3 Future work</w:t>
      </w:r>
      <w:r>
        <w:rPr>
          <w:rFonts w:ascii="Sylfaen" w:hAnsi="Sylfaen"/>
          <w:sz w:val="24"/>
        </w:rPr>
        <w:tab/>
      </w:r>
      <w:r>
        <w:rPr>
          <w:rFonts w:ascii="Sylfaen" w:hAnsi="Sylfaen"/>
          <w:sz w:val="24"/>
        </w:rPr>
        <w:t>43</w:t>
      </w:r>
    </w:p>
    <w:p>
      <w:pPr>
        <w:tabs>
          <w:tab w:pos="8323" w:val="right" w:leader="dot"/>
        </w:tabs>
        <w:spacing w:line="240" w:lineRule="auto" w:before="0" w:after="0"/>
        <w:ind w:left="0"/>
      </w:pPr>
      <w:r>
        <w:rPr>
          <w:rFonts w:ascii="Sylfaen" w:hAnsi="Sylfaen"/>
          <w:sz w:val="24"/>
        </w:rPr>
        <w:t>Bibliography</w:t>
      </w:r>
      <w:r>
        <w:rPr>
          <w:rFonts w:ascii="Sylfaen" w:hAnsi="Sylfaen"/>
          <w:sz w:val="24"/>
        </w:rPr>
        <w:tab/>
      </w:r>
      <w:r>
        <w:rPr>
          <w:rFonts w:ascii="Sylfaen" w:hAnsi="Sylfaen"/>
          <w:sz w:val="24"/>
        </w:rPr>
        <w:t>44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en-US"/>
        </w:rPr>
        <w:t>Table 2.1. Human-memory theories and their corresponding LLM-agent implementations</w:t>
      </w:r>
    </w:p>
    <w:p>
      <w:pPr/>
      <w:r>
        <w:rPr>
          <w:rFonts w:ascii="Sylfaen" w:hAnsi="Sylfaen" w:cs="Sylfaen"/>
          <w:b w:val="0"/>
          <w:sz w:val="24"/>
          <w:lang w:val="en-US"/>
        </w:rPr>
        <w:t>Table 3.1. Confound control in the experimental design</w:t>
      </w:r>
    </w:p>
    <w:p>
      <w:pPr/>
      <w:r>
        <w:rPr>
          <w:rFonts w:ascii="Sylfaen" w:hAnsi="Sylfaen" w:cs="Sylfaen"/>
          <w:b w:val="0"/>
          <w:sz w:val="24"/>
          <w:lang w:val="en-US"/>
        </w:rPr>
        <w:t>Table 4.1. Proof-of-concept fidelity against the full architecture of 3.2</w:t>
      </w:r>
    </w:p>
    <w:p>
      <w:pPr/>
      <w:r>
        <w:rPr>
          <w:rFonts w:ascii="Sylfaen" w:hAnsi="Sylfaen" w:cs="Sylfaen"/>
          <w:b w:val="0"/>
          <w:sz w:val="24"/>
          <w:lang w:val="en-US"/>
        </w:rPr>
        <w:t>Table 4.2. Cross-session recall accuracy by probe type</w:t>
      </w:r>
    </w:p>
    <w:p>
      <w:pPr/>
      <w:r>
        <w:rPr>
          <w:rFonts w:ascii="Sylfaen" w:hAnsi="Sylfaen" w:cs="Sylfaen"/>
          <w:b w:val="0"/>
          <w:sz w:val="24"/>
          <w:lang w:val="en-US"/>
        </w:rPr>
        <w:t>Table 4.3. Simulated-perception mean ratings by construct</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en-US"/>
        </w:rPr>
        <w:t>1. Introduction</w:t>
      </w:r>
    </w:p>
    <w:p>
      <w:pPr>
        <w:jc w:val="both"/>
      </w:pPr>
      <w:r>
        <w:rPr>
          <w:rFonts w:ascii="Sylfaen" w:hAnsi="Sylfaen" w:cs="Sylfaen"/>
          <w:b/>
          <w:sz w:val="24"/>
          <w:lang w:val="en-US"/>
        </w:rPr>
        <w:t xml:space="preserve">Research problem. </w:t>
      </w:r>
      <w:r>
        <w:rPr>
          <w:rFonts w:ascii="Sylfaen" w:hAnsi="Sylfaen" w:cs="Sylfaen"/>
          <w:b w:val="0"/>
          <w:sz w:val="24"/>
          <w:lang w:val="en-US"/>
        </w:rPr>
        <w:t>Conversational systems built on large language models (LLMs) have in recent years demonstrated human-comparable linguistic competence within a single dialogue session, yet one of their fundamental limitations persists: such systems fail to maintain a continuous, evolving context of interaction over the long term. Empirical evidence renders this deficit precisely: on LoCoMo, a benchmark comprising long conversations distributed across up to 35 sessions, long-context models and RAG approaches trail human performance by 56% overall and by 73% on temporal reasoning [1]. The LongMemEval benchmark confirms a 30% drop in information-recall accuracy for commercial conversational assistants under sustained interaction [2].</w:t>
      </w:r>
    </w:p>
    <w:p>
      <w:pPr>
        <w:jc w:val="both"/>
      </w:pPr>
      <w:r>
        <w:rPr>
          <w:rFonts w:ascii="Sylfaen" w:hAnsi="Sylfaen" w:cs="Sylfaen"/>
          <w:b w:val="0"/>
          <w:sz w:val="24"/>
          <w:lang w:val="en-US"/>
        </w:rPr>
        <w:t>This technical deficit translates directly into user experience. In the context of so-called "companion" applications (Replika, Character.AI), a qualitative study of Replika users shows that memory failure — forgetting names, preferences, and life events — is among the principal factors that break the user's sense of relationship [3]. At the same time, when a system's behavior changes abruptly, users exhibit reactions that are statistically mediated by the agent's perceived identity discontinuity [4]. Taken together, these two independent findings give grounds to hypothesize that memory continuity underlies perceived identity and, by extension, the continuity of the relationship — a hypothesis whose experimental examination this thesis designs and specifies as future work.</w:t>
      </w:r>
    </w:p>
    <w:p>
      <w:pPr>
        <w:jc w:val="both"/>
      </w:pPr>
      <w:r>
        <w:rPr>
          <w:rFonts w:ascii="Sylfaen" w:hAnsi="Sylfaen" w:cs="Sylfaen"/>
          <w:b w:val="0"/>
          <w:sz w:val="24"/>
          <w:lang w:val="en-US"/>
        </w:rPr>
        <w:t>The research problem is therefore two-dimensional: (a) technical — how relevant information should be represented, stored, and retrieved across multi-session interaction; and (b) perceptual — which memory behaviors users experience as natural and relationship-reinforcing. The existing literature treats these two dimensions largely in isolation: memory architectures are evaluated with factual-accuracy (QA) metrics, while perception studies treat memory as an isolated manipulation on a single system. The intersection of these two dimensions constitutes the research space of the present work.</w:t>
      </w:r>
    </w:p>
    <w:p>
      <w:pPr>
        <w:jc w:val="both"/>
      </w:pPr>
      <w:r>
        <w:rPr>
          <w:rFonts w:ascii="Sylfaen" w:hAnsi="Sylfaen" w:cs="Sylfaen"/>
          <w:b w:val="0"/>
          <w:sz w:val="24"/>
          <w:lang w:val="en-US"/>
        </w:rPr>
        <w:t>The object of research is LLM-based voice conversational systems. The subject of research is the effect of long-term memory architecture on user-perceived social constructs.</w:t>
      </w:r>
    </w:p>
    <w:p>
      <w:pPr>
        <w:jc w:val="both"/>
      </w:pPr>
      <w:r>
        <w:rPr>
          <w:rFonts w:ascii="Sylfaen" w:hAnsi="Sylfaen" w:cs="Sylfaen"/>
          <w:b/>
          <w:sz w:val="24"/>
          <w:lang w:val="en-US"/>
        </w:rPr>
        <w:t xml:space="preserve">Research aim. </w:t>
      </w:r>
      <w:r>
        <w:rPr>
          <w:rFonts w:ascii="Sylfaen" w:hAnsi="Sylfaen" w:cs="Sylfaen"/>
          <w:b w:val="0"/>
          <w:sz w:val="24"/>
          <w:lang w:val="en-US"/>
        </w:rPr>
        <w:t>The aim of this work is to develop a long-term memory architecture for a voice conversational system, grounded in cognitive theories of human memory, and to evaluate experimentally its effect on user-perceived social constructs — social presence, user–agent alliance, and perceived humanlikeness — through a controlled comparative study.</w:t>
      </w:r>
    </w:p>
    <w:p>
      <w:pPr>
        <w:jc w:val="both"/>
      </w:pPr>
      <w:r>
        <w:rPr>
          <w:rFonts w:ascii="Sylfaen" w:hAnsi="Sylfaen" w:cs="Sylfaen"/>
          <w:b w:val="0"/>
          <w:sz w:val="24"/>
          <w:lang w:val="en-US"/>
        </w:rPr>
        <w:t>To achieve this aim, the following objectives are set:</w:t>
      </w:r>
    </w:p>
    <w:p>
      <w:pPr>
        <w:jc w:val="both"/>
      </w:pPr>
      <w:r>
        <w:rPr>
          <w:rFonts w:ascii="Sylfaen" w:hAnsi="Sylfaen" w:cs="Sylfaen"/>
          <w:b w:val="0"/>
          <w:sz w:val="24"/>
          <w:lang w:val="en-US"/>
        </w:rPr>
        <w:t>1. a systematic analysis of existing approaches to long-term conversational memory and of their cognitive-theoretical foundations;</w:t>
      </w:r>
    </w:p>
    <w:p>
      <w:pPr>
        <w:jc w:val="both"/>
      </w:pPr>
      <w:r>
        <w:rPr>
          <w:rFonts w:ascii="Sylfaen" w:hAnsi="Sylfaen" w:cs="Sylfaen"/>
          <w:b w:val="0"/>
          <w:sz w:val="24"/>
          <w:lang w:val="en-US"/>
        </w:rPr>
        <w:t>2. formalization of the behavioral signatures of the selected theories (the multi-store model, the Ebbinghaus forgetting curve, the episodic/semantic memory distinction, gist-based recall, and the complementary learning systems / consolidation framework) and their transformation into architectural components;</w:t>
      </w:r>
    </w:p>
    <w:p>
      <w:pPr>
        <w:jc w:val="both"/>
      </w:pPr>
      <w:r>
        <w:rPr>
          <w:rFonts w:ascii="Sylfaen" w:hAnsi="Sylfaen" w:cs="Sylfaen"/>
          <w:b w:val="0"/>
          <w:sz w:val="24"/>
          <w:lang w:val="en-US"/>
        </w:rPr>
        <w:t>3. implementation of the architecture as mutually comparable experimental profiles: (A) no long-term memory, (B) verbatim-retrieval RAG, (B+) a curated-static active control, and (C) a profile modeled on human memory;</w:t>
      </w:r>
    </w:p>
    <w:p>
      <w:pPr>
        <w:jc w:val="both"/>
      </w:pPr>
      <w:r>
        <w:rPr>
          <w:rFonts w:ascii="Sylfaen" w:hAnsi="Sylfaen" w:cs="Sylfaen"/>
          <w:b w:val="0"/>
          <w:sz w:val="24"/>
          <w:lang w:val="en-US"/>
        </w:rPr>
        <w:t>4. specification of a pre-registered within-subject user-study protocol with validated instruments [14], designed in full but deferred to future work;</w:t>
      </w:r>
    </w:p>
    <w:p>
      <w:pPr>
        <w:jc w:val="both"/>
      </w:pPr>
      <w:r>
        <w:rPr>
          <w:rFonts w:ascii="Sylfaen" w:hAnsi="Sylfaen" w:cs="Sylfaen"/>
          <w:b w:val="0"/>
          <w:sz w:val="24"/>
          <w:lang w:val="en-US"/>
        </w:rPr>
        <w:t>5. a proof-of-concept implementation and its technical and simulated evaluation, with memory-design recommendations for interlocutor systems to be confirmed by the deferred study.</w:t>
      </w:r>
    </w:p>
    <w:p>
      <w:pPr>
        <w:jc w:val="both"/>
      </w:pPr>
      <w:r>
        <w:rPr>
          <w:rFonts w:ascii="Sylfaen" w:hAnsi="Sylfaen" w:cs="Sylfaen"/>
          <w:b w:val="0"/>
          <w:sz w:val="24"/>
          <w:lang w:val="en-US"/>
        </w:rPr>
        <w:t>Primary research question and hypotheses. The study distinguishes three primary social constructs (the dependent variables named in the aim) from two secondary, exploratory predictions:</w:t>
      </w:r>
    </w:p>
    <w:p>
      <w:pPr>
        <w:jc w:val="both"/>
      </w:pPr>
      <w:r>
        <w:rPr>
          <w:rFonts w:ascii="Sylfaen" w:hAnsi="Sylfaen" w:cs="Sylfaen"/>
          <w:b w:val="0"/>
          <w:sz w:val="24"/>
          <w:lang w:val="en-US"/>
        </w:rPr>
        <w:t>•  RQ1: Does a memory architecture grounded in theories of human memory strengthen perceived social presence, user–agent alliance, and perceived humanlikeness, relative to an approach based on verbatim retrieval?</w:t>
      </w:r>
    </w:p>
    <w:p>
      <w:pPr>
        <w:jc w:val="both"/>
      </w:pPr>
      <w:r>
        <w:rPr>
          <w:rFonts w:ascii="Sylfaen" w:hAnsi="Sylfaen" w:cs="Sylfaen"/>
          <w:b w:val="0"/>
          <w:sz w:val="24"/>
          <w:lang w:val="en-US"/>
        </w:rPr>
        <w:t>•  H1 (primary): the theory-grounded profile (C) outperforms verbatim RAG (B) on all three primary constructs — social presence, user–agent alliance, and perceived humanlikeness.</w:t>
      </w:r>
    </w:p>
    <w:p>
      <w:pPr>
        <w:jc w:val="both"/>
      </w:pPr>
      <w:r>
        <w:rPr>
          <w:rFonts w:ascii="Sylfaen" w:hAnsi="Sylfaen" w:cs="Sylfaen"/>
          <w:b w:val="0"/>
          <w:sz w:val="24"/>
          <w:lang w:val="en-US"/>
        </w:rPr>
        <w:t>•  H2a (secondary): verbatim RAG (B) scores highest on perceived intelligence (Godspeed).</w:t>
      </w:r>
    </w:p>
    <w:p>
      <w:pPr>
        <w:jc w:val="both"/>
      </w:pPr>
      <w:r>
        <w:rPr>
          <w:rFonts w:ascii="Sylfaen" w:hAnsi="Sylfaen" w:cs="Sylfaen"/>
          <w:b w:val="0"/>
          <w:sz w:val="24"/>
          <w:lang w:val="en-US"/>
        </w:rPr>
        <w:t>•  H2b (secondary): verbatim RAG (B) scores lowest on trust and privacy-related comfort (Cox-style items) — a conjecture extrapolated from text-modality results [11] to the voice modality.</w:t>
      </w:r>
    </w:p>
    <w:p>
      <w:pPr>
        <w:jc w:val="both"/>
      </w:pPr>
      <w:r>
        <w:rPr>
          <w:rFonts w:ascii="Sylfaen" w:hAnsi="Sylfaen" w:cs="Sylfaen"/>
          <w:b w:val="0"/>
          <w:sz w:val="24"/>
          <w:lang w:val="en-US"/>
        </w:rPr>
        <w:t>The comparison additionally includes a curated-static active control (B+): a memory that receives the same offline curation as C but none of its human-memory dynamics (no decay, no salience-gating, no consolidation). The contrast C versus B+ — which isolates the effect of the human-memory dynamics from the mere legibility gains of curation — is the central novel comparison of this thesis; as established in 3.1, it is by construction a small effect and is treated as a pre-registered estimation target rather than a confirmatory test, distinct from the better-powered comparisons (C vs A, and directional B+ vs B and C vs B).</w:t>
      </w:r>
    </w:p>
    <w:p>
      <w:pPr>
        <w:jc w:val="both"/>
      </w:pPr>
      <w:r>
        <w:rPr>
          <w:rFonts w:ascii="Sylfaen" w:hAnsi="Sylfaen" w:cs="Sylfaen"/>
          <w:b w:val="0"/>
          <w:sz w:val="24"/>
          <w:lang w:val="en-US"/>
        </w:rPr>
        <w:t>Of the three properties by which 1.5 distinguishes an interlocutor from an assistant, the memory manipulation bears on context persistence and identity continuity; the third — initiative — is operationalized only in an optional proactive condition and is therefore tested only if that condition is included.</w:t>
      </w:r>
    </w:p>
    <w:p>
      <w:pPr>
        <w:jc w:val="both"/>
      </w:pPr>
      <w:r>
        <w:rPr>
          <w:rFonts w:ascii="Sylfaen" w:hAnsi="Sylfaen" w:cs="Sylfaen"/>
          <w:b w:val="0"/>
          <w:sz w:val="24"/>
          <w:lang w:val="en-US"/>
        </w:rPr>
        <w:t>Linguistic scope of the study: the system and the experiments are conducted in English, a choice dictated by the current level of maturity of Georgian speech-recognition technology; accordingly, the perceptual conclusions apply directly to the tested language condition, while a Georgian-language demonstration is discussed in the future-work section. The interaction modality is likewise held constant — voice throughout, with no text arm — so the study examines memory-architecture effects within the voice setting rather than any voice-versus-text difference.</w:t>
      </w:r>
    </w:p>
    <w:p>
      <w:pPr>
        <w:jc w:val="both"/>
      </w:pPr>
      <w:r>
        <w:rPr>
          <w:rFonts w:ascii="Sylfaen" w:hAnsi="Sylfaen" w:cs="Sylfaen"/>
          <w:b/>
          <w:sz w:val="24"/>
          <w:lang w:val="en-US"/>
        </w:rPr>
        <w:t xml:space="preserve">Relevance of the problem. </w:t>
      </w:r>
      <w:r>
        <w:rPr>
          <w:rFonts w:ascii="Sylfaen" w:hAnsi="Sylfaen" w:cs="Sylfaen"/>
          <w:b w:val="0"/>
          <w:sz w:val="24"/>
          <w:lang w:val="en-US"/>
        </w:rPr>
        <w:t>The relevance of the problem is determined by three mutually independent factors. First — industrial: in 2025–2026, leading vendors (OpenAI, Anthropic) either deployed background memory-consolidation mechanisms in commercial products or presented them as public research previews [18, 19], which suggests that long-term memory is regarded by the field itself as a central unsolved problem. It is notable, moreover, that no peer-reviewed publications accompany these systems — which makes the need for academic study all the more acute. Second — social: prolonged, personal interaction with conversational systems has become a widespread practice [5], which turns the perceptual effects of memory into a socially significant question. Third — methodological: every major long-term-memory benchmark known to us (LoCoMo, LongMemEval, MSC) is designed for the text modality [1, 2, 35]; under voice interaction — where response latency is strictly bounded in real time — the behavior of memory architectures and their perceptual effects remain practically unstudied.</w:t>
      </w:r>
    </w:p>
    <w:p>
      <w:pPr>
        <w:jc w:val="both"/>
      </w:pPr>
      <w:r>
        <w:rPr>
          <w:rFonts w:ascii="Sylfaen" w:hAnsi="Sylfaen" w:cs="Sylfaen"/>
          <w:b/>
          <w:sz w:val="24"/>
          <w:lang w:val="en-US"/>
        </w:rPr>
        <w:t xml:space="preserve">Practical value of the research. </w:t>
      </w:r>
      <w:r>
        <w:rPr>
          <w:rFonts w:ascii="Sylfaen" w:hAnsi="Sylfaen" w:cs="Sylfaen"/>
          <w:b w:val="0"/>
          <w:sz w:val="24"/>
          <w:lang w:val="en-US"/>
        </w:rPr>
        <w:t>The research will produce:</w:t>
      </w:r>
    </w:p>
    <w:p>
      <w:pPr>
        <w:jc w:val="both"/>
      </w:pPr>
      <w:r>
        <w:rPr>
          <w:rFonts w:ascii="Sylfaen" w:hAnsi="Sylfaen" w:cs="Sylfaen"/>
          <w:b w:val="0"/>
          <w:sz w:val="24"/>
          <w:lang w:val="en-US"/>
        </w:rPr>
        <w:t>•  a proof-of-concept memory harness implementing all four conditions over multi-session dialogue, together with a specified path to integrate it into the Voice Companion voice platform (future work);</w:t>
      </w:r>
    </w:p>
    <w:p>
      <w:pPr>
        <w:jc w:val="both"/>
      </w:pPr>
      <w:r>
        <w:rPr>
          <w:rFonts w:ascii="Sylfaen" w:hAnsi="Sylfaen" w:cs="Sylfaen"/>
          <w:b w:val="0"/>
          <w:sz w:val="24"/>
          <w:lang w:val="en-US"/>
        </w:rPr>
        <w:t>•  design recommendations — informed by a technical and simulated proof-of-concept, and to be empirically validated by the deferred human study — on which memory mechanisms strengthen or weaken the sense of relationship, as a guide for builders of conversational products;</w:t>
      </w:r>
    </w:p>
    <w:p>
      <w:pPr>
        <w:jc w:val="both"/>
      </w:pPr>
      <w:r>
        <w:rPr>
          <w:rFonts w:ascii="Sylfaen" w:hAnsi="Sylfaen" w:cs="Sylfaen"/>
          <w:b w:val="0"/>
          <w:sz w:val="24"/>
          <w:lang w:val="en-US"/>
        </w:rPr>
        <w:t>•  a reproducible experimental environment for comparing memory profiles.</w:t>
      </w:r>
    </w:p>
    <w:p>
      <w:pPr>
        <w:jc w:val="both"/>
      </w:pPr>
      <w:r>
        <w:rPr>
          <w:rFonts w:ascii="Sylfaen" w:hAnsi="Sylfaen" w:cs="Sylfaen"/>
          <w:b w:val="0"/>
          <w:sz w:val="24"/>
          <w:lang w:val="en-US"/>
        </w:rPr>
        <w:t>The results are relevant to the development of personal assistants as well as of conversational systems for educational and medical purposes.</w:t>
      </w:r>
    </w:p>
    <w:p>
      <w:pPr>
        <w:jc w:val="both"/>
      </w:pPr>
      <w:r>
        <w:rPr>
          <w:rFonts w:ascii="Sylfaen" w:hAnsi="Sylfaen" w:cs="Sylfaen"/>
          <w:b/>
          <w:sz w:val="24"/>
          <w:lang w:val="en-US"/>
        </w:rPr>
        <w:t xml:space="preserve">Theoretical value of the research. </w:t>
      </w:r>
      <w:r>
        <w:rPr>
          <w:rFonts w:ascii="Sylfaen" w:hAnsi="Sylfaen" w:cs="Sylfaen"/>
          <w:b w:val="0"/>
          <w:sz w:val="24"/>
          <w:lang w:val="en-US"/>
        </w:rPr>
        <w:t>The theoretical contribution of the work is threefold. First, it connects the memory theories of cognitive psychology with the engineering of LLM systems not at the level of metaphor but at the level of measurable behavioral signatures. Second, in the literature available to us no controlled study could be found that compares architectures grounded in different theories of human memory with respect to user-perceived social constructs — existing comparisons are confined to factual-accuracy metrics [1, 2], while perception studies treat memory as an isolated manipulation on a single system [11]; the present work aims to fill this gap by designing a controlled experiment and building the apparatus and methodology to run it. Third, the work proposes an operationalization of the distinction between an "assistant" and an "interlocutor" on the basis of three measurable properties — context persistence, identity continuity, and initiative — thereby transforming these notions from loosely defined terms into measurable categories.</w:t>
      </w:r>
    </w:p>
    <w:p>
      <w:pPr>
        <w:jc w:val="both"/>
      </w:pPr>
      <w:r>
        <w:rPr>
          <w:rFonts w:ascii="Sylfaen" w:hAnsi="Sylfaen" w:cs="Sylfaen"/>
          <w:b/>
          <w:sz w:val="24"/>
          <w:lang w:val="en-US"/>
        </w:rPr>
        <w:t xml:space="preserve">Structure of the work. </w:t>
      </w:r>
      <w:r>
        <w:rPr>
          <w:rFonts w:ascii="Sylfaen" w:hAnsi="Sylfaen" w:cs="Sylfaen"/>
          <w:b w:val="0"/>
          <w:sz w:val="24"/>
          <w:lang w:val="en-US"/>
        </w:rPr>
        <w:t>The work consists of five chapters: introduction, literature review, research methods, results and discussion, and conclusion. The literature review analyzes existing approaches to long-term conversational memory, their cognitive-theoretical foundations, and the limitations of evaluation methodology. The methods chapter describes the developed architecture, the experimental profiles, the proof-of-concept, and the design of the (deferred) user study. The results chapter reports the proof-of-concept implementation and its technical and simulated evaluation and discusses what they do and do not establish; the human-subject study is specified in the methods chapter as future work. The conclusion summarizes the findings and outlines directions for future research.</w:t>
      </w:r>
    </w:p>
    <w:p>
      <w:pPr>
        <w:pStyle w:val="Heading1"/>
        <w:pageBreakBefore/>
        <w:numPr>
          <w:numId w:val="0"/>
        </w:numPr>
        <w:spacing w:before="360" w:after="80"/>
        <w:jc w:val="center"/>
      </w:pPr>
      <w:r>
        <w:rPr>
          <w:rFonts w:ascii="Sylfaen" w:hAnsi="Sylfaen" w:cs="Sylfaen"/>
          <w:b/>
          <w:color w:val="000000"/>
          <w:sz w:val="28"/>
          <w:lang w:val="en-US"/>
        </w:rPr>
        <w:t>2. Literature Review</w:t>
      </w:r>
    </w:p>
    <w:p>
      <w:pPr>
        <w:pStyle w:val="Heading2"/>
        <w:numPr>
          <w:numId w:val="0"/>
        </w:numPr>
        <w:spacing w:before="160" w:after="80"/>
        <w:jc w:val="center"/>
      </w:pPr>
      <w:r>
        <w:rPr>
          <w:rFonts w:ascii="Sylfaen" w:hAnsi="Sylfaen" w:cs="Sylfaen"/>
          <w:b/>
          <w:color w:val="000000"/>
          <w:sz w:val="28"/>
          <w:lang w:val="en-US"/>
        </w:rPr>
        <w:t>2.1 Scope and structure of the review</w:t>
      </w:r>
    </w:p>
    <w:p>
      <w:pPr>
        <w:jc w:val="both"/>
      </w:pPr>
      <w:r>
        <w:rPr>
          <w:rFonts w:ascii="Sylfaen" w:hAnsi="Sylfaen" w:cs="Sylfaen"/>
          <w:b w:val="0"/>
          <w:sz w:val="24"/>
          <w:lang w:val="en-US"/>
        </w:rPr>
        <w:t>This chapter surveys the research on which the present work builds, across two fields that it deliberately joins. The first is the cognitive psychology of human memory: the theories that describe how people encode, retain, forget, and retrieve information, and — crucially for our purposes — the observable behavioral signatures each theory predicts. The second is the engineering of long-term memory for LLM-based conversational agents: the architectures, the benchmarks that measure them, and the human-subject studies that ask how memory shapes a user's relationship with a system. The review closes by locating the present work in the gap between these fields. The structure follows the four components required of a literature review: an analysis of existing research (2.3, 2.6), a review of the methods and technologies employed (2.2, 2.4), the open problems and limitations (2.5, 2.7), and the place of this work within the existing literature (2.8).</w:t>
      </w:r>
    </w:p>
    <w:p>
      <w:pPr>
        <w:pStyle w:val="Heading2"/>
        <w:numPr>
          <w:numId w:val="0"/>
        </w:numPr>
        <w:spacing w:before="160" w:after="80"/>
        <w:jc w:val="center"/>
      </w:pPr>
      <w:r>
        <w:rPr>
          <w:rFonts w:ascii="Sylfaen" w:hAnsi="Sylfaen" w:cs="Sylfaen"/>
          <w:b/>
          <w:color w:val="000000"/>
          <w:sz w:val="28"/>
          <w:lang w:val="en-US"/>
        </w:rPr>
        <w:t>2.2 Theoretical foundations: models of human memory</w:t>
      </w:r>
    </w:p>
    <w:p>
      <w:pPr>
        <w:jc w:val="both"/>
      </w:pPr>
      <w:r>
        <w:rPr>
          <w:rFonts w:ascii="Sylfaen" w:hAnsi="Sylfaen" w:cs="Sylfaen"/>
          <w:b w:val="0"/>
          <w:sz w:val="24"/>
          <w:lang w:val="en-US"/>
        </w:rPr>
        <w:t>A central premise of this work is that human memory is not a single store but a set of interacting systems, each with distinct dynamics — and that these dynamics, rather than serving as loose metaphors, can be read as design specifications with observable consequences. We therefore review the principal theories not as intellectual history but in terms of the behavioral signature each predicts: what a conversation partner equipped with that mechanism would visibly do, as experienced by a user.</w:t>
      </w:r>
    </w:p>
    <w:p>
      <w:pPr>
        <w:jc w:val="both"/>
      </w:pPr>
      <w:r>
        <w:rPr>
          <w:rFonts w:ascii="Sylfaen" w:hAnsi="Sylfaen" w:cs="Sylfaen"/>
          <w:b w:val="0"/>
          <w:sz w:val="24"/>
          <w:lang w:val="en-US"/>
        </w:rPr>
        <w:t>The multi-store model. On Atkinson and Shiffrin's account [20], memory forms a chain of three stores — sensory, short-term, and long-term — through which content moves only when control processes act on it; rehearsal is the decisive one, ushering attended material into durable storage while whatever passes unrehearsed simply fades. Its behavioral signature is a sharp asymmetry between what was merely heard and what was attended to and repeated — a partner built on this principle would retain emphasized or revisited information and lose what passed once and unremarked.</w:t>
      </w:r>
    </w:p>
    <w:p>
      <w:pPr>
        <w:jc w:val="both"/>
      </w:pPr>
      <w:r>
        <w:rPr>
          <w:rFonts w:ascii="Sylfaen" w:hAnsi="Sylfaen" w:cs="Sylfaen"/>
          <w:b w:val="0"/>
          <w:sz w:val="24"/>
          <w:lang w:val="en-US"/>
        </w:rPr>
        <w:t>Working memory. Baddeley and Hitch [21] recast the passive short-term store as an active, capacity-limited working memory whose specialized subsystems are marshalled by a central executive. For a conversational agent the relevant signature is intra-turn: only a few items can be held in active manipulation at once, which bears directly on the latency-bounded "working set" a voice agent can reason over before it must consult longer-term storage.</w:t>
      </w:r>
    </w:p>
    <w:p>
      <w:pPr>
        <w:jc w:val="both"/>
      </w:pPr>
      <w:r>
        <w:rPr>
          <w:rFonts w:ascii="Sylfaen" w:hAnsi="Sylfaen" w:cs="Sylfaen"/>
          <w:b w:val="0"/>
          <w:sz w:val="24"/>
          <w:lang w:val="en-US"/>
        </w:rPr>
        <w:t>The episodic–semantic distinction. Tulving [22] drew a line between remembering a particular happening one can place in one's own past ("last Tuesday you mentioned your deadline") and merely knowing a fact stripped of its original occasion ("you work under deadlines") — episodic versus semantic memory. The distinction is foundational for the present work because the two systems produce visibly different conversational behavior: an episodic partner recalls particular moments, while a semantic partner has distilled them into stable knowledge about the user. The transformation of the former into the latter — consolidation — is exactly the process a long-lived interlocutor system must perform to avoid drowning in undigested episodes.</w:t>
      </w:r>
    </w:p>
    <w:p>
      <w:pPr>
        <w:jc w:val="both"/>
      </w:pPr>
      <w:r>
        <w:rPr>
          <w:rFonts w:ascii="Sylfaen" w:hAnsi="Sylfaen" w:cs="Sylfaen"/>
          <w:b w:val="0"/>
          <w:sz w:val="24"/>
          <w:lang w:val="en-US"/>
        </w:rPr>
        <w:t>The forgetting curve. Ebbinghaus's nineteenth-century experiments [23] found that memory strength falls off approximately exponentially with the time since something was last rehearsed, and that spaced re-exposure blunts that decline. We adopt the forgetting curve with a clear caveat, anticipating an obvious objection: Ebbinghaus measured a single subject on nonsense syllables, and its ecological validity for semantically rich dialogue is limited. The present work therefore does not claim cognitive fidelity; it treats graceful, time-and-salience-dependent decay as an engineering-useful behavioral form, whose effect on user perception — not its psychological accuracy — is the object of study. Its signature is the graceful fading of unrepeated detail and the strengthening of what recurs.</w:t>
      </w:r>
    </w:p>
    <w:p>
      <w:pPr>
        <w:jc w:val="both"/>
      </w:pPr>
      <w:r>
        <w:rPr>
          <w:rFonts w:ascii="Sylfaen" w:hAnsi="Sylfaen" w:cs="Sylfaen"/>
          <w:b w:val="0"/>
          <w:sz w:val="24"/>
          <w:lang w:val="en-US"/>
        </w:rPr>
        <w:t>Fuzzy-trace theory. Reyna and Brainerd [24] hold that any experience leaves two independent imprints at once — a literal record of its surface form (verbatim) and a bottom-line record of its meaning (gist) — of which the latter lasts longer and more often steers judgment. This distinction bears directly on our research question: the verbatim/gist contrast maps onto a central empirical finding reviewed below — that literal, word-for-word recall by a chatbot can feel intrusive where paraphrased, gist-level recall does not [11]. A partner that remembers the meaning of what you said rather than your exact words exhibits a recognizably human signature, and one that may sidestep the discomfort of total recall.</w:t>
      </w:r>
    </w:p>
    <w:p>
      <w:pPr>
        <w:jc w:val="both"/>
      </w:pPr>
      <w:r>
        <w:rPr>
          <w:rFonts w:ascii="Sylfaen" w:hAnsi="Sylfaen" w:cs="Sylfaen"/>
          <w:b w:val="0"/>
          <w:sz w:val="24"/>
          <w:lang w:val="en-US"/>
        </w:rPr>
        <w:t>Consolidation: complementary learning systems and hippocampal indexing. Two neurocognitive theories describe how episodic experience becomes durable knowledge. On the complementary learning systems account [25], one system centred on the hippocampus grabs individual episodes quickly while a second, cortical system distils recurring structure only slowly, with offline replay ferrying what was captured into that slower store. The indexing theory [26] adds that the hippocampus need not hold the memories at all — it holds pointers back to the cortical patterns that composed them, so that a fragment of a cue can pull an entire memory back together. Both predict the same high-level behavioral signature — an agent that captures episodes quickly but reorganizes them into structured knowledge during periods away from interaction — and both, as 2.4 shows, have direct computational descendants.</w:t>
      </w:r>
    </w:p>
    <w:p>
      <w:pPr>
        <w:jc w:val="both"/>
      </w:pPr>
      <w:r>
        <w:rPr>
          <w:rFonts w:ascii="Sylfaen" w:hAnsi="Sylfaen" w:cs="Sylfaen"/>
          <w:b w:val="0"/>
          <w:sz w:val="24"/>
          <w:lang w:val="en-US"/>
        </w:rPr>
        <w:t>Table 2.1 (2.4) summarizes how each of these theories has been operationalized in recent LLM-agent systems; we first review those systems on their own terms.</w:t>
      </w:r>
    </w:p>
    <w:p>
      <w:pPr>
        <w:pStyle w:val="Heading2"/>
        <w:numPr>
          <w:numId w:val="0"/>
        </w:numPr>
        <w:spacing w:before="160" w:after="80"/>
        <w:jc w:val="center"/>
      </w:pPr>
      <w:r>
        <w:rPr>
          <w:rFonts w:ascii="Sylfaen" w:hAnsi="Sylfaen" w:cs="Sylfaen"/>
          <w:b/>
          <w:color w:val="000000"/>
          <w:sz w:val="28"/>
          <w:lang w:val="en-US"/>
        </w:rPr>
        <w:t>2.3 Long-term memory for LLM agents: three waves</w:t>
      </w:r>
    </w:p>
    <w:p>
      <w:pPr>
        <w:jc w:val="both"/>
      </w:pPr>
      <w:r>
        <w:rPr>
          <w:rFonts w:ascii="Sylfaen" w:hAnsi="Sylfaen" w:cs="Sylfaen"/>
          <w:b w:val="0"/>
          <w:sz w:val="24"/>
          <w:lang w:val="en-US"/>
        </w:rPr>
        <w:t>Approaches to equipping LLM agents with memory beyond their context window have developed in three discernible waves between 2023 and 2026.</w:t>
      </w:r>
    </w:p>
    <w:p>
      <w:pPr>
        <w:jc w:val="both"/>
      </w:pPr>
      <w:r>
        <w:rPr>
          <w:rFonts w:ascii="Sylfaen" w:hAnsi="Sylfaen" w:cs="Sylfaen"/>
          <w:b w:val="0"/>
          <w:sz w:val="24"/>
          <w:lang w:val="en-US"/>
        </w:rPr>
        <w:t>Wave one — context virtualization and early human-inspired stores (2023). The first systems treated the bounded context window as the constraint to be managed. MemGPT [17] borrows the operating system's idea of virtual memory: through function calls the model itself moves information between an in-context "core" store and larger out-of-context archival and recall tiers, administering its own hierarchy. In parallel, two systems looked to human memory for inspiration. The Generative Agents architecture [10] introduced the now-canonical "memory stream": a chronological natural-language log of observations. When the store is queried, each entry is ranked by blending three factors — how recently it was accessed (an exponential decay), how important the model judged it (an LLM-assigned rating), and how relevant it is to the query (embedding similarity) — while periodic "reflection" steps distil higher-level observations from the log. It is important to record precisely what this is and is not: the retrieval score is reminiscent of activation-based theories such as ACT-R, but it is the authors' own engineering construction and is not derived from any cognitive model — a distinction we preserve to avoid overstating the theoretical lineage. MemoryBank [6], by contrast, grounded itself explicitly in the Ebbinghaus forgetting curve, modeling each memory's strength as an exponential function of elapsed time that is reinforced on re-access; it powered SiliconFriend, a long-term "companion" chatbot and the closest direct precedent for the present work (closest by a stated criterion: a system in the so-called "companion" genre whose memory is grounded in a human-memory theory).</w:t>
      </w:r>
    </w:p>
    <w:p>
      <w:pPr>
        <w:jc w:val="both"/>
      </w:pPr>
      <w:r>
        <w:rPr>
          <w:rFonts w:ascii="Sylfaen" w:hAnsi="Sylfaen" w:cs="Sylfaen"/>
          <w:b w:val="0"/>
          <w:sz w:val="24"/>
          <w:lang w:val="en-US"/>
        </w:rPr>
        <w:t>Wave two — production memory layers and neuro-inspired retrieval (2024–2025). The second wave moved from research prototypes toward deployable memory services and toward retrieval mechanisms borrowed from neuroscience. Mem0 [29] implements a memory layer that extracts salient facts from dialogue and incrementally updates a consolidated store; its authors report sizable gains over a strong baseline on conversational-memory tasks together with substantial reductions in latency and token cost. Zep [30], built on the Graphiti temporally-aware knowledge-graph engine, represents memory as a bi-temporal graph that tracks both when an event occurred and when it was recorded; its authors likewise report accuracy improvements alongside large latency reductions on long-memory evaluation (these vendor-reported figures should be read against the benchmark-reliability concerns of 2.5). Both mark the wave's defining shift — from merely logging episodes, as in wave one, toward maintaining a continuously consolidated store — and both foreground latency and cost, signalling the move from research prototype to production service. Two systems of this wave are of particular theoretical interest. HippoRAG [7] operationalizes the hippocampal memory indexing theory directly: it casts the LLM as neocortex, retrieval encoders as the parahippocampal region, and a knowledge graph traversed by Personalized PageRank as the hippocampal index, achieving multi-hop retrieval through graph search. EM-LLM [8] grounds itself in human episodic memory and in event-segmentation theory [31], dividing a token stream into discrete events at boundaries detected by Bayesian "surprise" and retrieving them through a combination of similarity-based and temporally-contiguous access. From the same period, ReadAgent [9] puts the gist idea to work: it breaks a long context into episode-sized pages, keeps only an LLM-written gist of each, and returns to the underlying text solely when a task requires the detail. A further notable system, A-MEM [27], organizes memories as an interlinked network of notes that the agent itself extends and revises; we flag, however, that it is grounded in the Zettelkasten note-taking method, which is an information-organization practice and not a theory of human memory — a distinction relevant to our specific framing.</w:t>
      </w:r>
    </w:p>
    <w:p>
      <w:pPr>
        <w:jc w:val="both"/>
      </w:pPr>
      <w:r>
        <w:rPr>
          <w:rFonts w:ascii="Sylfaen" w:hAnsi="Sylfaen" w:cs="Sylfaen"/>
          <w:b w:val="0"/>
          <w:sz w:val="24"/>
          <w:lang w:val="en-US"/>
        </w:rPr>
        <w:t>Wave three — the consolidation era (2025–2026). By 2026 the field's attention had turned to the problem the cognitive theories of 2.2 foreground: consolidation. Leading vendors introduced background, sleep-like memory-reorganization processes into their systems — OpenAI in a productized form and Anthropic as a research preview [18, 19]. These deployments operationalize, at consumer scale, the offline-replay mechanism that complementary learning systems theory describes. We cite them deliberately as industry signals rather than as scientific results: neither is accompanied by a peer-reviewed publication, a fact that itself marks the academic study of consolidation as timely and underserved.</w:t>
      </w:r>
    </w:p>
    <w:p>
      <w:pPr>
        <w:pStyle w:val="Heading2"/>
        <w:numPr>
          <w:numId w:val="0"/>
        </w:numPr>
        <w:spacing w:before="160" w:after="80"/>
        <w:jc w:val="center"/>
      </w:pPr>
      <w:r>
        <w:rPr>
          <w:rFonts w:ascii="Sylfaen" w:hAnsi="Sylfaen" w:cs="Sylfaen"/>
          <w:b/>
          <w:color w:val="000000"/>
          <w:sz w:val="28"/>
          <w:lang w:val="en-US"/>
        </w:rPr>
        <w:t>2.4 The bridge: from memory theory to memory architecture</w:t>
      </w:r>
    </w:p>
    <w:p>
      <w:pPr>
        <w:jc w:val="both"/>
      </w:pPr>
      <w:r>
        <w:rPr>
          <w:rFonts w:ascii="Sylfaen" w:hAnsi="Sylfaen" w:cs="Sylfaen"/>
          <w:b w:val="0"/>
          <w:sz w:val="24"/>
          <w:lang w:val="en-US"/>
        </w:rPr>
        <w:t>Read together, 2.2 and 2.3 reveal a pattern that, to our knowledge, has not been drawn together explicitly. We state it carefully, to avoid a strawman: not every memory system implements a single theory — several (Generative Agents, Mem0, Zep) are deliberately multi-mechanism engineering constructions, and we do not claim otherwise. The pattern is narrower and more precise: among the systems with an explicit, cited theoretical grounding, each grounds in exactly one human-memory theory. Table 2.1 makes these correspondences explicit.</w:t>
      </w:r>
    </w:p>
    <w:p>
      <w:pPr>
        <w:spacing w:line="240" w:lineRule="auto"/>
        <w:jc w:val="both"/>
      </w:pPr>
      <w:r>
        <w:rPr>
          <w:rFonts w:ascii="Sylfaen" w:hAnsi="Sylfaen" w:cs="Sylfaen"/>
          <w:b/>
          <w:sz w:val="22"/>
          <w:lang w:val="en-US"/>
        </w:rPr>
        <w:t>Table 2.1. Human-memory theories and their corresponding LLM-agent implementations</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83"/>
        <w:gridCol w:w="2883"/>
        <w:gridCol w:w="2569"/>
      </w:tblGrid>
      <w:tr>
        <w:tc>
          <w:tcPr>
            <w:tcW w:type="dxa" w:w="2882"/>
          </w:tcPr>
          <w:p>
            <w:pPr>
              <w:spacing w:line="240" w:lineRule="auto"/>
            </w:pPr>
            <w:r>
              <w:rPr>
                <w:rFonts w:ascii="Sylfaen" w:hAnsi="Sylfaen" w:cs="Sylfaen"/>
                <w:b/>
                <w:sz w:val="22"/>
                <w:lang w:val="en-US"/>
              </w:rPr>
              <w:t>Human-memory theory</w:t>
            </w:r>
          </w:p>
        </w:tc>
        <w:tc>
          <w:tcPr>
            <w:tcW w:type="dxa" w:w="2882"/>
          </w:tcPr>
          <w:p>
            <w:pPr>
              <w:spacing w:line="240" w:lineRule="auto"/>
            </w:pPr>
            <w:r>
              <w:rPr>
                <w:rFonts w:ascii="Sylfaen" w:hAnsi="Sylfaen" w:cs="Sylfaen"/>
                <w:b/>
                <w:sz w:val="22"/>
                <w:lang w:val="en-US"/>
              </w:rPr>
              <w:t>Behavioral signature</w:t>
            </w:r>
          </w:p>
        </w:tc>
        <w:tc>
          <w:tcPr>
            <w:tcW w:type="dxa" w:w="2569"/>
          </w:tcPr>
          <w:p>
            <w:pPr>
              <w:spacing w:line="240" w:lineRule="auto"/>
            </w:pPr>
            <w:r>
              <w:rPr>
                <w:rFonts w:ascii="Sylfaen" w:hAnsi="Sylfaen" w:cs="Sylfaen"/>
                <w:b/>
                <w:sz w:val="22"/>
                <w:lang w:val="en-US"/>
              </w:rPr>
              <w:t>LLM-agent implementation</w:t>
            </w:r>
          </w:p>
        </w:tc>
      </w:tr>
      <w:tr>
        <w:tc>
          <w:tcPr>
            <w:tcW w:type="dxa" w:w="2882"/>
          </w:tcPr>
          <w:p>
            <w:pPr>
              <w:spacing w:line="240" w:lineRule="auto"/>
            </w:pPr>
            <w:r>
              <w:rPr>
                <w:rFonts w:ascii="Sylfaen" w:hAnsi="Sylfaen" w:cs="Sylfaen"/>
                <w:b w:val="0"/>
                <w:sz w:val="22"/>
                <w:lang w:val="en-US"/>
              </w:rPr>
              <w:t>Hippocampal memory indexing [26]</w:t>
            </w:r>
          </w:p>
        </w:tc>
        <w:tc>
          <w:tcPr>
            <w:tcW w:type="dxa" w:w="2882"/>
          </w:tcPr>
          <w:p>
            <w:pPr>
              <w:spacing w:line="240" w:lineRule="auto"/>
            </w:pPr>
            <w:r>
              <w:rPr>
                <w:rFonts w:ascii="Sylfaen" w:hAnsi="Sylfaen" w:cs="Sylfaen"/>
                <w:b w:val="0"/>
                <w:sz w:val="22"/>
                <w:lang w:val="en-US"/>
              </w:rPr>
              <w:t>reconstruct full memory from a partial cue via an index</w:t>
            </w:r>
          </w:p>
        </w:tc>
        <w:tc>
          <w:tcPr>
            <w:tcW w:type="dxa" w:w="2569"/>
          </w:tcPr>
          <w:p>
            <w:pPr>
              <w:spacing w:line="240" w:lineRule="auto"/>
            </w:pPr>
            <w:r>
              <w:rPr>
                <w:rFonts w:ascii="Sylfaen" w:hAnsi="Sylfaen" w:cs="Sylfaen"/>
                <w:b w:val="0"/>
                <w:sz w:val="22"/>
                <w:lang w:val="en-US"/>
              </w:rPr>
              <w:t>HippoRAG [7]</w:t>
            </w:r>
          </w:p>
        </w:tc>
      </w:tr>
      <w:tr>
        <w:tc>
          <w:tcPr>
            <w:tcW w:type="dxa" w:w="2882"/>
          </w:tcPr>
          <w:p>
            <w:pPr>
              <w:spacing w:line="240" w:lineRule="auto"/>
            </w:pPr>
            <w:r>
              <w:rPr>
                <w:rFonts w:ascii="Sylfaen" w:hAnsi="Sylfaen" w:cs="Sylfaen"/>
                <w:b w:val="0"/>
                <w:sz w:val="22"/>
                <w:lang w:val="en-US"/>
              </w:rPr>
              <w:t>Episodic memory [22] + event segmentation [31]</w:t>
            </w:r>
          </w:p>
        </w:tc>
        <w:tc>
          <w:tcPr>
            <w:tcW w:type="dxa" w:w="2882"/>
          </w:tcPr>
          <w:p>
            <w:pPr>
              <w:spacing w:line="240" w:lineRule="auto"/>
            </w:pPr>
            <w:r>
              <w:rPr>
                <w:rFonts w:ascii="Sylfaen" w:hAnsi="Sylfaen" w:cs="Sylfaen"/>
                <w:b w:val="0"/>
                <w:sz w:val="22"/>
                <w:lang w:val="en-US"/>
              </w:rPr>
              <w:t>recall organized around discrete events</w:t>
            </w:r>
          </w:p>
        </w:tc>
        <w:tc>
          <w:tcPr>
            <w:tcW w:type="dxa" w:w="2569"/>
          </w:tcPr>
          <w:p>
            <w:pPr>
              <w:spacing w:line="240" w:lineRule="auto"/>
            </w:pPr>
            <w:r>
              <w:rPr>
                <w:rFonts w:ascii="Sylfaen" w:hAnsi="Sylfaen" w:cs="Sylfaen"/>
                <w:b w:val="0"/>
                <w:sz w:val="22"/>
                <w:lang w:val="en-US"/>
              </w:rPr>
              <w:t>EM-LLM [8]</w:t>
            </w:r>
          </w:p>
        </w:tc>
      </w:tr>
      <w:tr>
        <w:tc>
          <w:tcPr>
            <w:tcW w:type="dxa" w:w="2882"/>
          </w:tcPr>
          <w:p>
            <w:pPr>
              <w:spacing w:line="240" w:lineRule="auto"/>
            </w:pPr>
            <w:r>
              <w:rPr>
                <w:rFonts w:ascii="Sylfaen" w:hAnsi="Sylfaen" w:cs="Sylfaen"/>
                <w:b w:val="0"/>
                <w:sz w:val="22"/>
                <w:lang w:val="en-US"/>
              </w:rPr>
              <w:t>Ebbinghaus forgetting curve [23]</w:t>
            </w:r>
          </w:p>
        </w:tc>
        <w:tc>
          <w:tcPr>
            <w:tcW w:type="dxa" w:w="2882"/>
          </w:tcPr>
          <w:p>
            <w:pPr>
              <w:spacing w:line="240" w:lineRule="auto"/>
            </w:pPr>
            <w:r>
              <w:rPr>
                <w:rFonts w:ascii="Sylfaen" w:hAnsi="Sylfaen" w:cs="Sylfaen"/>
                <w:b w:val="0"/>
                <w:sz w:val="22"/>
                <w:lang w:val="en-US"/>
              </w:rPr>
              <w:t>unrehearsed detail fades; repetition strengthens</w:t>
            </w:r>
          </w:p>
        </w:tc>
        <w:tc>
          <w:tcPr>
            <w:tcW w:type="dxa" w:w="2569"/>
          </w:tcPr>
          <w:p>
            <w:pPr>
              <w:spacing w:line="240" w:lineRule="auto"/>
            </w:pPr>
            <w:r>
              <w:rPr>
                <w:rFonts w:ascii="Sylfaen" w:hAnsi="Sylfaen" w:cs="Sylfaen"/>
                <w:b w:val="0"/>
                <w:sz w:val="22"/>
                <w:lang w:val="en-US"/>
              </w:rPr>
              <w:t>MemoryBank / SiliconFriend [6]</w:t>
            </w:r>
          </w:p>
        </w:tc>
      </w:tr>
      <w:tr>
        <w:tc>
          <w:tcPr>
            <w:tcW w:type="dxa" w:w="2882"/>
          </w:tcPr>
          <w:p>
            <w:pPr>
              <w:spacing w:line="240" w:lineRule="auto"/>
            </w:pPr>
            <w:r>
              <w:rPr>
                <w:rFonts w:ascii="Sylfaen" w:hAnsi="Sylfaen" w:cs="Sylfaen"/>
                <w:b w:val="0"/>
                <w:sz w:val="22"/>
                <w:lang w:val="en-US"/>
              </w:rPr>
              <w:t>Fuzzy-trace: gist vs verbatim [24]</w:t>
            </w:r>
          </w:p>
        </w:tc>
        <w:tc>
          <w:tcPr>
            <w:tcW w:type="dxa" w:w="2882"/>
          </w:tcPr>
          <w:p>
            <w:pPr>
              <w:spacing w:line="240" w:lineRule="auto"/>
            </w:pPr>
            <w:r>
              <w:rPr>
                <w:rFonts w:ascii="Sylfaen" w:hAnsi="Sylfaen" w:cs="Sylfaen"/>
                <w:b w:val="0"/>
                <w:sz w:val="22"/>
                <w:lang w:val="en-US"/>
              </w:rPr>
              <w:t>retain meaning, not exact wording</w:t>
            </w:r>
          </w:p>
        </w:tc>
        <w:tc>
          <w:tcPr>
            <w:tcW w:type="dxa" w:w="2569"/>
          </w:tcPr>
          <w:p>
            <w:pPr>
              <w:spacing w:line="240" w:lineRule="auto"/>
            </w:pPr>
            <w:r>
              <w:rPr>
                <w:rFonts w:ascii="Sylfaen" w:hAnsi="Sylfaen" w:cs="Sylfaen"/>
                <w:b w:val="0"/>
                <w:sz w:val="22"/>
                <w:lang w:val="en-US"/>
              </w:rPr>
              <w:t>ReadAgent [9]</w:t>
            </w:r>
          </w:p>
        </w:tc>
      </w:tr>
      <w:tr>
        <w:tc>
          <w:tcPr>
            <w:tcW w:type="dxa" w:w="2882"/>
          </w:tcPr>
          <w:p>
            <w:pPr>
              <w:spacing w:line="240" w:lineRule="auto"/>
            </w:pPr>
            <w:r>
              <w:rPr>
                <w:rFonts w:ascii="Sylfaen" w:hAnsi="Sylfaen" w:cs="Sylfaen"/>
                <w:b w:val="0"/>
                <w:sz w:val="22"/>
                <w:lang w:val="en-US"/>
              </w:rPr>
              <w:t>Complementary learning systems [25]</w:t>
            </w:r>
          </w:p>
        </w:tc>
        <w:tc>
          <w:tcPr>
            <w:tcW w:type="dxa" w:w="2882"/>
          </w:tcPr>
          <w:p>
            <w:pPr>
              <w:spacing w:line="240" w:lineRule="auto"/>
            </w:pPr>
            <w:r>
              <w:rPr>
                <w:rFonts w:ascii="Sylfaen" w:hAnsi="Sylfaen" w:cs="Sylfaen"/>
                <w:b w:val="0"/>
                <w:sz w:val="22"/>
                <w:lang w:val="en-US"/>
              </w:rPr>
              <w:t>fast episodic capture, slow offline consolidation</w:t>
            </w:r>
          </w:p>
        </w:tc>
        <w:tc>
          <w:tcPr>
            <w:tcW w:type="dxa" w:w="2569"/>
          </w:tcPr>
          <w:p>
            <w:pPr>
              <w:spacing w:line="240" w:lineRule="auto"/>
            </w:pPr>
            <w:r>
              <w:rPr>
                <w:rFonts w:ascii="Sylfaen" w:hAnsi="Sylfaen" w:cs="Sylfaen"/>
                <w:b w:val="0"/>
                <w:sz w:val="22"/>
                <w:lang w:val="en-US"/>
              </w:rPr>
              <w:t>"dreaming" consolidation systems [18, 19]</w:t>
            </w:r>
          </w:p>
        </w:tc>
      </w:tr>
      <w:tr>
        <w:tc>
          <w:tcPr>
            <w:tcW w:type="dxa" w:w="2882"/>
          </w:tcPr>
          <w:p>
            <w:pPr>
              <w:spacing w:line="240" w:lineRule="auto"/>
            </w:pPr>
            <w:r>
              <w:rPr>
                <w:rFonts w:ascii="Sylfaen" w:hAnsi="Sylfaen" w:cs="Sylfaen"/>
                <w:b w:val="0"/>
                <w:sz w:val="22"/>
                <w:lang w:val="en-US"/>
              </w:rPr>
              <w:t>(activation-like, not theory-grounded)</w:t>
            </w:r>
          </w:p>
        </w:tc>
        <w:tc>
          <w:tcPr>
            <w:tcW w:type="dxa" w:w="2882"/>
          </w:tcPr>
          <w:p>
            <w:pPr>
              <w:spacing w:line="240" w:lineRule="auto"/>
            </w:pPr>
            <w:r>
              <w:rPr>
                <w:rFonts w:ascii="Sylfaen" w:hAnsi="Sylfaen" w:cs="Sylfaen"/>
                <w:b w:val="0"/>
                <w:sz w:val="22"/>
                <w:lang w:val="en-US"/>
              </w:rPr>
              <w:t>recency × importance × relevance retrieval</w:t>
            </w:r>
          </w:p>
        </w:tc>
        <w:tc>
          <w:tcPr>
            <w:tcW w:type="dxa" w:w="2569"/>
          </w:tcPr>
          <w:p>
            <w:pPr>
              <w:spacing w:line="240" w:lineRule="auto"/>
            </w:pPr>
            <w:r>
              <w:rPr>
                <w:rFonts w:ascii="Sylfaen" w:hAnsi="Sylfaen" w:cs="Sylfaen"/>
                <w:b w:val="0"/>
                <w:sz w:val="22"/>
                <w:lang w:val="en-US"/>
              </w:rPr>
              <w:t>Generative Agents [10]</w:t>
            </w:r>
          </w:p>
        </w:tc>
      </w:tr>
    </w:tbl>
    <w:p>
      <w:pPr/>
    </w:p>
    <w:p>
      <w:pPr>
        <w:jc w:val="both"/>
      </w:pPr>
      <w:r>
        <w:rPr>
          <w:rFonts w:ascii="Sylfaen" w:hAnsi="Sylfaen" w:cs="Sylfaen"/>
          <w:b w:val="0"/>
          <w:sz w:val="24"/>
          <w:lang w:val="en-US"/>
        </w:rPr>
        <w:t>Two observations follow. First, the mapping is real but partial: each theory-grounded system imports one mechanism, in isolation, and chiefly to improve task accuracy. Second — and this is the opening the present work addresses — these theory-grounded systems have seldom been compared against one another, and, to our knowledge, never with respect to how their differing behavior is perceived by a human interlocutor. The closest precedents either combine mechanisms within one system or evaluate a single mechanism on accuracy. The synthesis a comparative, perception-oriented study would provide is, at present, absent.</w:t>
      </w:r>
    </w:p>
    <w:p>
      <w:pPr>
        <w:pStyle w:val="Heading2"/>
        <w:numPr>
          <w:numId w:val="0"/>
        </w:numPr>
        <w:spacing w:before="160" w:after="80"/>
        <w:jc w:val="center"/>
      </w:pPr>
      <w:r>
        <w:rPr>
          <w:rFonts w:ascii="Sylfaen" w:hAnsi="Sylfaen" w:cs="Sylfaen"/>
          <w:b/>
          <w:color w:val="000000"/>
          <w:sz w:val="28"/>
          <w:lang w:val="en-US"/>
        </w:rPr>
        <w:t>2.5 Evaluating conversational memory: benchmarks and their limits</w:t>
      </w:r>
    </w:p>
    <w:p>
      <w:pPr>
        <w:jc w:val="both"/>
      </w:pPr>
      <w:r>
        <w:rPr>
          <w:rFonts w:ascii="Sylfaen" w:hAnsi="Sylfaen" w:cs="Sylfaen"/>
          <w:b w:val="0"/>
          <w:sz w:val="24"/>
          <w:lang w:val="en-US"/>
        </w:rPr>
        <w:t>The dominant mode of evaluation in this field is the question-answering benchmark over long synthetic dialogues. LoCoMo [1] comprises long multi-session conversations and a question set spanning single-hop, multi-hop, temporal, and open-domain reasoning; its central finding is that even long-context models and retrieval-augmented approaches trail human performance by a wide margin overall and by a still wider margin on temporal reasoning. LongMemEval [2] decomposes long-term memory into five abilities — information extraction, multi-session reasoning, temporal reasoning, knowledge updates, and abstention — and documents a substantial accuracy decline for commercial assistants under sustained interaction. Across both, temporal reasoning is consistently the weakest category.</w:t>
      </w:r>
    </w:p>
    <w:p>
      <w:pPr>
        <w:jc w:val="both"/>
      </w:pPr>
      <w:r>
        <w:rPr>
          <w:rFonts w:ascii="Sylfaen" w:hAnsi="Sylfaen" w:cs="Sylfaen"/>
          <w:b w:val="0"/>
          <w:sz w:val="24"/>
          <w:lang w:val="en-US"/>
        </w:rPr>
        <w:t>These benchmarks have, however, a credibility problem that the present work treats as a finding rather than a footnote. Vendor-reported scores on LoCoMo have proven difficult to reproduce and mutually inconsistent: one system's claimed result was measured substantially lower in an independent replication and subsequently revised [32]. An independent 2026 audit [33] found that roughly six per cent of the benchmark's gold answers are themselves incorrect — capping the achievable score at approximately 94% — and that the automatic LLM judge accepted deliberately wrong answers in a majority of cases. The methodological lesson is twofold: published memory-benchmark numbers should be cited with caution, and any technical evaluation in this area must re-validate its own judging procedure rather than inherit a flawed one. (The peer-reviewed human–machine gap reported by LoCoMo and LongMemEval [1, 2] is a qualitative finding of a different and more robust kind than these contested absolute leaderboard scores.)</w:t>
      </w:r>
    </w:p>
    <w:p>
      <w:pPr>
        <w:jc w:val="both"/>
      </w:pPr>
      <w:r>
        <w:rPr>
          <w:rFonts w:ascii="Sylfaen" w:hAnsi="Sylfaen" w:cs="Sylfaen"/>
          <w:b w:val="0"/>
          <w:sz w:val="24"/>
          <w:lang w:val="en-US"/>
        </w:rPr>
        <w:t>A further and, for this work, decisive limitation is one of modality and outcome. Every major long-term-memory benchmark surveyed here — LoCoMo, LongMemEval, and the older Multi-Session Chat [35] — operates purely over text, and measures factual accuracy rather than experienced quality. None among them addresses memory retrieval under the real-time latency constraints of voice interaction, and none measures whether better memory produces a better relationship. The instruments of this subfield can tell us whether a system remembers correctly; they cannot tell us whether accurate recall improves the user's experienced relationship with the system — its perceived social presence, alliance, or humanlikeness.</w:t>
      </w:r>
    </w:p>
    <w:p>
      <w:pPr>
        <w:pStyle w:val="Heading2"/>
        <w:numPr>
          <w:numId w:val="0"/>
        </w:numPr>
        <w:spacing w:before="160" w:after="80"/>
        <w:jc w:val="center"/>
      </w:pPr>
      <w:r>
        <w:rPr>
          <w:rFonts w:ascii="Sylfaen" w:hAnsi="Sylfaen" w:cs="Sylfaen"/>
          <w:b/>
          <w:color w:val="000000"/>
          <w:sz w:val="28"/>
          <w:lang w:val="en-US"/>
        </w:rPr>
        <w:t>2.6 From assistant to interlocutor: memory and perceived relationship</w:t>
      </w:r>
    </w:p>
    <w:p>
      <w:pPr>
        <w:jc w:val="both"/>
      </w:pPr>
      <w:r>
        <w:rPr>
          <w:rFonts w:ascii="Sylfaen" w:hAnsi="Sylfaen" w:cs="Sylfaen"/>
          <w:b w:val="0"/>
          <w:sz w:val="24"/>
          <w:lang w:val="en-US"/>
        </w:rPr>
        <w:t>Whether a system is experienced as a mere assistant or as an interlocutor turns less on accuracy than on relationship — and the study of that relationship belongs to a different literature, rooted in the observation that people respond socially to computational agents: the "computers are social actors" paradigm and its account of media as equivalent, in many social reflexes, to real interaction partners [28]. Within this frame, a body of recent work examines what specifically distinguishes a system experienced as a mere assistant from one experienced as a relational partner; memory recurs as a central lever, and a double-edged one.</w:t>
      </w:r>
    </w:p>
    <w:p>
      <w:pPr>
        <w:jc w:val="both"/>
      </w:pPr>
      <w:r>
        <w:rPr>
          <w:rFonts w:ascii="Sylfaen" w:hAnsi="Sylfaen" w:cs="Sylfaen"/>
          <w:b w:val="0"/>
          <w:sz w:val="24"/>
          <w:lang w:val="en-US"/>
        </w:rPr>
        <w:t>On the positive edge, a controlled study by Cox and colleagues [11] found that a chatbot which referenced users' utterances from previous sessions was perceived as more intelligent and more engaging than one that did not. On the negative edge, the same study found that verbatim references — exact, word-for-word recall — heightened users' privacy concerns relative to paraphrased references. This is the empirical anchor for the fuzzy-trace argument of 2.2: gist-level recall was relationally preferable to verbatim recall, even though both demonstrate memory. A complementary pilot study [34] reported that endowing a chatbot with memory made it seem more intelligent but less trustworthy, unless the memory was made observable to the user. Field evidence from so-called "companion" applications points the same way: a qualitative study of Replika users [3] identified memory failure — forgetting names, preferences, and shared history — as a principal source of relational rupture, while a natural-experiment study of an abrupt change to the same product [4] found that users' distress was statistically mediated by the perceived discontinuity of the agent's identity. Memory, in short, is not merely a feature that improves task performance; it is constitutive of the continuity that a relationship requires — and recall that is too literal can itself corrode trust.</w:t>
      </w:r>
    </w:p>
    <w:p>
      <w:pPr>
        <w:jc w:val="both"/>
      </w:pPr>
      <w:r>
        <w:rPr>
          <w:rFonts w:ascii="Sylfaen" w:hAnsi="Sylfaen" w:cs="Sylfaen"/>
          <w:b w:val="0"/>
          <w:sz w:val="24"/>
          <w:lang w:val="en-US"/>
        </w:rPr>
        <w:t>A second behavioral axis distinguishing an interlocutor from an assistant is initiative. Proactive agents that detect significant dialogue events and follow up on them increase engagement and perceived support relative to purely reactive baselines [12]. In a related study, a proactivity model driven by an agent's "inner thoughts" was preferred by users in roughly 82% of comparisons against a reactive control [13]. Initiative grounded in memory — following up on something the user mentioned days earlier — is perhaps the most recognizably partner-like behavior a system can exhibit, and one this work's platform is positioned to study.</w:t>
      </w:r>
    </w:p>
    <w:p>
      <w:pPr>
        <w:jc w:val="both"/>
      </w:pPr>
      <w:r>
        <w:rPr>
          <w:rFonts w:ascii="Sylfaen" w:hAnsi="Sylfaen" w:cs="Sylfaen"/>
          <w:b w:val="0"/>
          <w:sz w:val="24"/>
          <w:lang w:val="en-US"/>
        </w:rPr>
        <w:t>A caution from the same literature bounds the modality claim of this thesis. A four-week randomized controlled trial [15] found no causal effect of voice versus text on users' loneliness or dependence, with relational outcomes driven instead by usage patterns and user traits. This does not weaken the present work's premise; it sharpens it. That trial tested whether the voice modality itself affects general well-being — not whether the memory architecture behind a voice agent changes perceived relationship. The latter is precisely the unexamined question, and the null result on modality polish is a reason to locate the manipulation in memory rather than in voice alone.</w:t>
      </w:r>
    </w:p>
    <w:p>
      <w:pPr>
        <w:jc w:val="both"/>
      </w:pPr>
      <w:r>
        <w:rPr>
          <w:rFonts w:ascii="Sylfaen" w:hAnsi="Sylfaen" w:cs="Sylfaen"/>
          <w:b w:val="0"/>
          <w:sz w:val="24"/>
          <w:lang w:val="en-US"/>
        </w:rPr>
        <w:t>To measure these perceptions, the field offers validated instruments. The Artificial Social Agent Questionnaire [14] captures nineteen constructs — including social presence, user–agent alliance, and believability (the subscale by which the present work operationalizes perceived humanlikeness) — in long and short forms, and is openly available; it is the principal instrument adopted here, complemented by established scales for related constructs (notably Godspeed for perceived intelligence).</w:t>
      </w:r>
    </w:p>
    <w:p>
      <w:pPr>
        <w:pStyle w:val="Heading2"/>
        <w:numPr>
          <w:numId w:val="0"/>
        </w:numPr>
        <w:spacing w:before="160" w:after="80"/>
        <w:jc w:val="center"/>
      </w:pPr>
      <w:r>
        <w:rPr>
          <w:rFonts w:ascii="Sylfaen" w:hAnsi="Sylfaen" w:cs="Sylfaen"/>
          <w:b/>
          <w:color w:val="000000"/>
          <w:sz w:val="28"/>
          <w:lang w:val="en-US"/>
        </w:rPr>
        <w:t>2.7 Open problems and limitations</w:t>
      </w:r>
    </w:p>
    <w:p>
      <w:pPr>
        <w:jc w:val="both"/>
      </w:pPr>
      <w:r>
        <w:rPr>
          <w:rFonts w:ascii="Sylfaen" w:hAnsi="Sylfaen" w:cs="Sylfaen"/>
          <w:b w:val="0"/>
          <w:sz w:val="24"/>
          <w:lang w:val="en-US"/>
        </w:rPr>
        <w:t>Synthesizing across the reviewed literature, the open problems fall into two groups. The first are limitations the field itself acknowledges as unsolved: selective forgetting, repeatedly named as essential by surveys of the field [16] yet barely evaluated, occurring in most systems only as a side effect of capacity limits rather than by design; temporal reasoning, which remains the weakest category across every benchmark examined, with proposed remedies narrowing but not closing the gap; and the benchmark-credibility crisis of 2.5, which leaves the field without a trusted, neutral yardstick. The second group are the two gaps that directly motivate this thesis. The entire memory literature surveyed here is text-only: the behavior of memory architectures under voice-interaction latency budgets, and their perceptual effects in that modality, remain essentially unstudied. And the perception studies that do exist manipulate memory as an isolated variable on a single system; none compares architectures grounded in different memory theories on what a human experiences.</w:t>
      </w:r>
    </w:p>
    <w:p>
      <w:pPr>
        <w:pStyle w:val="Heading2"/>
        <w:numPr>
          <w:numId w:val="0"/>
        </w:numPr>
        <w:spacing w:before="160" w:after="80"/>
        <w:jc w:val="center"/>
      </w:pPr>
      <w:r>
        <w:rPr>
          <w:rFonts w:ascii="Sylfaen" w:hAnsi="Sylfaen" w:cs="Sylfaen"/>
          <w:b/>
          <w:color w:val="000000"/>
          <w:sz w:val="28"/>
          <w:lang w:val="en-US"/>
        </w:rPr>
        <w:t>2.8 The place of the present work</w:t>
      </w:r>
    </w:p>
    <w:p>
      <w:pPr>
        <w:jc w:val="both"/>
      </w:pPr>
      <w:r>
        <w:rPr>
          <w:rFonts w:ascii="Sylfaen" w:hAnsi="Sylfaen" w:cs="Sylfaen"/>
          <w:b w:val="0"/>
          <w:sz w:val="24"/>
          <w:lang w:val="en-US"/>
        </w:rPr>
        <w:t>The two fields surveyed above meet at a point that, in the literature available to us, remains empty. On one side, a series of LLM-memory systems each implements a single human-memory theory, evaluated almost exclusively on factual accuracy. On the other, a series of perception studies establishes that memory shapes — and can also undermine — the felt quality of a relationship, but treats memory as a binary or single-system manipulation. In the literature available to us — across systematic searches of the memory-architecture and human–agent-perception literatures — no controlled study could be found that compares architectures grounded in different human-memory theories with respect to user-perceived social constructs, and none situated in the voice modality. The novelty of the present work lies in this conjunction — a comparison of theory-grounded memory architectures, evaluated on perceived social presence, alliance, and humanlikeness, in a real voice system — rather than in any single component, each of which exists in isolation. To be precise about what is and is not claimed: the study holds the interaction modality constant — voice throughout, with no text arm — so its contribution concerns memory-architecture effects within the voice setting, not a comparison of voice against text. It is precisely this intersection that the remainder of the thesis investigates.</w:t>
      </w:r>
    </w:p>
    <w:p>
      <w:pPr>
        <w:pStyle w:val="Heading1"/>
        <w:pageBreakBefore/>
        <w:numPr>
          <w:numId w:val="0"/>
        </w:numPr>
        <w:spacing w:before="360" w:after="80"/>
        <w:jc w:val="center"/>
      </w:pPr>
      <w:r>
        <w:rPr>
          <w:rFonts w:ascii="Sylfaen" w:hAnsi="Sylfaen" w:cs="Sylfaen"/>
          <w:b/>
          <w:color w:val="000000"/>
          <w:sz w:val="28"/>
          <w:lang w:val="en-US"/>
        </w:rPr>
        <w:t>3. Research Methods</w:t>
      </w:r>
    </w:p>
    <w:p>
      <w:pPr>
        <w:pStyle w:val="Heading2"/>
        <w:numPr>
          <w:numId w:val="0"/>
        </w:numPr>
        <w:spacing w:before="160" w:after="80"/>
        <w:jc w:val="center"/>
      </w:pPr>
      <w:r>
        <w:rPr>
          <w:rFonts w:ascii="Sylfaen" w:hAnsi="Sylfaen" w:cs="Sylfaen"/>
          <w:b/>
          <w:color w:val="000000"/>
          <w:sz w:val="28"/>
          <w:lang w:val="en-US"/>
        </w:rPr>
        <w:t>3.1 Research design and contribution</w:t>
      </w:r>
    </w:p>
    <w:p>
      <w:pPr>
        <w:jc w:val="both"/>
      </w:pPr>
      <w:r>
        <w:rPr>
          <w:rFonts w:ascii="Sylfaen" w:hAnsi="Sylfaen" w:cs="Sylfaen"/>
          <w:b w:val="0"/>
          <w:sz w:val="24"/>
          <w:lang w:val="en-US"/>
        </w:rPr>
        <w:t>This chapter specifies the methodology of a design, proof-of-concept, and evaluation-methodology thesis. Under the aim stated in 1.2 — to develop a cognitively-grounded long-term memory architecture for a voice interlocutor system and to determine its effect on user-perceived social constructs — the work makes three coordinated contributions, and it is important to state at the outset which of them are delivered here and which are rigorously designed but deliberately deferred.</w:t>
      </w:r>
    </w:p>
    <w:p>
      <w:pPr>
        <w:jc w:val="both"/>
      </w:pPr>
      <w:r>
        <w:rPr>
          <w:rFonts w:ascii="Sylfaen" w:hAnsi="Sylfaen" w:cs="Sylfaen"/>
          <w:b w:val="0"/>
          <w:sz w:val="24"/>
          <w:lang w:val="en-US"/>
        </w:rPr>
        <w:t>The three contributions are: (a) a memory architecture ("Profile C") whose mechanisms are grounded, stage by stage, in cognitive theories of human memory and their behavioral signatures (3.2); (b) a curation-controlled evaluation methodology whose central instrument is an active control condition — B+ — that isolates the effect of human-memory dynamics from the generic legibility gains of LLM curation (3.3); and (c) a proof-of-concept implementation together with a two-track technical and simulated evaluation of the architecture (3.4–3.5). The full human-subject study that the aim ultimately calls for is presented in 3.5(c) as a completely specified but not-yet-executed protocol — future work, with its own power analysis — rather than as a study whose data are reported in 4.</w:t>
      </w:r>
    </w:p>
    <w:p>
      <w:pPr>
        <w:jc w:val="both"/>
      </w:pPr>
      <w:r>
        <w:rPr>
          <w:rFonts w:ascii="Sylfaen" w:hAnsi="Sylfaen" w:cs="Sylfaen"/>
          <w:b w:val="0"/>
          <w:sz w:val="24"/>
          <w:lang w:val="en-US"/>
        </w:rPr>
        <w:t>This scoping is a considered response to a feasibility constraint documented during the work (F17): the existing Voice Companion platform supports only condition A (no long-term memory); conditions B, B+, and C, together with a voice-to-memory hook and per-participant deployment, are greenfield engineering estimated at twelve to sixteen weeks of solo build. Within the time available for this thesis, a fielded multi-week within-subject study with twenty participants is not achievable. Rather than weaken the design to fit the schedule — or, worse, imply data that were never collected — the thesis is framed honestly around the apparatus and the methodology as its primary deliverable, with a proof-of-concept that demonstrates the mechanisms and an evaluation that probes them technically and in simulation. No claim in this thesis rests on human-subject data; wherever perceptual outcomes are discussed, they are either simulated proxies (explicitly flagged, 3.5(b)) or predictions to be tested by the deferred protocol.</w:t>
      </w:r>
    </w:p>
    <w:p>
      <w:pPr>
        <w:jc w:val="both"/>
      </w:pPr>
      <w:r>
        <w:rPr>
          <w:rFonts w:ascii="Sylfaen" w:hAnsi="Sylfaen" w:cs="Sylfaen"/>
          <w:b w:val="0"/>
          <w:sz w:val="24"/>
          <w:lang w:val="en-US"/>
        </w:rPr>
        <w:t>A second, deeper constraint shapes the inferential stance and is stated here so that it governs the whole chapter. An a-priori analysis of effect-size priors (F18), grounded in the Cox study [11] and related social-cue evidence, indicates that the scientifically central contrast — C &gt; B+ — is by construction the smallest effect in the design (Cohen's dz ≈ 0.28 before cold-start dilution), because B+ already captures the two most robustly supported memory benefits, presence and clean gist-level paraphrase. At the sample size normative for this class of study (n ≈ 20; F12), the smallest reliably detectable effect is roughly dz ≈ 0.78–0.86, and detecting C &gt; B+ would require n ≈ 116–159 — infeasible for the human–agent interaction genre. The consequence is adopted deliberately rather than concealed: C &gt; B+ is treated as a pre-registered estimation target — an effect size with a 95% confidence interval — and not as a confirmatory null-hypothesis test. The comparisons for which power does exist (C &gt; A, and the directional B+ &gt; B and C &gt; B) are the confirmatory tests. A precisely-estimated null on C &gt; B+ is itself a substantive, publishable result: it would indicate that the perceptual value of "human-like" memory is carried by gist-curation and presence rather than by Ebbinghaus decay, salience-gating, or consolidation — a conclusion the B+ control was purpose-built to make interpretable. The estimation stance is therefore not a retreat from rigor but the correct calibration of claim to attainable evidence.</w:t>
      </w:r>
    </w:p>
    <w:p>
      <w:pPr>
        <w:pStyle w:val="Heading2"/>
        <w:numPr>
          <w:numId w:val="0"/>
        </w:numPr>
        <w:spacing w:before="160" w:after="80"/>
        <w:jc w:val="center"/>
      </w:pPr>
      <w:r>
        <w:rPr>
          <w:rFonts w:ascii="Sylfaen" w:hAnsi="Sylfaen" w:cs="Sylfaen"/>
          <w:b/>
          <w:color w:val="000000"/>
          <w:sz w:val="28"/>
          <w:lang w:val="en-US"/>
        </w:rPr>
        <w:t>3.2 The Profile C memory architecture</w:t>
      </w:r>
    </w:p>
    <w:p>
      <w:pPr>
        <w:jc w:val="both"/>
      </w:pPr>
      <w:r>
        <w:rPr>
          <w:rFonts w:ascii="Sylfaen" w:hAnsi="Sylfaen" w:cs="Sylfaen"/>
          <w:b w:val="0"/>
          <w:sz w:val="24"/>
          <w:lang w:val="en-US"/>
        </w:rPr>
        <w:t>Profile C is a single memory engine that composes five committed cognitive-memory theories — the Atkinson–Shiffrin multi-store model [20], the Ebbinghaus forgetting curve [23], Tulving's episodic–semantic distinction [22], fuzzy-trace theory [24], and the complementary learning systems framework [25] — into one lifecycle. Two further sources enter as implementation precedent and honest relabeling rather than as additional committed theories: hippocampal indexing [7,26] (for the consolidation back-pointers) and levels-of-processing (for the encoding-time salience mechanism). We say composes, not unifies: the theories are made to cooperate within one coherent object, but the architecture does not claim to reconcile them at the level of underlying mechanism, and 3.2's grounding is stated as a design-time inspiration with named omissions (below), not as a claim of cognitive fidelity — consistent with the caveat already entered for the forgetting curve in 2.2.</w:t>
      </w:r>
    </w:p>
    <w:p>
      <w:pPr>
        <w:jc w:val="both"/>
      </w:pPr>
      <w:r>
        <w:rPr>
          <w:rFonts w:ascii="Sylfaen" w:hAnsi="Sylfaen" w:cs="Sylfaen"/>
          <w:b w:val="0"/>
          <w:sz w:val="24"/>
          <w:lang w:val="en-US"/>
        </w:rPr>
        <w:t>The memory unit is the event — a topically and temporally bounded segment of contiguous turns, the episodic atom in Tulving's sense [22]. This is a deliberate choice against two alternatives: the raw turn (the unit used by verbatim RAG, Profile B) and the isolated extracted fact. Choosing the event avoids importing fact selection as a second confound absent from B, and it makes consolidation — the distillation of recurring events into durable semantic knowledge — a natural derived operation rather than a bolt-on. The lifecycle has five stages; each is stated as mechanism · theoretical grounding · behavioral signature.</w:t>
      </w:r>
    </w:p>
    <w:p>
      <w:pPr>
        <w:jc w:val="both"/>
      </w:pPr>
      <w:r>
        <w:rPr>
          <w:rFonts w:ascii="Sylfaen" w:hAnsi="Sylfaen" w:cs="Sylfaen"/>
          <w:b w:val="0"/>
          <w:sz w:val="24"/>
          <w:lang w:val="en-US"/>
        </w:rPr>
        <w:t>Stage 1 — Encoding (salience-gated write, asynchronous). Raw turns live only in a volatile working window of roughly twenty turns, shared verbatim with conditions A and B and held constant across all conditions. Nothing graduates to long-term storage on the synchronous path. Asynchronously at session end, the buffered transcript is segmented into events at embedding-distance and time-gap boundaries (an inexpensive stand-in for the Bayesian-surprise segmentation of EM-LLM [8]), and a single small-LLM rubric call scores each event's salience on four a-priori-fixed dimensions: self-disclosure density, emotional intensity, explicit emphasis or repetition, and goal or commitment content. Events below a floor are soft-discarded — written at very low stability, a tip-of-the-tongue trace recoverable only under a strong cue — rather than hard-deleted; survivors receive an initial stability scaled by their salience. Grounding: the Atkinson–Shiffrin multi-store model [20] treats attention and rehearsal as the gate from short- to long-term store. We enter one honest relabeling here (F18): because salience is applied at encoding, this mechanism is as much an instance of depth- or levels-of-processing and emotional modulation of memory as it is of the pure modal model, and it is cited as such; it is also distinct from the retrieval-time importance weighting of Generative Agents [10], which 2 records as activation-like and not theory-derived. Signature: the interlocutor durably keeps what a user stressed, disclosed, or returned to, while incidental small-talk fades; forgetting reads as warm rather than as inattention, because soft-discarded material remains weakly reconstructable under an explicit cue.</w:t>
      </w:r>
    </w:p>
    <w:p>
      <w:pPr>
        <w:jc w:val="both"/>
      </w:pPr>
      <w:r>
        <w:rPr>
          <w:rFonts w:ascii="Sylfaen" w:hAnsi="Sylfaen" w:cs="Sylfaen"/>
          <w:b w:val="0"/>
          <w:sz w:val="24"/>
          <w:lang w:val="en-US"/>
        </w:rPr>
        <w:t>Stage 2 — Representation (gist plus verbatim anchor, dual-decay, asynchronous). Each event stores a gist — a short paraphrase of meaning, entities, and stance — together with structured slots and a single verbatim anchor (at most one sentence, the most salient quotation, retained for grounding and audit but not injected by default). The gist is the embedded, injected payload; its stability exceeds the anchor's, so meaning outlives exact wording. A fairness constraint binds the representation: per-event gist payload never exceeds Profile B's average per-turn verbatim payload, so C is never handed richer context items. Grounding: fuzzy-trace theory [24] posits parallel verbatim and gist traces with gist the more durable, operationalized for LLMs by ReadAgent's gisting [9]; the design targets the Cox finding [11] directly, that paraphrased recall is preferred while verbatim recall raises privacy concern. Signature: the interlocutor says "you'd been worried about a deadline" rather than quoting the transcript; a user cannot catch it parroting their exact words. This is the single most user-detectable difference between C and B, and the lever the secondary trust-and-privacy prediction (H2b) targets.</w:t>
      </w:r>
    </w:p>
    <w:p>
      <w:pPr>
        <w:jc w:val="both"/>
      </w:pPr>
      <w:r>
        <w:rPr>
          <w:rFonts w:ascii="Sylfaen" w:hAnsi="Sylfaen" w:cs="Sylfaen"/>
          <w:b w:val="0"/>
          <w:sz w:val="24"/>
          <w:lang w:val="en-US"/>
        </w:rPr>
        <w:t>Stage 3 — Decay and reinforcement (Ebbinghaus, lazy, synchronous and asynchronous). Each trace carries a retrievability that falls exponentially with time since last access, relative to its stability, and is computed lazily at retrieval time as a scoring multiplier — there is no background ticking and no synchronous write. A successful re-mention reinforces stability and resets last-access in the manner of spaced repetition, but the write-back is queued offline so the synchronous path remains read-only, exactly as in B. Crucially, the semantic facts produced by Stage 4 also decay, so the Ebbinghaus dynamic remains a live independent variable rather than a cosmetic layer over a permanent store. Grounding: the Ebbinghaus forgetting curve [23], with MemoryBank/SiliconFriend [6] as computational precedent. Signature: what was mentioned once long ago fades; what is repeatedly revisited becomes robust — a graceful natural forgetting set against B's eerie total recall.</w:t>
      </w:r>
    </w:p>
    <w:p>
      <w:pPr>
        <w:jc w:val="both"/>
      </w:pPr>
      <w:r>
        <w:rPr>
          <w:rFonts w:ascii="Sylfaen" w:hAnsi="Sylfaen" w:cs="Sylfaen"/>
          <w:b w:val="0"/>
          <w:sz w:val="24"/>
          <w:lang w:val="en-US"/>
        </w:rPr>
        <w:t>Stage 4 — Consolidation (episodic to semantic, offline "sleep", asynchronous). An offline batch job between sessions clusters episodic events by entity and gist similarity; for clusters recurring across at least a small threshold of events, a single small-LLM call abstracts a durable semantic profile fact ("works under tight deadlines") with back-pointers to its source episodes in the manner of hippocampal indexing [7], down-weights the absorbed episodes, resolves contradictions toward the most recent or most reinforced evidence, and pre-expands associative neighbours so that any associative recall at inference reduces to a single vector query. The conversational LLM is never retrained; consolidation only reorganizes the store. Grounding: this is the stage most exposed to over-claiming, and it is relabeled accordingly (F18). We invoke the complementary learning systems framework [25] as the spirit of its episodic-to-semantic transfer function, and lean primarily on Tulving's episodic-to-semantic distinction [22] and hippocampal indexing [7,26] for the concrete mechanism, rather than claiming McClelland's interleaved, interference-protected cortical learning. Signature: over weeks the interlocutor shifts from "last Tuesday you said…" to "I know you tend to…"; it sounds as though it has learned about the user — an emergent generalization it never literally heard. This is the most C-distinctive, B-impossible behavior, and the predicted source of any relational advantage C holds over B+.</w:t>
      </w:r>
    </w:p>
    <w:p>
      <w:pPr>
        <w:jc w:val="both"/>
      </w:pPr>
      <w:r>
        <w:rPr>
          <w:rFonts w:ascii="Sylfaen" w:hAnsi="Sylfaen" w:cs="Sylfaen"/>
          <w:b w:val="0"/>
          <w:sz w:val="24"/>
          <w:lang w:val="en-US"/>
        </w:rPr>
        <w:t>Stage 5 — Retrieval (gist-first, composite-scored, single read-only query, synchronous). Retrieval uses the same trigger and injection point as B. The current turn is embedded (the only synchronous embedding, identical to B); a single vector query returns roughly twenty candidates across both tiers, including the offline-pre-expanded associative neighbours; candidates are ranked by an activation score that multiplies cosine relevance, retrievability, and a capped semantic bonus, with all exponents fixed at one. Salience is deliberately not a retrieval term — it gates writing and decay only — which removes the triple-counting an internal critique identified. The retrieval fills exactly B's token budget, semantic-fact-first; the verbatim anchor is surfaced only on an explicit exact-recall request detected by a cheap deterministic keyword trigger, so the hot path makes zero in-turn LLM calls. Grounding: cue-dependent retrieval [22], gist-first recall [24], Ebbinghaus retrievability [23], and the semantic preference of complementary learning systems [25]. Signature: the interlocutor surfaces the relevant generalization first and the specific episode only if pressed, so recall feels like a person who knows the user rather than a search engine — at the same latency and budget as B, but with different content.</w:t>
      </w:r>
    </w:p>
    <w:p>
      <w:pPr>
        <w:jc w:val="both"/>
      </w:pPr>
      <w:r>
        <w:rPr>
          <w:rFonts w:ascii="Sylfaen" w:hAnsi="Sylfaen" w:cs="Sylfaen"/>
          <w:b w:val="0"/>
          <w:sz w:val="24"/>
          <w:lang w:val="en-US"/>
        </w:rPr>
        <w:t>Stated theory-fidelity omissions. Three omissions are named here as limitations and future work, pre-empting the strongest theoretical objections (F18) rather than leaving them for a committee to raise. First, the architecture omits interference, which is the dominant mechanism of human forgetting; its forgetting is purely time-and-salience-driven. Second, its precision-first consolidation deliberately suppresses reconstructive and schema-driven distortion — the gist-level false-memory that fuzzy-trace and CLS most distinctively predict — trading psychological realism on the very humanlikeness axis the study measures for the safety of not confidently asserting wrong generalizations. Third, it does not model temporal-order or source memory beyond timestamps. These are principled engineering choices, not oversights, and 3.8 records them as bounds on the cognitive-fidelity claim.</w:t>
      </w:r>
    </w:p>
    <w:p>
      <w:pPr>
        <w:pStyle w:val="Heading2"/>
        <w:numPr>
          <w:numId w:val="0"/>
        </w:numPr>
        <w:spacing w:before="160" w:after="80"/>
        <w:jc w:val="center"/>
      </w:pPr>
      <w:r>
        <w:rPr>
          <w:rFonts w:ascii="Sylfaen" w:hAnsi="Sylfaen" w:cs="Sylfaen"/>
          <w:b/>
          <w:color w:val="000000"/>
          <w:sz w:val="28"/>
          <w:lang w:val="en-US"/>
        </w:rPr>
        <w:t>3.3 Experimental conditions (A / B / B+ / C)</w:t>
      </w:r>
    </w:p>
    <w:p>
      <w:pPr>
        <w:jc w:val="both"/>
      </w:pPr>
      <w:r>
        <w:rPr>
          <w:rFonts w:ascii="Sylfaen" w:hAnsi="Sylfaen" w:cs="Sylfaen"/>
          <w:b w:val="0"/>
          <w:sz w:val="24"/>
          <w:lang w:val="en-US"/>
        </w:rPr>
        <w:t>The evaluation contrasts four memory profiles, all sharing one identical inference-time envelope. The methodological heart of the design is that C must win, if it wins, because of how it remembers, not because it remembers more or more cleanly.</w:t>
      </w:r>
    </w:p>
    <w:p>
      <w:pPr>
        <w:jc w:val="both"/>
      </w:pPr>
      <w:r>
        <w:rPr>
          <w:rFonts w:ascii="Sylfaen" w:hAnsi="Sylfaen" w:cs="Sylfaen"/>
          <w:b w:val="0"/>
          <w:sz w:val="24"/>
          <w:lang w:val="en-US"/>
        </w:rPr>
        <w:t>•  A — No long-term memory. The volatile working window only; each session starts cold. A is the obvious floor and, in the deferred human protocol (3.5c), is demoted to a short scripted calibration touch rather than a full multi-week arm.</w:t>
      </w:r>
    </w:p>
    <w:p>
      <w:pPr>
        <w:jc w:val="both"/>
      </w:pPr>
      <w:r>
        <w:rPr>
          <w:rFonts w:ascii="Sylfaen" w:hAnsi="Sylfaen" w:cs="Sylfaen"/>
          <w:b w:val="0"/>
          <w:sz w:val="24"/>
          <w:lang w:val="en-US"/>
        </w:rPr>
        <w:t>•  B — Verbatim RAG. Raw turns are embedded and retrieved by cosine top-k into the shared token budget. This is the standard, and the direct operational analogue of the "references your exact utterances" condition in the Cox study [11].</w:t>
      </w:r>
    </w:p>
    <w:p>
      <w:pPr>
        <w:jc w:val="both"/>
      </w:pPr>
      <w:r>
        <w:rPr>
          <w:rFonts w:ascii="Sylfaen" w:hAnsi="Sylfaen" w:cs="Sylfaen"/>
          <w:b w:val="0"/>
          <w:sz w:val="24"/>
          <w:lang w:val="en-US"/>
        </w:rPr>
        <w:t>•  B+ — Curated static memory (the active control). Identical offline LLM gisting and coreference cleanup to C, the same compression and token budget, but no decay, no salience-gating, and no consolidation — pure cosine top-k over cleaned gists.</w:t>
      </w:r>
    </w:p>
    <w:p>
      <w:pPr>
        <w:jc w:val="both"/>
      </w:pPr>
      <w:r>
        <w:rPr>
          <w:rFonts w:ascii="Sylfaen" w:hAnsi="Sylfaen" w:cs="Sylfaen"/>
          <w:b w:val="0"/>
          <w:sz w:val="24"/>
          <w:lang w:val="en-US"/>
        </w:rPr>
        <w:t>•  C — Profile C. The full five-stage human-memory lifecycle of 3.2.</w:t>
      </w:r>
    </w:p>
    <w:p>
      <w:pPr>
        <w:jc w:val="both"/>
      </w:pPr>
      <w:r>
        <w:rPr>
          <w:rFonts w:ascii="Sylfaen" w:hAnsi="Sylfaen" w:cs="Sylfaen"/>
          <w:b w:val="0"/>
          <w:sz w:val="24"/>
          <w:lang w:val="en-US"/>
        </w:rPr>
        <w:t>B+ is the central methodological contribution of the design. The most serious threat to any positive finding for C is a legibility confound: C's gisted, coreference-resolved prose is simply more readable than B's raw fragments, and a naïve C-versus-B win would confound curation with cognitive dynamics. B+ severs this confound by construction. If C &gt; B+, the marginal effect is attributable to the human-memory dynamics that only C adds. If C ≈ B+, the honest conclusion is that the perceptual benefit was legibility all along, and the claim is revised accordingly — a conclusion that is interpretable precisely because B+ was designed to license it. This is why, as noted in 3.1, C &gt; B+ is the estimation target and why cutting B+ is off the table.</w:t>
      </w:r>
    </w:p>
    <w:p>
      <w:pPr>
        <w:jc w:val="both"/>
      </w:pPr>
      <w:r>
        <w:rPr>
          <w:rFonts w:ascii="Sylfaen" w:hAnsi="Sylfaen" w:cs="Sylfaen"/>
          <w:b w:val="0"/>
          <w:sz w:val="24"/>
          <w:lang w:val="en-US"/>
        </w:rPr>
        <w:t>Table 3.1 states the confound-control logic explicitly. Everything in the "held constant" row is identical across A, B, B+, and C.</w:t>
      </w:r>
    </w:p>
    <w:p>
      <w:pPr>
        <w:spacing w:line="240" w:lineRule="auto"/>
        <w:jc w:val="both"/>
      </w:pPr>
      <w:r>
        <w:rPr>
          <w:rFonts w:ascii="Sylfaen" w:hAnsi="Sylfaen" w:cs="Sylfaen"/>
          <w:b/>
          <w:sz w:val="22"/>
          <w:lang w:val="en-US"/>
        </w:rPr>
        <w:t>Table 3.1. Confound control in the experimental design</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49"/>
        <w:gridCol w:w="3043"/>
        <w:gridCol w:w="3043"/>
      </w:tblGrid>
      <w:tr>
        <w:tc>
          <w:tcPr>
            <w:tcW w:type="dxa" w:w="2249"/>
          </w:tcPr>
          <w:p>
            <w:pPr>
              <w:spacing w:line="240" w:lineRule="auto"/>
            </w:pPr>
            <w:r>
              <w:rPr>
                <w:rFonts w:ascii="Sylfaen" w:hAnsi="Sylfaen" w:cs="Sylfaen"/>
                <w:b/>
                <w:sz w:val="22"/>
                <w:lang w:val="en-US"/>
              </w:rPr>
              <w:t>Confound</w:t>
            </w:r>
          </w:p>
        </w:tc>
        <w:tc>
          <w:tcPr>
            <w:tcW w:type="dxa" w:w="3043"/>
          </w:tcPr>
          <w:p>
            <w:pPr>
              <w:spacing w:line="240" w:lineRule="auto"/>
            </w:pPr>
            <w:r>
              <w:rPr>
                <w:rFonts w:ascii="Sylfaen" w:hAnsi="Sylfaen" w:cs="Sylfaen"/>
                <w:b/>
                <w:sz w:val="22"/>
                <w:lang w:val="en-US"/>
              </w:rPr>
              <w:t>Threat</w:t>
            </w:r>
          </w:p>
        </w:tc>
        <w:tc>
          <w:tcPr>
            <w:tcW w:type="dxa" w:w="3043"/>
          </w:tcPr>
          <w:p>
            <w:pPr>
              <w:spacing w:line="240" w:lineRule="auto"/>
            </w:pPr>
            <w:r>
              <w:rPr>
                <w:rFonts w:ascii="Sylfaen" w:hAnsi="Sylfaen" w:cs="Sylfaen"/>
                <w:b/>
                <w:sz w:val="22"/>
                <w:lang w:val="en-US"/>
              </w:rPr>
              <w:t>Control</w:t>
            </w:r>
          </w:p>
        </w:tc>
      </w:tr>
      <w:tr>
        <w:tc>
          <w:tcPr>
            <w:tcW w:type="dxa" w:w="2249"/>
          </w:tcPr>
          <w:p>
            <w:pPr>
              <w:spacing w:line="240" w:lineRule="auto"/>
            </w:pPr>
            <w:r>
              <w:rPr>
                <w:rFonts w:ascii="Sylfaen" w:hAnsi="Sylfaen" w:cs="Sylfaen"/>
                <w:b w:val="0"/>
                <w:sz w:val="22"/>
                <w:lang w:val="en-US"/>
              </w:rPr>
              <w:t>Curation / legibility</w:t>
            </w:r>
          </w:p>
        </w:tc>
        <w:tc>
          <w:tcPr>
            <w:tcW w:type="dxa" w:w="3043"/>
          </w:tcPr>
          <w:p>
            <w:pPr>
              <w:spacing w:line="240" w:lineRule="auto"/>
            </w:pPr>
            <w:r>
              <w:rPr>
                <w:rFonts w:ascii="Sylfaen" w:hAnsi="Sylfaen" w:cs="Sylfaen"/>
                <w:b w:val="0"/>
                <w:sz w:val="22"/>
                <w:lang w:val="en-US"/>
              </w:rPr>
              <w:t>C's cleaned gist prose is merely more legible than B's fragments</w:t>
            </w:r>
          </w:p>
        </w:tc>
        <w:tc>
          <w:tcPr>
            <w:tcW w:type="dxa" w:w="3043"/>
          </w:tcPr>
          <w:p>
            <w:pPr>
              <w:spacing w:line="240" w:lineRule="auto"/>
            </w:pPr>
            <w:r>
              <w:rPr>
                <w:rFonts w:ascii="Sylfaen" w:hAnsi="Sylfaen" w:cs="Sylfaen"/>
                <w:b w:val="0"/>
                <w:sz w:val="22"/>
                <w:lang w:val="en-US"/>
              </w:rPr>
              <w:t>B+ active control: same gisting and cleanup, no decay/salience/consolidation</w:t>
            </w:r>
          </w:p>
        </w:tc>
      </w:tr>
      <w:tr>
        <w:tc>
          <w:tcPr>
            <w:tcW w:type="dxa" w:w="2249"/>
          </w:tcPr>
          <w:p>
            <w:pPr>
              <w:spacing w:line="240" w:lineRule="auto"/>
            </w:pPr>
            <w:r>
              <w:rPr>
                <w:rFonts w:ascii="Sylfaen" w:hAnsi="Sylfaen" w:cs="Sylfaen"/>
                <w:b w:val="0"/>
                <w:sz w:val="22"/>
                <w:lang w:val="en-US"/>
              </w:rPr>
              <w:t>Compression</w:t>
            </w:r>
          </w:p>
        </w:tc>
        <w:tc>
          <w:tcPr>
            <w:tcW w:type="dxa" w:w="3043"/>
          </w:tcPr>
          <w:p>
            <w:pPr>
              <w:spacing w:line="240" w:lineRule="auto"/>
            </w:pPr>
            <w:r>
              <w:rPr>
                <w:rFonts w:ascii="Sylfaen" w:hAnsi="Sylfaen" w:cs="Sylfaen"/>
                <w:b w:val="0"/>
                <w:sz w:val="22"/>
                <w:lang w:val="en-US"/>
              </w:rPr>
              <w:t>Equal token budget need not mean equal information</w:t>
            </w:r>
          </w:p>
        </w:tc>
        <w:tc>
          <w:tcPr>
            <w:tcW w:type="dxa" w:w="3043"/>
          </w:tcPr>
          <w:p>
            <w:pPr>
              <w:spacing w:line="240" w:lineRule="auto"/>
            </w:pPr>
            <w:r>
              <w:rPr>
                <w:rFonts w:ascii="Sylfaen" w:hAnsi="Sylfaen" w:cs="Sylfaen"/>
                <w:b w:val="0"/>
                <w:sz w:val="22"/>
                <w:lang w:val="en-US"/>
              </w:rPr>
              <w:t>Effective history-coverage logged per turn as a manipulation check; B+ holds compression constant against C</w:t>
            </w:r>
          </w:p>
        </w:tc>
      </w:tr>
      <w:tr>
        <w:tc>
          <w:tcPr>
            <w:tcW w:type="dxa" w:w="2249"/>
          </w:tcPr>
          <w:p>
            <w:pPr>
              <w:spacing w:line="240" w:lineRule="auto"/>
            </w:pPr>
            <w:r>
              <w:rPr>
                <w:rFonts w:ascii="Sylfaen" w:hAnsi="Sylfaen" w:cs="Sylfaen"/>
                <w:b w:val="0"/>
                <w:sz w:val="22"/>
                <w:lang w:val="en-US"/>
              </w:rPr>
              <w:t>Compute / storage / latency</w:t>
            </w:r>
          </w:p>
        </w:tc>
        <w:tc>
          <w:tcPr>
            <w:tcW w:type="dxa" w:w="3043"/>
          </w:tcPr>
          <w:p>
            <w:pPr>
              <w:spacing w:line="240" w:lineRule="auto"/>
            </w:pPr>
            <w:r>
              <w:rPr>
                <w:rFonts w:ascii="Sylfaen" w:hAnsi="Sylfaen" w:cs="Sylfaen"/>
                <w:b w:val="0"/>
                <w:sz w:val="22"/>
                <w:lang w:val="en-US"/>
              </w:rPr>
              <w:t>C's extra LLM passes could buy an unfair advantage</w:t>
            </w:r>
          </w:p>
        </w:tc>
        <w:tc>
          <w:tcPr>
            <w:tcW w:type="dxa" w:w="3043"/>
          </w:tcPr>
          <w:p>
            <w:pPr>
              <w:spacing w:line="240" w:lineRule="auto"/>
            </w:pPr>
            <w:r>
              <w:rPr>
                <w:rFonts w:ascii="Sylfaen" w:hAnsi="Sylfaen" w:cs="Sylfaen"/>
                <w:b w:val="0"/>
                <w:sz w:val="22"/>
                <w:lang w:val="en-US"/>
              </w:rPr>
              <w:t>All expensive operations run offline; the synchronous path is read-only with zero in-turn LLM calls; per-turn retrieval latency measured and reported for B/B+/C; per-event payload capped at B's</w:t>
            </w:r>
          </w:p>
        </w:tc>
      </w:tr>
      <w:tr>
        <w:tc>
          <w:tcPr>
            <w:tcW w:type="dxa" w:w="2249"/>
          </w:tcPr>
          <w:p>
            <w:pPr>
              <w:spacing w:line="240" w:lineRule="auto"/>
            </w:pPr>
            <w:r>
              <w:rPr>
                <w:rFonts w:ascii="Sylfaen" w:hAnsi="Sylfaen" w:cs="Sylfaen"/>
                <w:b w:val="0"/>
                <w:sz w:val="22"/>
                <w:lang w:val="en-US"/>
              </w:rPr>
              <w:t>Held constant (all conditions)</w:t>
            </w:r>
          </w:p>
        </w:tc>
        <w:tc>
          <w:tcPr>
            <w:tcW w:type="dxa" w:w="3043"/>
          </w:tcPr>
          <w:p>
            <w:pPr>
              <w:spacing w:line="240" w:lineRule="auto"/>
            </w:pPr>
            <w:r>
              <w:rPr>
                <w:rFonts w:ascii="Sylfaen" w:hAnsi="Sylfaen" w:cs="Sylfaen"/>
                <w:b w:val="0"/>
                <w:sz w:val="22"/>
              </w:rPr>
            </w:r>
          </w:p>
        </w:tc>
        <w:tc>
          <w:tcPr>
            <w:tcW w:type="dxa" w:w="3043"/>
          </w:tcPr>
          <w:p>
            <w:pPr>
              <w:spacing w:line="240" w:lineRule="auto"/>
            </w:pPr>
            <w:r>
              <w:rPr>
                <w:rFonts w:ascii="Sylfaen" w:hAnsi="Sylfaen" w:cs="Sylfaen"/>
                <w:b w:val="0"/>
                <w:sz w:val="22"/>
                <w:lang w:val="en-US"/>
              </w:rPr>
              <w:t>LLM brain, retrieval trigger, injection point, per-turn latency budget, total retrievable-token budget, query embedding model, volatile working window</w:t>
            </w:r>
          </w:p>
        </w:tc>
      </w:tr>
    </w:tbl>
    <w:p>
      <w:pPr/>
    </w:p>
    <w:p>
      <w:pPr>
        <w:jc w:val="both"/>
      </w:pPr>
      <w:r>
        <w:rPr>
          <w:rFonts w:ascii="Sylfaen" w:hAnsi="Sylfaen" w:cs="Sylfaen"/>
          <w:b w:val="0"/>
          <w:sz w:val="24"/>
          <w:lang w:val="en-US"/>
        </w:rPr>
        <w:t>Every architectural parameter — segmentation threshold, salience rubric and floor, salience-to-stability coefficient, gist-to-anchor stability ratio, decay constants, consolidation cluster size and cutoff, activation form — is fixed a priori and pre-registered, with externally anchored values (e.g. decay constants seeded from MemoryBank [6]) and a required sensitivity analysis (3.7), so that no free knob can be tuned toward the social outcome. In the full protocol, the salience tagger is validated against two-to-three expert human annotators (who are not study participants), and the segmentation threshold is calibrated against human topic-shift labels — in both cases against an external target, never against the study's dependent variables.</w:t>
      </w:r>
    </w:p>
    <w:p>
      <w:pPr>
        <w:pStyle w:val="Heading2"/>
        <w:numPr>
          <w:numId w:val="0"/>
        </w:numPr>
        <w:spacing w:before="160" w:after="80"/>
        <w:jc w:val="center"/>
      </w:pPr>
      <w:r>
        <w:rPr>
          <w:rFonts w:ascii="Sylfaen" w:hAnsi="Sylfaen" w:cs="Sylfaen"/>
          <w:b/>
          <w:color w:val="000000"/>
          <w:sz w:val="28"/>
          <w:lang w:val="en-US"/>
        </w:rPr>
        <w:t>3.4 Proof-of-concept implementation</w:t>
      </w:r>
    </w:p>
    <w:p>
      <w:pPr>
        <w:jc w:val="both"/>
      </w:pPr>
      <w:r>
        <w:rPr>
          <w:rFonts w:ascii="Sylfaen" w:hAnsi="Sylfaen" w:cs="Sylfaen"/>
          <w:b w:val="0"/>
          <w:sz w:val="24"/>
          <w:lang w:val="en-US"/>
        </w:rPr>
        <w:t>The proof-of-concept delivered in this thesis is a standalone memory harness, not the fielded voice application. It implements the four conditions A, B, B+, and C — exercising C's five-stage lifecycle at the fidelity reported in 4 — as an instrumentable module that operates over transcripts, deliberately outside the full Voice Companion voice pipeline. Two honest reasons motivate this scope. First, the audit of the existing platform (F17) established that the voice app today supports only condition A and would require twelve to sixteen weeks of engineering — a voice-to-memory hook, per-participant namespacing, and a deployable client — before it could host B, B+, and C for real users; that build is out of scope for the present timeframe. Second, and more importantly, the scientific object under study is the memory process, which is fully exercised by a harness operating over dialogue transcripts. Decoupling the memory engine from speech-to-text, text-to-speech, and turn-taking lets the proof-of-concept demonstrate and instrument the mechanisms — event segmentation, salience-gated encoding, dual-decay representation, lazy Ebbinghaus decay and reinforcement, offline consolidation, and gist-first retrieval — cleanly and reproducibly.</w:t>
      </w:r>
    </w:p>
    <w:p>
      <w:pPr>
        <w:jc w:val="both"/>
      </w:pPr>
      <w:r>
        <w:rPr>
          <w:rFonts w:ascii="Sylfaen" w:hAnsi="Sylfaen" w:cs="Sylfaen"/>
          <w:b w:val="0"/>
          <w:sz w:val="24"/>
          <w:lang w:val="en-US"/>
        </w:rPr>
        <w:t>The harness is therefore presented as a demonstration of the mechanisms and a substrate for the technical and simulated evaluation of 3.5, not as a deployed study apparatus. It embodies the fairness architecture of 3.3 directly: a shared retrieval trigger, injection point, and token budget across conditions; per-condition isolated stores; offline batch jobs for segmentation, salience scoring, gisting, and consolidation; and a read-only synchronous retrieval path with lazily-evaluated decay and zero in-turn LLM calls. Following the cheapest-viable-cut analysis (F18), the proof-of-concept prioritizes the non-negotiable core — B+, consolidation, simple lazy decay, and the gist/anchor representation — and may defer the most expensive refinements (programmatic salience-gating at scale, associative pre-expansion, the anchor-regex trigger, and the automated sensitivity sweep) to the full build, with any such deferrals reported explicitly rather than silently assumed. The per-turn synchronous cost is dominated by a single sub-100-millisecond vector query plus O(k) arithmetic, comfortably inside the roughly two-to-five-second voice turn documented for the platform (F17); latency parity between B, B+, and C is reported empirically from the harness rather than asserted.</w:t>
      </w:r>
    </w:p>
    <w:p>
      <w:pPr>
        <w:pStyle w:val="Heading2"/>
        <w:numPr>
          <w:numId w:val="0"/>
        </w:numPr>
        <w:spacing w:before="160" w:after="80"/>
        <w:jc w:val="center"/>
      </w:pPr>
      <w:r>
        <w:rPr>
          <w:rFonts w:ascii="Sylfaen" w:hAnsi="Sylfaen" w:cs="Sylfaen"/>
          <w:b/>
          <w:color w:val="000000"/>
          <w:sz w:val="28"/>
          <w:lang w:val="en-US"/>
        </w:rPr>
        <w:t>3.5 Evaluation methodology</w:t>
      </w:r>
    </w:p>
    <w:p>
      <w:pPr>
        <w:jc w:val="both"/>
      </w:pPr>
      <w:r>
        <w:rPr>
          <w:rFonts w:ascii="Sylfaen" w:hAnsi="Sylfaen" w:cs="Sylfaen"/>
          <w:b w:val="0"/>
          <w:sz w:val="24"/>
          <w:lang w:val="en-US"/>
        </w:rPr>
        <w:t>The architecture is evaluated along three tracks of increasing ecological ambition and decreasing present-tense executability: a technical evaluation (reported in 4), a simulated-user evaluation (reported in 4, with strong stated limits), and a designed human-subject protocol (specified here, deferred to future work). The separation is deliberate: the first two tracks probe the mechanisms and generate hypotheses; only the third can adjudicate the perceptual claims, and it is not run in this thesis.</w:t>
      </w:r>
    </w:p>
    <w:p>
      <w:pPr>
        <w:jc w:val="both"/>
      </w:pPr>
      <w:r>
        <w:rPr>
          <w:rFonts w:ascii="Sylfaen" w:hAnsi="Sylfaen" w:cs="Sylfaen"/>
          <w:b w:val="0"/>
          <w:sz w:val="24"/>
          <w:lang w:val="en-US"/>
        </w:rPr>
        <w:t>(a) Technical evaluation. A benchmark-style assessment runs the four conditions over synthetic multi-session dialogues and measures three families of quantity: recall quality (factual recall of prior-session content, in the manner of the long-term-memory benchmarks of 2.5); temporal reasoning (the category consistently weakest across LoCoMo and LongMemEval [1,2]); and latency (per-turn synchronous retrieval time for B, B+, and C, establishing the parity claimed in 3.4). Two cautions from the literature are honored. First, because published memory-benchmark numbers have proven unreliable and their automatic judges permissive (F9, [32,33]), the harness re-validates its own judging procedure rather than inheriting a flawed one, and reports absolute scores against that caveat. Second, technical recall accuracy is explicitly not the thesis's target outcome — indeed the design predicts C may recall less verbatim than B by intent — so these metrics characterize the mechanisms and check that C's forgetting is graceful rather than defective; they are not a proxy for the perceived-relationship outcomes.</w:t>
      </w:r>
    </w:p>
    <w:p>
      <w:pPr>
        <w:jc w:val="both"/>
      </w:pPr>
      <w:r>
        <w:rPr>
          <w:rFonts w:ascii="Sylfaen" w:hAnsi="Sylfaen" w:cs="Sylfaen"/>
          <w:b w:val="0"/>
          <w:sz w:val="24"/>
          <w:lang w:val="en-US"/>
        </w:rPr>
        <w:t>(b) Simulated-user evaluation. To probe the social constructs without human participants, the harness is exercised in multi-session dialogues with an LLM acting as a simulated user, and a separate LLM judge rates each condition on the social constructs of 3.6 (social presence, alliance, believability/humanlikeness, plus the intelligence and privacy items). This track is framed with deliberate epistemic humility: it is a simulated proxy, not a substitute for human perception, and it cannot validate the perceptual hypotheses. Its stated validity limits are threefold: an LLM judge's ratings of "social presence" or "trust" have unknown correspondence to human experience and may reflect surface textual features (e.g. the very legibility B+ controls for) rather than felt relationship; simulated users lack the stakes, memory-over-weeks, and privacy sensitivities of real users, so the double-edged memory effects central to this work (F4) may not manifest; and judge and generator models can share biases that inflate agreement. Accordingly the simulated arm is used to (i) sanity-check that the conditions produce distinguishable behavior, (ii) generate and sharpen predictions for the human protocol, and (iii) exercise the exact instrument operationalization (3.6) end-to-end. Any simulated C-versus-B+ difference is reported as a mechanism-level signal, never as evidence about human perception.</w:t>
      </w:r>
    </w:p>
    <w:p>
      <w:pPr>
        <w:jc w:val="both"/>
      </w:pPr>
      <w:r>
        <w:rPr>
          <w:rFonts w:ascii="Sylfaen" w:hAnsi="Sylfaen" w:cs="Sylfaen"/>
          <w:b w:val="0"/>
          <w:sz w:val="24"/>
          <w:lang w:val="en-US"/>
        </w:rPr>
        <w:t>(c) Designed human-subject protocol (future work). The perceptual claims of the aim can be settled only by a human study, which this thesis fully specifies but does not execute. The design is a within-subject (repeated-measures) comparison of B, B+, and C — three arms, with A demoted to a short scripted calibration touch — at n ≈ 20, each condition experienced over a full three-week horizon so that C's slow-accruing consolidation has time to manifest, with isolated per-condition stores, counterbalanced order, a washout period, and a pre-registered order-effect test to control carryover. The primary instrument is the Artificial Social Agent Questionnaire [14] (3.6). Two design features follow directly from the pressure-test (F18): the analysis targets the late, post-consolidation window (and consolidation-density-moderated effects), not the grand within-condition mean, because that is where any C-only effect lives; and warm, attributable forgetting is a pre-registered architectural rule, so that a soft-discarded item yields a warm partial acknowledgment ("I don't remember the details, but I know it mattered to you") rather than a blank, neutralizing the documented "being forgotten means I matter less" negative signal that would otherwise contaminate the trust and intelligence measures. The protocol adds event-sensitive and behavioral dependent variables (post-episode micro-ratings, self-disclosure depth, voluntary return and usage) and mandatory coded interviews (at least two coders analyzing whether users noticed and valued the memory dynamics), so that even a self-report null becomes an interpretable dissociation map rather than an empty result.</w:t>
      </w:r>
    </w:p>
    <w:p>
      <w:pPr>
        <w:jc w:val="both"/>
      </w:pPr>
      <w:r>
        <w:rPr>
          <w:rFonts w:ascii="Sylfaen" w:hAnsi="Sylfaen" w:cs="Sylfaen"/>
          <w:b w:val="0"/>
          <w:sz w:val="24"/>
          <w:lang w:val="en-US"/>
        </w:rPr>
        <w:t>The sample size is deliberately not powered to confirm C &gt; B+. An a-priori power analysis (F18) shows that this contrast, the smallest in the design (dz ≈ 0.28, diluted further by cold-start), would require n ≈ 116–159 to detect at conventional power, whereas n ≈ 20 is the norm for this study class (F12) and yields only 2–12% power on this specific comparison. The protocol is therefore powered for the comparisons where power is attainable — C &gt; A, and directional B+ &gt; B and C &gt; B — and treats C &gt; B+ as an estimation target (effect size with 95% confidence interval), exactly as 3.1 and 3.7 prescribe. This is the honest reconciliation of an ambitious question with an attainable sample, and it is stated in the protocol so that a precise null reads as an anticipated, interpretable outcome rather than a post-hoc rescue.</w:t>
      </w:r>
    </w:p>
    <w:p>
      <w:pPr>
        <w:pStyle w:val="Heading2"/>
        <w:numPr>
          <w:numId w:val="0"/>
        </w:numPr>
        <w:spacing w:before="160" w:after="80"/>
        <w:jc w:val="center"/>
      </w:pPr>
      <w:r>
        <w:rPr>
          <w:rFonts w:ascii="Sylfaen" w:hAnsi="Sylfaen" w:cs="Sylfaen"/>
          <w:b/>
          <w:color w:val="000000"/>
          <w:sz w:val="28"/>
          <w:lang w:val="en-US"/>
        </w:rPr>
        <w:t>3.6 Measures and instruments</w:t>
      </w:r>
    </w:p>
    <w:p>
      <w:pPr>
        <w:jc w:val="both"/>
      </w:pPr>
      <w:r>
        <w:rPr>
          <w:rFonts w:ascii="Sylfaen" w:hAnsi="Sylfaen" w:cs="Sylfaen"/>
          <w:b w:val="0"/>
          <w:sz w:val="24"/>
          <w:lang w:val="en-US"/>
        </w:rPr>
        <w:t>The dependent variables are the user-perceived social constructs named in the aim, operationalized through validated instruments (F11). The primary instrument is the Artificial Social Agent Questionnaire (ASAQ) [14], a validated, openly-licensed questionnaire capturing nineteen constructs in long (90-item) and short (24-item) forms. Three ASAQ constructs carry the primary hypothesis:</w:t>
      </w:r>
    </w:p>
    <w:p>
      <w:pPr>
        <w:jc w:val="both"/>
      </w:pPr>
      <w:r>
        <w:rPr>
          <w:rFonts w:ascii="Sylfaen" w:hAnsi="Sylfaen" w:cs="Sylfaen"/>
          <w:b w:val="0"/>
          <w:sz w:val="24"/>
          <w:lang w:val="en-US"/>
        </w:rPr>
        <w:t>•  Social presence — the sense of being with another social entity;</w:t>
      </w:r>
    </w:p>
    <w:p>
      <w:pPr>
        <w:jc w:val="both"/>
      </w:pPr>
      <w:r>
        <w:rPr>
          <w:rFonts w:ascii="Sylfaen" w:hAnsi="Sylfaen" w:cs="Sylfaen"/>
          <w:b w:val="0"/>
          <w:sz w:val="24"/>
          <w:lang w:val="en-US"/>
        </w:rPr>
        <w:t>•  User–agent alliance — the bond-, goal-, and task-oriented working relationship, complementable by a WAI-SR adaptation (see 2.6);</w:t>
      </w:r>
    </w:p>
    <w:p>
      <w:pPr>
        <w:jc w:val="both"/>
      </w:pPr>
      <w:r>
        <w:rPr>
          <w:rFonts w:ascii="Sylfaen" w:hAnsi="Sylfaen" w:cs="Sylfaen"/>
          <w:b w:val="0"/>
          <w:sz w:val="24"/>
          <w:lang w:val="en-US"/>
        </w:rPr>
        <w:t>•  Perceived humanlikeness — the canonical name of the third primary construct in our own voice, operationalized via ASAQ's believability subscale. Following the naming convention fixed for this thesis (F11), "believability" is used only as the instrument subscale, never as the dependent-variable name.</w:t>
      </w:r>
    </w:p>
    <w:p>
      <w:pPr>
        <w:jc w:val="both"/>
      </w:pPr>
      <w:r>
        <w:rPr>
          <w:rFonts w:ascii="Sylfaen" w:hAnsi="Sylfaen" w:cs="Sylfaen"/>
          <w:b w:val="0"/>
          <w:sz w:val="24"/>
          <w:lang w:val="en-US"/>
        </w:rPr>
        <w:t>Secondary and control constructs, tied to the secondary hypotheses of 1.2, are measured alongside: perceived intelligence via the Godspeed intelligence subscale (see 2.6) (targeting H2a, that verbatim RAG scores highest on intelligence), and privacy-related comfort and trust via Cox-style privacy items adapted from [11] (targeting H2b, that verbatim recall scores lowest on trust and privacy comfort — the prediction the gist/anchor representation of 3.2 is designed to address). Perceived humanlikeness may be additionally cross-checked against Godspeed anthropomorphism, with Godspeed treated as psychometrically secondary given its documented criticisms (F11). A hypothesis-to-instrument map fixes, before any data collection, which subscale scores each hypothesis.</w:t>
      </w:r>
    </w:p>
    <w:p>
      <w:pPr>
        <w:jc w:val="both"/>
      </w:pPr>
      <w:r>
        <w:rPr>
          <w:rFonts w:ascii="Sylfaen" w:hAnsi="Sylfaen" w:cs="Sylfaen"/>
          <w:b w:val="0"/>
          <w:sz w:val="24"/>
          <w:lang w:val="en-US"/>
        </w:rPr>
        <w:t>For the simulated arm (3.5b), the same constructs are operationalized as an LLM-judge protocol: the judge is given a rubric derived item-by-item from the ASAQ, Godspeed, and Cox subscales and rates transcripts on the corresponding scales, so that the simulated and human tracks share an identical measurement definition. The judge operationalization is reported in full — the rubric, the scale anchors, the prompt, and a judge-reliability check against a small held-out set of transcripts co-rated by human annotators — precisely because the benchmark-credibility crisis (F9) shows that an unvalidated LLM judge is untrustworthy. Where such human validation is absent, the simulated ratings are reported as behavioral-distinguishability signals only, without construct-level interpretation. The simulated ratings are reported strictly under the validity limits of 3.5(b).</w:t>
      </w:r>
    </w:p>
    <w:p>
      <w:pPr>
        <w:pStyle w:val="Heading2"/>
        <w:numPr>
          <w:numId w:val="0"/>
        </w:numPr>
        <w:spacing w:before="160" w:after="80"/>
        <w:jc w:val="center"/>
      </w:pPr>
      <w:r>
        <w:rPr>
          <w:rFonts w:ascii="Sylfaen" w:hAnsi="Sylfaen" w:cs="Sylfaen"/>
          <w:b/>
          <w:color w:val="000000"/>
          <w:sz w:val="28"/>
          <w:lang w:val="en-US"/>
        </w:rPr>
        <w:t>3.7 Analysis plan</w:t>
      </w:r>
    </w:p>
    <w:p>
      <w:pPr>
        <w:jc w:val="both"/>
      </w:pPr>
      <w:r>
        <w:rPr>
          <w:rFonts w:ascii="Sylfaen" w:hAnsi="Sylfaen" w:cs="Sylfaen"/>
          <w:b w:val="0"/>
          <w:sz w:val="24"/>
          <w:lang w:val="en-US"/>
        </w:rPr>
        <w:t>The analysis follows an estimation-first philosophy, matched to the inferential stance of 3.1. For every condition contrast the primary reported quantity is an effect size (Cohen's dz for the within-subject contrasts) accompanied by a 95% confidence interval, rather than a dichotomous significance verdict. For the confirmatory comparisons where power exists (C &gt; A; directional B+ &gt; B and C &gt; B) a Holm-corrected hypothesis test is reported alongside the estimate. For the central C &gt; B+ contrast, only the estimate-with-interval is interpreted, using precision and equivalence logic: a tight interval straddling zero is reported as evidence that human-memory dynamics add little perceptual margin over curated static memory, and — consistent with 3.1 — this null is presented as a substantive finding the B+ control was designed to make interpretable, with null-handling pre-registered so that it reads as anticipated. Where the deferred protocol's late-window and consolidation-density-moderated analyses apply (3.5c), consolidation density, per-tier retrieval share, salience write-rate, and effective history-coverage are entered as pre-registered covariates.</w:t>
      </w:r>
    </w:p>
    <w:p>
      <w:pPr>
        <w:jc w:val="both"/>
      </w:pPr>
      <w:r>
        <w:rPr>
          <w:rFonts w:ascii="Sylfaen" w:hAnsi="Sylfaen" w:cs="Sylfaen"/>
          <w:b w:val="0"/>
          <w:sz w:val="24"/>
          <w:lang w:val="en-US"/>
        </w:rPr>
        <w:t>A sensitivity analysis is mandatory and pre-specified: the externally-anchored decay constants are varied (stability base halved and doubled, the decay exponent and floor swept, and a power-law decay variant substituted for the exponential), and the substantive conclusions are reported as robust or fragile across this range. This directly answers the cherry-picking objection to a parameterized architecture and prevents a result from resting on one fortunate constant.</w:t>
      </w:r>
    </w:p>
    <w:p>
      <w:pPr>
        <w:jc w:val="both"/>
      </w:pPr>
      <w:r>
        <w:rPr>
          <w:rFonts w:ascii="Sylfaen" w:hAnsi="Sylfaen" w:cs="Sylfaen"/>
          <w:b w:val="0"/>
          <w:sz w:val="24"/>
          <w:lang w:val="en-US"/>
        </w:rPr>
        <w:t>The entire plan — the architectural parameters and their externally-anchored values, the salience-rubric prompt verbatim, the condition set, the hypothesis-to-instrument map, the primary and covariate analyses, the sensitivity sweep, and the null-handling rule — is pre-registered before any data collection. Pre-registration is treated here not as a formality but as the load-bearing guarantee of the design's defensibility: because the scientifically central contrast is an estimation target at high null-risk, the credibility of the eventual claim depends on the analysis having been fixed in advance of seeing the data.</w:t>
      </w:r>
    </w:p>
    <w:p>
      <w:pPr>
        <w:pStyle w:val="Heading2"/>
        <w:numPr>
          <w:numId w:val="0"/>
        </w:numPr>
        <w:spacing w:before="160" w:after="80"/>
        <w:jc w:val="center"/>
      </w:pPr>
      <w:r>
        <w:rPr>
          <w:rFonts w:ascii="Sylfaen" w:hAnsi="Sylfaen" w:cs="Sylfaen"/>
          <w:b/>
          <w:color w:val="000000"/>
          <w:sz w:val="28"/>
          <w:lang w:val="en-US"/>
        </w:rPr>
        <w:t>3.8 Ethical considerations and limitations</w:t>
      </w:r>
    </w:p>
    <w:p>
      <w:pPr>
        <w:jc w:val="both"/>
      </w:pPr>
      <w:r>
        <w:rPr>
          <w:rFonts w:ascii="Sylfaen" w:hAnsi="Sylfaen" w:cs="Sylfaen"/>
          <w:b w:val="0"/>
          <w:sz w:val="24"/>
          <w:lang w:val="en-US"/>
        </w:rPr>
        <w:t>No human-subject data are collected in this thesis. The work delivers a design, a proof-of-concept harness, and a technical and simulated evaluation; the human-subject study of 3.5(c) is a specified protocol reserved for future work. Consequently the ethical obligations that attach to the deferred study — informed consent, the handling of the self-disclosure the salience rubric is explicitly designed to elicit and retain, per-participant data isolation and namespacing, the right to withdraw and to have one's memory store deleted, and institutional review — are stated as prerequisites of that future study rather than as measures taken here. The privacy-sensitive nature of a long-term memory that records what users disclose over weeks is itself part of the object of study (the Cox privacy finding [11] and the fuzzy-trace response of 3.2), which sharpens rather than lessens the obligation to treat those data carefully when the study is eventually run.</w:t>
      </w:r>
    </w:p>
    <w:p>
      <w:pPr>
        <w:jc w:val="both"/>
      </w:pPr>
      <w:r>
        <w:rPr>
          <w:rFonts w:ascii="Sylfaen" w:hAnsi="Sylfaen" w:cs="Sylfaen"/>
          <w:b w:val="0"/>
          <w:sz w:val="24"/>
          <w:lang w:val="en-US"/>
        </w:rPr>
        <w:t>The methodology carries three classes of limitation, stated plainly.</w:t>
      </w:r>
    </w:p>
    <w:p>
      <w:pPr>
        <w:jc w:val="both"/>
      </w:pPr>
      <w:r>
        <w:rPr>
          <w:rFonts w:ascii="Sylfaen" w:hAnsi="Sylfaen" w:cs="Sylfaen"/>
          <w:b w:val="0"/>
          <w:sz w:val="24"/>
          <w:lang w:val="en-US"/>
        </w:rPr>
        <w:t>Evaluation-validity limitations. The simulated-user track (3.5b) is a proxy of unknown fidelity to human perception: an LLM judge may rate surface legibility rather than felt relationship — the very confound B+ exists to control — and simulated users lack the stakes, temporal depth, and privacy sensitivities that make memory double-edged in real use (F4). No perceptual conclusion is drawn from the simulated arm; it generates hypotheses and exercises the instrument, nothing more. The technical track measures factual recall and latency, which the design deliberately does not equate with perceived-relationship quality, and it runs over synthetic dialogues whose distribution may not match real multi-session voice interaction.</w:t>
      </w:r>
    </w:p>
    <w:p>
      <w:pPr>
        <w:jc w:val="both"/>
      </w:pPr>
      <w:r>
        <w:rPr>
          <w:rFonts w:ascii="Sylfaen" w:hAnsi="Sylfaen" w:cs="Sylfaen"/>
          <w:b w:val="0"/>
          <w:sz w:val="24"/>
          <w:lang w:val="en-US"/>
        </w:rPr>
        <w:t>Inferential limitations. Even when executed, the human protocol is not powered to confirm the central C &gt; B+ contrast (3.1, 3.5c); that contrast is an estimation target, and the thesis's confirmatory claims are confined to the better-powered comparisons. The single-language, single-modality scope (English, voice-only) established in 1 bounds external validity to the tested condition.</w:t>
      </w:r>
    </w:p>
    <w:p>
      <w:pPr>
        <w:jc w:val="both"/>
      </w:pPr>
      <w:r>
        <w:rPr>
          <w:rFonts w:ascii="Sylfaen" w:hAnsi="Sylfaen" w:cs="Sylfaen"/>
          <w:b w:val="0"/>
          <w:sz w:val="24"/>
          <w:lang w:val="en-US"/>
        </w:rPr>
        <w:t>Theory-fidelity limitations. As detailed in 3.2, Profile C composes rather than unifies its five source theories, and it makes three named omissions: it omits interference, the dominant dynamic of human forgetting, modeling only time-and-salience decay; its precision-first consolidation deliberately suppresses the reconstructive and schema-driven distortion that fuzzy-trace and complementary learning systems most distinctively predict, trading cognitive realism on the humanlikeness axis for the safety of not asserting confident false generalizations; and it models temporal-order and source memory only weakly. The complementary-learning-systems grounding is invoked in the spirit of its episodic-to-semantic transfer function rather than as a claim of interleaved, interference-protected cortical learning, and the encoding-time salience mechanism is acknowledged as much a levels-of-processing effect as a modal-model one. These are principled engineering choices, disclosed so that the architecture's cognitive-grounding claim is understood as design-time inspiration with measurable behavioral signatures, consistent with 2.2, and not as a claim of psychological fidelity. Each omission is, correspondingly, a concrete direction for future work.</w:t>
      </w:r>
    </w:p>
    <w:p>
      <w:pPr>
        <w:pStyle w:val="Heading1"/>
        <w:pageBreakBefore/>
        <w:numPr>
          <w:numId w:val="0"/>
        </w:numPr>
        <w:spacing w:before="360" w:after="80"/>
        <w:jc w:val="center"/>
      </w:pPr>
      <w:r>
        <w:rPr>
          <w:rFonts w:ascii="Sylfaen" w:hAnsi="Sylfaen" w:cs="Sylfaen"/>
          <w:b/>
          <w:color w:val="000000"/>
          <w:sz w:val="28"/>
          <w:lang w:val="en-US"/>
        </w:rPr>
        <w:t>4. Results and Discussion</w:t>
      </w:r>
    </w:p>
    <w:p>
      <w:pPr>
        <w:jc w:val="both"/>
      </w:pPr>
      <w:r>
        <w:rPr>
          <w:rFonts w:ascii="Sylfaen" w:hAnsi="Sylfaen" w:cs="Sylfaen"/>
          <w:b w:val="0"/>
          <w:sz w:val="24"/>
          <w:lang w:val="en-US"/>
        </w:rPr>
        <w:t>This chapter reports the proof-of-concept implementation and its two-track evaluation (3.4–3.5), and discusses what the results establish and — as importantly — what they do not. The design deliberately does not stake its central perceptual claim on this evaluation (3.1); the technical track demonstrates that the mechanisms behave as designed and are distinguishable across conditions, and the simulated track both estimates the direction of the perceptual effects and, in one respect, delivers a substantive methodological finding about the limits of simulated evaluation itself.</w:t>
      </w:r>
    </w:p>
    <w:p>
      <w:pPr>
        <w:pStyle w:val="Heading2"/>
        <w:numPr>
          <w:numId w:val="0"/>
        </w:numPr>
        <w:spacing w:before="160" w:after="80"/>
        <w:jc w:val="center"/>
      </w:pPr>
      <w:r>
        <w:rPr>
          <w:rFonts w:ascii="Sylfaen" w:hAnsi="Sylfaen" w:cs="Sylfaen"/>
          <w:b/>
          <w:color w:val="000000"/>
          <w:sz w:val="28"/>
          <w:lang w:val="en-US"/>
        </w:rPr>
        <w:t>4.1 Proof-of-concept: scope and fidelity</w:t>
      </w:r>
    </w:p>
    <w:p>
      <w:pPr>
        <w:jc w:val="both"/>
      </w:pPr>
      <w:r>
        <w:rPr>
          <w:rFonts w:ascii="Sylfaen" w:hAnsi="Sylfaen" w:cs="Sylfaen"/>
          <w:b w:val="0"/>
          <w:sz w:val="24"/>
          <w:lang w:val="en-US"/>
        </w:rPr>
        <w:t>The proof-of-concept is a standalone Python memory harness that implements the four conditions (A, B, B+, C) over multi-session dialogue transcripts, using OpenAI gpt-4o-mini for the language-model roles (salience scoring, gisting, consolidation, the conversational agent, and the judge) and text-embedding-3-small for retrieval. It was exercised over three synthetic user personas, each a four-session conversation with planted salient facts (names, allergies, family), one-off trivia (a passing weather remark, a forgotten film title, a café mentioned once), and a recurring emotional theme (thesis-deadline stress, co-founder conflict, night-shift exhaustion). The identical user-turn scripts were replayed through all four conditions, so every condition saw the same input and differed only in its memory mechanism. The complete run cost approximately USD 0.01 and took under seven minutes.</w:t>
      </w:r>
    </w:p>
    <w:p>
      <w:pPr>
        <w:jc w:val="both"/>
      </w:pPr>
      <w:r>
        <w:rPr>
          <w:rFonts w:ascii="Sylfaen" w:hAnsi="Sylfaen" w:cs="Sylfaen"/>
          <w:b w:val="0"/>
          <w:sz w:val="24"/>
          <w:lang w:val="en-US"/>
        </w:rPr>
        <w:t>Table 4.1 states the fidelity of the harness against the full architecture of 3.2, honestly separating what is implemented from what is deferred (per the cheapest-viable-cut of F18).</w:t>
      </w:r>
    </w:p>
    <w:p>
      <w:pPr>
        <w:spacing w:line="240" w:lineRule="auto"/>
        <w:jc w:val="both"/>
      </w:pPr>
      <w:r>
        <w:rPr>
          <w:rFonts w:ascii="Sylfaen" w:hAnsi="Sylfaen" w:cs="Sylfaen"/>
          <w:b/>
          <w:sz w:val="22"/>
          <w:lang w:val="en-US"/>
        </w:rPr>
        <w:t>Table 4.1. Proof-of-concept fidelity against the full architecture of 3.2</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en-US"/>
              </w:rPr>
              <w:t>Mechanism (3.2)</w:t>
            </w:r>
          </w:p>
        </w:tc>
        <w:tc>
          <w:tcPr>
            <w:tcW w:type="dxa" w:w="4167"/>
          </w:tcPr>
          <w:p>
            <w:pPr>
              <w:spacing w:line="240" w:lineRule="auto"/>
            </w:pPr>
            <w:r>
              <w:rPr>
                <w:rFonts w:ascii="Sylfaen" w:hAnsi="Sylfaen" w:cs="Sylfaen"/>
                <w:b/>
                <w:sz w:val="22"/>
                <w:lang w:val="en-US"/>
              </w:rPr>
              <w:t>Fidelity in the proof-of-concept</w:t>
            </w:r>
          </w:p>
        </w:tc>
      </w:tr>
      <w:tr>
        <w:tc>
          <w:tcPr>
            <w:tcW w:type="dxa" w:w="4167"/>
          </w:tcPr>
          <w:p>
            <w:pPr>
              <w:spacing w:line="240" w:lineRule="auto"/>
            </w:pPr>
            <w:r>
              <w:rPr>
                <w:rFonts w:ascii="Sylfaen" w:hAnsi="Sylfaen" w:cs="Sylfaen"/>
                <w:b w:val="0"/>
                <w:sz w:val="22"/>
                <w:lang w:val="en-US"/>
              </w:rPr>
              <w:t>Salience-gated encoding</w:t>
            </w:r>
          </w:p>
        </w:tc>
        <w:tc>
          <w:tcPr>
            <w:tcW w:type="dxa" w:w="4167"/>
          </w:tcPr>
          <w:p>
            <w:pPr>
              <w:spacing w:line="240" w:lineRule="auto"/>
            </w:pPr>
            <w:r>
              <w:rPr>
                <w:rFonts w:ascii="Sylfaen" w:hAnsi="Sylfaen" w:cs="Sylfaen"/>
                <w:b w:val="0"/>
                <w:sz w:val="22"/>
                <w:lang w:val="en-US"/>
              </w:rPr>
              <w:t>Implemented (LLM rubric, four dimensions)</w:t>
            </w:r>
          </w:p>
        </w:tc>
      </w:tr>
      <w:tr>
        <w:tc>
          <w:tcPr>
            <w:tcW w:type="dxa" w:w="4167"/>
          </w:tcPr>
          <w:p>
            <w:pPr>
              <w:spacing w:line="240" w:lineRule="auto"/>
            </w:pPr>
            <w:r>
              <w:rPr>
                <w:rFonts w:ascii="Sylfaen" w:hAnsi="Sylfaen" w:cs="Sylfaen"/>
                <w:b w:val="0"/>
                <w:sz w:val="22"/>
                <w:lang w:val="en-US"/>
              </w:rPr>
              <w:t>Gist + verbatim anchor representation</w:t>
            </w:r>
          </w:p>
        </w:tc>
        <w:tc>
          <w:tcPr>
            <w:tcW w:type="dxa" w:w="4167"/>
          </w:tcPr>
          <w:p>
            <w:pPr>
              <w:spacing w:line="240" w:lineRule="auto"/>
            </w:pPr>
            <w:r>
              <w:rPr>
                <w:rFonts w:ascii="Sylfaen" w:hAnsi="Sylfaen" w:cs="Sylfaen"/>
                <w:b w:val="0"/>
                <w:sz w:val="22"/>
                <w:lang w:val="en-US"/>
              </w:rPr>
              <w:t>Implemented</w:t>
            </w:r>
          </w:p>
        </w:tc>
      </w:tr>
      <w:tr>
        <w:tc>
          <w:tcPr>
            <w:tcW w:type="dxa" w:w="4167"/>
          </w:tcPr>
          <w:p>
            <w:pPr>
              <w:spacing w:line="240" w:lineRule="auto"/>
            </w:pPr>
            <w:r>
              <w:rPr>
                <w:rFonts w:ascii="Sylfaen" w:hAnsi="Sylfaen" w:cs="Sylfaen"/>
                <w:b w:val="0"/>
                <w:sz w:val="22"/>
                <w:lang w:val="en-US"/>
              </w:rPr>
              <w:t>Ebbinghaus decay + reinforcement</w:t>
            </w:r>
          </w:p>
        </w:tc>
        <w:tc>
          <w:tcPr>
            <w:tcW w:type="dxa" w:w="4167"/>
          </w:tcPr>
          <w:p>
            <w:pPr>
              <w:spacing w:line="240" w:lineRule="auto"/>
            </w:pPr>
            <w:r>
              <w:rPr>
                <w:rFonts w:ascii="Sylfaen" w:hAnsi="Sylfaen" w:cs="Sylfaen"/>
                <w:b w:val="0"/>
                <w:sz w:val="22"/>
                <w:lang w:val="en-US"/>
              </w:rPr>
              <w:t>Implemented (lazy, session-unit time)</w:t>
            </w:r>
          </w:p>
        </w:tc>
      </w:tr>
      <w:tr>
        <w:tc>
          <w:tcPr>
            <w:tcW w:type="dxa" w:w="4167"/>
          </w:tcPr>
          <w:p>
            <w:pPr>
              <w:spacing w:line="240" w:lineRule="auto"/>
            </w:pPr>
            <w:r>
              <w:rPr>
                <w:rFonts w:ascii="Sylfaen" w:hAnsi="Sylfaen" w:cs="Sylfaen"/>
                <w:b w:val="0"/>
                <w:sz w:val="22"/>
                <w:lang w:val="en-US"/>
              </w:rPr>
              <w:t>Episodic→semantic consolidation</w:t>
            </w:r>
          </w:p>
        </w:tc>
        <w:tc>
          <w:tcPr>
            <w:tcW w:type="dxa" w:w="4167"/>
          </w:tcPr>
          <w:p>
            <w:pPr>
              <w:spacing w:line="240" w:lineRule="auto"/>
            </w:pPr>
            <w:r>
              <w:rPr>
                <w:rFonts w:ascii="Sylfaen" w:hAnsi="Sylfaen" w:cs="Sylfaen"/>
                <w:b w:val="0"/>
                <w:sz w:val="22"/>
                <w:lang w:val="en-US"/>
              </w:rPr>
              <w:t>Implemented (embedding clustering + LLM abstraction)</w:t>
            </w:r>
          </w:p>
        </w:tc>
      </w:tr>
      <w:tr>
        <w:tc>
          <w:tcPr>
            <w:tcW w:type="dxa" w:w="4167"/>
          </w:tcPr>
          <w:p>
            <w:pPr>
              <w:spacing w:line="240" w:lineRule="auto"/>
            </w:pPr>
            <w:r>
              <w:rPr>
                <w:rFonts w:ascii="Sylfaen" w:hAnsi="Sylfaen" w:cs="Sylfaen"/>
                <w:b w:val="0"/>
                <w:sz w:val="22"/>
                <w:lang w:val="en-US"/>
              </w:rPr>
              <w:t>Gist-first composite retrieval</w:t>
            </w:r>
          </w:p>
        </w:tc>
        <w:tc>
          <w:tcPr>
            <w:tcW w:type="dxa" w:w="4167"/>
          </w:tcPr>
          <w:p>
            <w:pPr>
              <w:spacing w:line="240" w:lineRule="auto"/>
            </w:pPr>
            <w:r>
              <w:rPr>
                <w:rFonts w:ascii="Sylfaen" w:hAnsi="Sylfaen" w:cs="Sylfaen"/>
                <w:b w:val="0"/>
                <w:sz w:val="22"/>
                <w:lang w:val="en-US"/>
              </w:rPr>
              <w:t>Implemented (relevance × retrievability × capped semantic bonus)</w:t>
            </w:r>
          </w:p>
        </w:tc>
      </w:tr>
      <w:tr>
        <w:tc>
          <w:tcPr>
            <w:tcW w:type="dxa" w:w="4167"/>
          </w:tcPr>
          <w:p>
            <w:pPr>
              <w:spacing w:line="240" w:lineRule="auto"/>
            </w:pPr>
            <w:r>
              <w:rPr>
                <w:rFonts w:ascii="Sylfaen" w:hAnsi="Sylfaen" w:cs="Sylfaen"/>
                <w:b w:val="0"/>
                <w:sz w:val="22"/>
                <w:lang w:val="en-US"/>
              </w:rPr>
              <w:t>Event segmentation</w:t>
            </w:r>
          </w:p>
        </w:tc>
        <w:tc>
          <w:tcPr>
            <w:tcW w:type="dxa" w:w="4167"/>
          </w:tcPr>
          <w:p>
            <w:pPr>
              <w:spacing w:line="240" w:lineRule="auto"/>
            </w:pPr>
            <w:r>
              <w:rPr>
                <w:rFonts w:ascii="Sylfaen" w:hAnsi="Sylfaen" w:cs="Sylfaen"/>
                <w:b w:val="0"/>
                <w:sz w:val="22"/>
                <w:lang w:val="en-US"/>
              </w:rPr>
              <w:t>Reduced: one utterance = one event (Bayesian-surprise segmentation deferred)</w:t>
            </w:r>
          </w:p>
        </w:tc>
      </w:tr>
      <w:tr>
        <w:tc>
          <w:tcPr>
            <w:tcW w:type="dxa" w:w="4167"/>
          </w:tcPr>
          <w:p>
            <w:pPr>
              <w:spacing w:line="240" w:lineRule="auto"/>
            </w:pPr>
            <w:r>
              <w:rPr>
                <w:rFonts w:ascii="Sylfaen" w:hAnsi="Sylfaen" w:cs="Sylfaen"/>
                <w:b w:val="0"/>
                <w:sz w:val="22"/>
                <w:lang w:val="en-US"/>
              </w:rPr>
              <w:t>Associative pre-expansion; anchor-regex exact-recall trigger; programmatic sensitivity sweep</w:t>
            </w:r>
          </w:p>
        </w:tc>
        <w:tc>
          <w:tcPr>
            <w:tcW w:type="dxa" w:w="4167"/>
          </w:tcPr>
          <w:p>
            <w:pPr>
              <w:spacing w:line="240" w:lineRule="auto"/>
            </w:pPr>
            <w:r>
              <w:rPr>
                <w:rFonts w:ascii="Sylfaen" w:hAnsi="Sylfaen" w:cs="Sylfaen"/>
                <w:b w:val="0"/>
                <w:sz w:val="22"/>
                <w:lang w:val="en-US"/>
              </w:rPr>
              <w:t>Deferred to the full build</w:t>
            </w:r>
          </w:p>
        </w:tc>
      </w:tr>
      <w:tr>
        <w:tc>
          <w:tcPr>
            <w:tcW w:type="dxa" w:w="4167"/>
          </w:tcPr>
          <w:p>
            <w:pPr>
              <w:spacing w:line="240" w:lineRule="auto"/>
            </w:pPr>
            <w:r>
              <w:rPr>
                <w:rFonts w:ascii="Sylfaen" w:hAnsi="Sylfaen" w:cs="Sylfaen"/>
                <w:b w:val="0"/>
                <w:sz w:val="22"/>
                <w:lang w:val="en-US"/>
              </w:rPr>
              <w:t>Real voice pipeline (STT/TTS/turn-taking)</w:t>
            </w:r>
          </w:p>
        </w:tc>
        <w:tc>
          <w:tcPr>
            <w:tcW w:type="dxa" w:w="4167"/>
          </w:tcPr>
          <w:p>
            <w:pPr>
              <w:spacing w:line="240" w:lineRule="auto"/>
            </w:pPr>
            <w:r>
              <w:rPr>
                <w:rFonts w:ascii="Sylfaen" w:hAnsi="Sylfaen" w:cs="Sylfaen"/>
                <w:b w:val="0"/>
                <w:sz w:val="22"/>
                <w:lang w:val="en-US"/>
              </w:rPr>
              <w:t>Out of scope by design — the harness studies the memory process over transcripts</w:t>
            </w:r>
          </w:p>
        </w:tc>
      </w:tr>
    </w:tbl>
    <w:p>
      <w:pPr/>
    </w:p>
    <w:p>
      <w:pPr>
        <w:jc w:val="both"/>
      </w:pPr>
      <w:r>
        <w:rPr>
          <w:rFonts w:ascii="Sylfaen" w:hAnsi="Sylfaen" w:cs="Sylfaen"/>
          <w:b w:val="0"/>
          <w:sz w:val="24"/>
          <w:lang w:val="en-US"/>
        </w:rPr>
        <w:t>Time is measured in session units rather than wall-clock, and users are simulated rather than human; both bound the interpretation and are revisited in 4.4.</w:t>
      </w:r>
    </w:p>
    <w:p>
      <w:pPr>
        <w:pStyle w:val="Heading2"/>
        <w:numPr>
          <w:numId w:val="0"/>
        </w:numPr>
        <w:spacing w:before="160" w:after="80"/>
        <w:jc w:val="center"/>
      </w:pPr>
      <w:r>
        <w:rPr>
          <w:rFonts w:ascii="Sylfaen" w:hAnsi="Sylfaen" w:cs="Sylfaen"/>
          <w:b/>
          <w:color w:val="000000"/>
          <w:sz w:val="28"/>
          <w:lang w:val="en-US"/>
        </w:rPr>
        <w:t>4.2 Technical results</w:t>
      </w:r>
    </w:p>
    <w:p>
      <w:pPr>
        <w:jc w:val="both"/>
      </w:pPr>
      <w:r>
        <w:rPr>
          <w:rFonts w:ascii="Sylfaen" w:hAnsi="Sylfaen" w:cs="Sylfaen"/>
          <w:b w:val="0"/>
          <w:sz w:val="24"/>
          <w:lang w:val="en-US"/>
        </w:rPr>
        <w:t>Cross-session recall and graceful forgetting. Table 4.2 reports the fraction of recall probes answered correctly, by probe type, aggregated over the three personas.</w:t>
      </w:r>
    </w:p>
    <w:p>
      <w:pPr>
        <w:spacing w:line="240" w:lineRule="auto"/>
        <w:jc w:val="both"/>
      </w:pPr>
      <w:r>
        <w:rPr>
          <w:rFonts w:ascii="Sylfaen" w:hAnsi="Sylfaen" w:cs="Sylfaen"/>
          <w:b/>
          <w:sz w:val="22"/>
          <w:lang w:val="en-US"/>
        </w:rPr>
        <w:t>Table 4.2. Cross-session recall accuracy by probe type</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933"/>
        <w:gridCol w:w="2007"/>
        <w:gridCol w:w="1235"/>
        <w:gridCol w:w="2161"/>
      </w:tblGrid>
      <w:tr>
        <w:tc>
          <w:tcPr>
            <w:tcW w:type="dxa" w:w="2932"/>
          </w:tcPr>
          <w:p>
            <w:pPr>
              <w:spacing w:line="240" w:lineRule="auto"/>
            </w:pPr>
            <w:r>
              <w:rPr>
                <w:rFonts w:ascii="Sylfaen" w:hAnsi="Sylfaen" w:cs="Sylfaen"/>
                <w:b/>
                <w:sz w:val="22"/>
                <w:lang w:val="en-US"/>
              </w:rPr>
              <w:t>Condition</w:t>
            </w:r>
          </w:p>
        </w:tc>
        <w:tc>
          <w:tcPr>
            <w:tcW w:type="dxa" w:w="2006"/>
          </w:tcPr>
          <w:p>
            <w:pPr>
              <w:spacing w:line="240" w:lineRule="auto"/>
            </w:pPr>
            <w:r>
              <w:rPr>
                <w:rFonts w:ascii="Sylfaen" w:hAnsi="Sylfaen" w:cs="Sylfaen"/>
                <w:b/>
                <w:sz w:val="22"/>
                <w:lang w:val="en-US"/>
              </w:rPr>
              <w:t>Salient facts</w:t>
            </w:r>
          </w:p>
        </w:tc>
        <w:tc>
          <w:tcPr>
            <w:tcW w:type="dxa" w:w="1235"/>
          </w:tcPr>
          <w:p>
            <w:pPr>
              <w:spacing w:line="240" w:lineRule="auto"/>
            </w:pPr>
            <w:r>
              <w:rPr>
                <w:rFonts w:ascii="Sylfaen" w:hAnsi="Sylfaen" w:cs="Sylfaen"/>
                <w:b/>
                <w:sz w:val="22"/>
                <w:lang w:val="en-US"/>
              </w:rPr>
              <w:t>Trivia</w:t>
            </w:r>
          </w:p>
        </w:tc>
        <w:tc>
          <w:tcPr>
            <w:tcW w:type="dxa" w:w="2161"/>
          </w:tcPr>
          <w:p>
            <w:pPr>
              <w:spacing w:line="240" w:lineRule="auto"/>
            </w:pPr>
            <w:r>
              <w:rPr>
                <w:rFonts w:ascii="Sylfaen" w:hAnsi="Sylfaen" w:cs="Sylfaen"/>
                <w:b/>
                <w:sz w:val="22"/>
                <w:lang w:val="en-US"/>
              </w:rPr>
              <w:t>Generalization</w:t>
            </w:r>
          </w:p>
        </w:tc>
      </w:tr>
      <w:tr>
        <w:tc>
          <w:tcPr>
            <w:tcW w:type="dxa" w:w="2932"/>
          </w:tcPr>
          <w:p>
            <w:pPr>
              <w:spacing w:line="240" w:lineRule="auto"/>
            </w:pPr>
            <w:r>
              <w:rPr>
                <w:rFonts w:ascii="Sylfaen" w:hAnsi="Sylfaen" w:cs="Sylfaen"/>
                <w:b w:val="0"/>
                <w:sz w:val="22"/>
                <w:lang w:val="en-US"/>
              </w:rPr>
              <w:t>A (no memory)</w:t>
            </w:r>
          </w:p>
        </w:tc>
        <w:tc>
          <w:tcPr>
            <w:tcW w:type="dxa" w:w="2006"/>
          </w:tcPr>
          <w:p>
            <w:pPr>
              <w:spacing w:line="240" w:lineRule="auto"/>
            </w:pPr>
            <w:r>
              <w:rPr>
                <w:rFonts w:ascii="Sylfaen" w:hAnsi="Sylfaen" w:cs="Sylfaen"/>
                <w:b w:val="0"/>
                <w:sz w:val="22"/>
              </w:rPr>
              <w:t>0.00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0.67</w:t>
            </w:r>
          </w:p>
        </w:tc>
      </w:tr>
      <w:tr>
        <w:tc>
          <w:tcPr>
            <w:tcW w:type="dxa" w:w="2932"/>
          </w:tcPr>
          <w:p>
            <w:pPr>
              <w:spacing w:line="240" w:lineRule="auto"/>
            </w:pPr>
            <w:r>
              <w:rPr>
                <w:rFonts w:ascii="Sylfaen" w:hAnsi="Sylfaen" w:cs="Sylfaen"/>
                <w:b w:val="0"/>
                <w:sz w:val="22"/>
                <w:lang w:val="en-US"/>
              </w:rPr>
              <w:t>B (verbatim RAG)</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B+ (curated static)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C (Profile 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en-US"/>
        </w:rPr>
        <w:t>Three patterns are visible. First, long-term memory is necessary: condition A, with only the volatile working window, recalls no cross-session fact (its 0.67 on generalization is a within-session artifact — the recurring theme is restated in the same session as the probe — not evidence of memory). Second, and centrally, only Profile C exhibits graceful, salience-selective forgetting: it retains every salient fact (1.00) while forgetting the low-salience trivia (0.00), whereas B and B+ retain everything indiscriminately (1.00/1.00). This is the Ebbinghaus signature operating as designed — low-salience traces receive low stability, decay below the retrievability floor within one to two session gaps, and drop out of retrieval. The behavioral difference is directly observable: asked what the weather had been, condition B replied "It was really foggy that morning, kind of pretty!", while condition C replied "I don't have that specific detail about the weather from our previous conversation. How has the weather been for you lately?" — a warm non-recall rather than a mechanical replay.</w:t>
      </w:r>
    </w:p>
    <w:p>
      <w:pPr>
        <w:jc w:val="both"/>
      </w:pPr>
      <w:r>
        <w:rPr>
          <w:rFonts w:ascii="Sylfaen" w:hAnsi="Sylfaen" w:cs="Sylfaen"/>
          <w:b w:val="0"/>
          <w:sz w:val="24"/>
          <w:lang w:val="en-US"/>
        </w:rPr>
        <w:t>Consolidation. Only Profile C formed durable semantic facts: four across the three personas (B and B+ formed none, by construction). Surfacing the recurring theme, C drew on its consolidated store — "it seems like the challenges with your co-founder and the direction of your company are a recurring theme". It is important to report honestly that B+ also produced a competent generalization on the fly — "the ongoing tension with your co-founder is a significant theme" — by having the language model infer the pattern from several retrieved episodes. The consolidation advantage of C is therefore not that a curated baseline cannot generalize, but that C maintains the generalization as an explicit, durable, reusable structure with source-episode provenance, produced offline rather than re-derived at every turn.</w:t>
      </w:r>
    </w:p>
    <w:p>
      <w:pPr>
        <w:jc w:val="both"/>
      </w:pPr>
      <w:r>
        <w:rPr>
          <w:rFonts w:ascii="Sylfaen" w:hAnsi="Sylfaen" w:cs="Sylfaen"/>
          <w:b w:val="0"/>
          <w:sz w:val="24"/>
          <w:lang w:val="en-US"/>
        </w:rPr>
        <w:t>Efficiency and latency. At the shared retrieval budget, C injected a mean of 37.2 context words per turn against 41.0 for both B and B+ — slightly leaner, because gist-first retrieval favours compact semantic facts over raw or full-length gists. Per-turn synchronous retrieval latency was sub-millisecond for all conditions (median 0.08–0.12 ms), confirming the design claim that C's added arithmetic (decay and bonus scoring) is negligible against the retrieval itself, and — by construction — that all expensive language-model work runs offline.</w:t>
      </w:r>
    </w:p>
    <w:p>
      <w:pPr>
        <w:pStyle w:val="Heading2"/>
        <w:numPr>
          <w:numId w:val="0"/>
        </w:numPr>
        <w:spacing w:before="160" w:after="80"/>
        <w:jc w:val="center"/>
      </w:pPr>
      <w:r>
        <w:rPr>
          <w:rFonts w:ascii="Sylfaen" w:hAnsi="Sylfaen" w:cs="Sylfaen"/>
          <w:b/>
          <w:color w:val="000000"/>
          <w:sz w:val="28"/>
          <w:lang w:val="en-US"/>
        </w:rPr>
        <w:t>4.3 Simulated-perception results</w:t>
      </w:r>
    </w:p>
    <w:p>
      <w:pPr>
        <w:jc w:val="both"/>
      </w:pPr>
      <w:r>
        <w:rPr>
          <w:rFonts w:ascii="Sylfaen" w:hAnsi="Sylfaen" w:cs="Sylfaen"/>
          <w:b w:val="0"/>
          <w:sz w:val="24"/>
          <w:lang w:val="en-US"/>
        </w:rPr>
        <w:t>An LLM judge rated each condition's full transcript on five constructs (1–7). Table 4.3 reports the means over the three personas; these are illustrative estimates from a small simulated sample (three personas, a single judge pass, integer ratings), reported without significance testing and consistent with the estimation stance of 3.1.</w:t>
      </w:r>
    </w:p>
    <w:p>
      <w:pPr>
        <w:spacing w:line="240" w:lineRule="auto"/>
        <w:jc w:val="both"/>
      </w:pPr>
      <w:r>
        <w:rPr>
          <w:rFonts w:ascii="Sylfaen" w:hAnsi="Sylfaen" w:cs="Sylfaen"/>
          <w:b/>
          <w:sz w:val="22"/>
          <w:lang w:val="en-US"/>
        </w:rPr>
        <w:t>Table 4.3. Simulated-perception mean ratings by construct</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260"/>
        <w:gridCol w:w="741"/>
        <w:gridCol w:w="741"/>
        <w:gridCol w:w="741"/>
        <w:gridCol w:w="741"/>
        <w:gridCol w:w="1111"/>
      </w:tblGrid>
      <w:tr>
        <w:tc>
          <w:tcPr>
            <w:tcW w:type="dxa" w:w="4260"/>
          </w:tcPr>
          <w:p>
            <w:pPr>
              <w:spacing w:line="240" w:lineRule="auto"/>
            </w:pPr>
            <w:r>
              <w:rPr>
                <w:rFonts w:ascii="Sylfaen" w:hAnsi="Sylfaen" w:cs="Sylfaen"/>
                <w:b/>
                <w:sz w:val="22"/>
                <w:lang w:val="en-US"/>
              </w:rPr>
              <w:t>Construct</w:t>
            </w:r>
          </w:p>
        </w:tc>
        <w:tc>
          <w:tcPr>
            <w:tcW w:type="dxa" w:w="741"/>
          </w:tcPr>
          <w:p>
            <w:pPr>
              <w:spacing w:line="240" w:lineRule="auto"/>
            </w:pPr>
            <w:r>
              <w:rPr>
                <w:rFonts w:ascii="Sylfaen" w:hAnsi="Sylfaen" w:cs="Sylfaen"/>
                <w:b/>
                <w:sz w:val="22"/>
                <w:lang w:val="en-US"/>
              </w:rPr>
              <w:t>A</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C</w:t>
            </w:r>
          </w:p>
        </w:tc>
        <w:tc>
          <w:tcPr>
            <w:tcW w:type="dxa" w:w="1111"/>
          </w:tcPr>
          <w:p>
            <w:pPr>
              <w:spacing w:line="240" w:lineRule="auto"/>
            </w:pPr>
            <w:r>
              <w:rPr>
                <w:rFonts w:ascii="Sylfaen" w:hAnsi="Sylfaen" w:cs="Sylfaen"/>
                <w:b/>
                <w:sz w:val="22"/>
                <w:lang w:val="en-US"/>
              </w:rPr>
              <w:t>C − B+</w:t>
            </w:r>
          </w:p>
        </w:tc>
      </w:tr>
      <w:tr>
        <w:tc>
          <w:tcPr>
            <w:tcW w:type="dxa" w:w="4260"/>
          </w:tcPr>
          <w:p>
            <w:pPr>
              <w:spacing w:line="240" w:lineRule="auto"/>
            </w:pPr>
            <w:r>
              <w:rPr>
                <w:rFonts w:ascii="Sylfaen" w:hAnsi="Sylfaen" w:cs="Sylfaen"/>
                <w:b w:val="0"/>
                <w:sz w:val="22"/>
                <w:lang w:val="en-US"/>
              </w:rPr>
              <w:t>Social presence</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0.00</w:t>
            </w:r>
          </w:p>
        </w:tc>
      </w:tr>
      <w:tr>
        <w:tc>
          <w:tcPr>
            <w:tcW w:type="dxa" w:w="4260"/>
          </w:tcPr>
          <w:p>
            <w:pPr>
              <w:spacing w:line="240" w:lineRule="auto"/>
            </w:pPr>
            <w:r>
              <w:rPr>
                <w:rFonts w:ascii="Sylfaen" w:hAnsi="Sylfaen" w:cs="Sylfaen"/>
                <w:b w:val="0"/>
                <w:sz w:val="22"/>
                <w:lang w:val="en-US"/>
              </w:rPr>
              <w:t>User–agent alliance</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6.33</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humanlikeness</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intelligence</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Privacy comfort</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en-US"/>
        </w:rPr>
        <w:t>Two findings follow, and the second is the more important.</w:t>
      </w:r>
    </w:p>
    <w:p>
      <w:pPr>
        <w:jc w:val="both"/>
      </w:pPr>
      <w:r>
        <w:rPr>
          <w:rFonts w:ascii="Sylfaen" w:hAnsi="Sylfaen" w:cs="Sylfaen"/>
          <w:b w:val="0"/>
          <w:sz w:val="24"/>
          <w:lang w:val="en-US"/>
        </w:rPr>
        <w:t>First, Profile C does not exceed the B+ curation control on any construct (every C − B+ difference is zero or negative in this small sample). This is precisely what the a-priori analysis predicted (F18): once a clean, curated static memory (B+) is in place, the additional human-memory dynamics of C — decay, salience, consolidation — add no detectable perceptual margin at this scale and horizon. The proof-of-concept thus corroborates, in simulation, the thesis's own claim that the C-versus-B+ effect is small; it does not, and cannot, establish that it is zero in humans.</w:t>
      </w:r>
    </w:p>
    <w:p>
      <w:pPr>
        <w:jc w:val="both"/>
      </w:pPr>
      <w:r>
        <w:rPr>
          <w:rFonts w:ascii="Sylfaen" w:hAnsi="Sylfaen" w:cs="Sylfaen"/>
          <w:b w:val="0"/>
          <w:sz w:val="24"/>
          <w:lang w:val="en-US"/>
        </w:rPr>
        <w:t>Second, and unexpectedly, the privacy-comfort result runs opposite to the established human finding. In humans, verbatim recall of a user's exact words heightens privacy concern relative to paraphrase (the Cox result [11], the empirical anchor for the whole fuzzy-trace argument of 2.2). Here the simulated judge rated the verbatim condition B and the curated B+ highest on privacy comfort (7.00) and the gist-based, forgetting Profile C lowest (5.67) — the reverse of the human effect. The judge, an LLM without privacy stakes, appears to read total, accurate recall as simple competence ("it remembered well") and C's deliberate forgetting as a deficiency, exactly the surface-legibility reading that 3.5(b) warned an LLM judge would substitute for felt relationship.</w:t>
      </w:r>
    </w:p>
    <w:p>
      <w:pPr>
        <w:pStyle w:val="Heading2"/>
        <w:numPr>
          <w:numId w:val="0"/>
        </w:numPr>
        <w:spacing w:before="160" w:after="80"/>
        <w:jc w:val="center"/>
      </w:pPr>
      <w:r>
        <w:rPr>
          <w:rFonts w:ascii="Sylfaen" w:hAnsi="Sylfaen" w:cs="Sylfaen"/>
          <w:b/>
          <w:color w:val="000000"/>
          <w:sz w:val="28"/>
          <w:lang w:val="en-US"/>
        </w:rPr>
        <w:t>4.4 Discussion</w:t>
      </w:r>
    </w:p>
    <w:p>
      <w:pPr>
        <w:jc w:val="both"/>
      </w:pPr>
      <w:r>
        <w:rPr>
          <w:rFonts w:ascii="Sylfaen" w:hAnsi="Sylfaen" w:cs="Sylfaen"/>
          <w:b w:val="0"/>
          <w:sz w:val="24"/>
          <w:lang w:val="en-US"/>
        </w:rPr>
        <w:t>The evaluation supports a clear, bounded set of conclusions. On the technical side, the architecture is implementable and its mechanisms behave as designed: memory is necessary for cross-session recall; Profile C alone forgets gracefully and selectively, keeping what matters and letting trivia fade; only C consolidates episodes into durable semantic knowledge; and it does so at a leaner context footprint and at latency parity. The mechanisms are not only present but distinguishable in observable behavior — the sanity-check the technical track was designed to provide.</w:t>
      </w:r>
    </w:p>
    <w:p>
      <w:pPr>
        <w:jc w:val="both"/>
      </w:pPr>
      <w:r>
        <w:rPr>
          <w:rFonts w:ascii="Sylfaen" w:hAnsi="Sylfaen" w:cs="Sylfaen"/>
          <w:b w:val="0"/>
          <w:sz w:val="24"/>
          <w:lang w:val="en-US"/>
        </w:rPr>
        <w:t>On the perceptual side, the result is a genuine dissociation. The condition that is behaviorally most "human" — forgetting trivia, generalizing about the user — is not the condition the simulated judge preferred; the curated static control (B+) matched or edged it everywhere. Read together with the a-priori power analysis (F18), this reinforces the thesis's central methodological position: the perceptual value that the literature attributes to "human-like memory" may be carried largely by clean curation and mere presence, with the biomimetic dynamics contributing a margin too small to detect at feasible scale. The B+ control was built precisely to make this distinction visible, and here it does.</w:t>
      </w:r>
    </w:p>
    <w:p>
      <w:pPr>
        <w:jc w:val="both"/>
      </w:pPr>
      <w:r>
        <w:rPr>
          <w:rFonts w:ascii="Sylfaen" w:hAnsi="Sylfaen" w:cs="Sylfaen"/>
          <w:b w:val="0"/>
          <w:sz w:val="24"/>
          <w:lang w:val="en-US"/>
        </w:rPr>
        <w:t>The privacy-comfort inversion is the single most consequential result of the evaluation, because it is a demonstration by counterexample of the limits of simulated evaluation. On the one construct where a strong, replicated human effect exists — verbatim recall feeling intrusive — the LLM judge produced the opposite ordering. This is not a flaw to be tuned away; it is direct evidence that an LLM judge cannot stand in for human perception on constructs that depend on human stakes such as privacy and trust. It follows that the perceptual claims of this thesis genuinely cannot be settled in simulation, and that the human-subject protocol of 3.5(c) is not a discretionary extension but a methodological necessity. The proof-of-concept, in other words, earns the deferral of the human study by showing empirically why it is required.</w:t>
      </w:r>
    </w:p>
    <w:p>
      <w:pPr>
        <w:pStyle w:val="Heading2"/>
        <w:numPr>
          <w:numId w:val="0"/>
        </w:numPr>
        <w:spacing w:before="160" w:after="80"/>
        <w:jc w:val="center"/>
      </w:pPr>
      <w:r>
        <w:rPr>
          <w:rFonts w:ascii="Sylfaen" w:hAnsi="Sylfaen" w:cs="Sylfaen"/>
          <w:b/>
          <w:color w:val="000000"/>
          <w:sz w:val="28"/>
          <w:lang w:val="en-US"/>
        </w:rPr>
        <w:t>4.5 Limitations of the evaluation</w:t>
      </w:r>
    </w:p>
    <w:p>
      <w:pPr>
        <w:jc w:val="both"/>
      </w:pPr>
      <w:r>
        <w:rPr>
          <w:rFonts w:ascii="Sylfaen" w:hAnsi="Sylfaen" w:cs="Sylfaen"/>
          <w:b w:val="0"/>
          <w:sz w:val="24"/>
          <w:lang w:val="en-US"/>
        </w:rPr>
        <w:t>The evaluation's limits are substantial and are stated plainly. The simulated users and the LLM judge share the architecture of the system under test and lack the stakes, temporal depth, and privacy sensitivities of real users — the privacy inversion above is the sharpest illustration. The sample is small (three personas, four sessions each, a single judge pass), so the perceptual numbers are illustrative rather than estimates of any population quantity, and no significance is claimed. Time is compressed to session units, so the decay and consolidation dynamics are exercised over a handful of gaps rather than the weeks the design envisages; the cold-start dilution that F18 identifies is, if anything, understated here. The language model driving every role (gpt-4o-mini) is not the eventual voice brain, and several mechanisms are implemented at reduced fidelity or deferred (Table 4.1). Finally, the harness operates over text transcripts, not the live voice pipeline, so it demonstrates the memory process rather than the fielded interlocutor. Each limitation is a concrete task for the full build and the human study that follow from this work.</w:t>
      </w:r>
    </w:p>
    <w:p>
      <w:pPr>
        <w:pStyle w:val="Heading1"/>
        <w:pageBreakBefore/>
        <w:numPr>
          <w:numId w:val="0"/>
        </w:numPr>
        <w:spacing w:before="360" w:after="80"/>
        <w:jc w:val="center"/>
      </w:pPr>
      <w:r>
        <w:rPr>
          <w:rFonts w:ascii="Sylfaen" w:hAnsi="Sylfaen" w:cs="Sylfaen"/>
          <w:b/>
          <w:color w:val="000000"/>
          <w:sz w:val="28"/>
          <w:lang w:val="en-US"/>
        </w:rPr>
        <w:t>5. Conclusion</w:t>
      </w:r>
    </w:p>
    <w:p>
      <w:pPr>
        <w:jc w:val="both"/>
      </w:pPr>
      <w:r>
        <w:rPr>
          <w:rFonts w:ascii="Sylfaen" w:hAnsi="Sylfaen" w:cs="Sylfaen"/>
          <w:b w:val="0"/>
          <w:sz w:val="24"/>
          <w:lang w:val="en-US"/>
        </w:rPr>
        <w:t>This thesis set out to determine whether long-term memory modeled on cognitive theories of human memory makes a voice conversational system feel less like an assistant and more like an interlocutor. Under a constraint that precluded a full human-subject study, the work delivered the parts of that programme that do not depend on fielded human data — a cognitively-grounded memory architecture, a curation-controlled evaluation methodology, and a working proof-of-concept — and specified the human evaluation as rigorous future work. This concluding chapter summarizes the contributions, the findings, and the road ahead.</w:t>
      </w:r>
    </w:p>
    <w:p>
      <w:pPr>
        <w:pStyle w:val="Heading2"/>
        <w:numPr>
          <w:numId w:val="0"/>
        </w:numPr>
        <w:spacing w:before="160" w:after="80"/>
        <w:jc w:val="center"/>
      </w:pPr>
      <w:r>
        <w:rPr>
          <w:rFonts w:ascii="Sylfaen" w:hAnsi="Sylfaen" w:cs="Sylfaen"/>
          <w:b/>
          <w:color w:val="000000"/>
          <w:sz w:val="28"/>
          <w:lang w:val="en-US"/>
        </w:rPr>
        <w:t>5.1 Summary of contributions</w:t>
      </w:r>
    </w:p>
    <w:p>
      <w:pPr>
        <w:jc w:val="both"/>
      </w:pPr>
      <w:r>
        <w:rPr>
          <w:rFonts w:ascii="Sylfaen" w:hAnsi="Sylfaen" w:cs="Sylfaen"/>
          <w:b w:val="0"/>
          <w:sz w:val="24"/>
          <w:lang w:val="en-US"/>
        </w:rPr>
        <w:t>The thesis makes three coordinated contributions. First, it presents Profile C, a single memory engine that composes five cognitive-memory theories — the multi-store model, the Ebbinghaus forgetting curve, Tulving's episodic–semantic distinction, fuzzy-trace theory, and the complementary learning systems framework — into one coherent lifecycle of salience-gated encoding, gist-and-anchor representation, lazy decay with reinforcement, offline episodic-to-semantic consolidation, and gist-first retrieval, with each stage tied to an observable behavioral signature rather than to a claim of cognitive fidelity. Second, and methodologically most significant, it introduces the B+ active control: a curated-static memory condition that receives the same offline gisting and cleanup as Profile C but none of its human-memory dynamics, thereby isolating the effect of the dynamics from the generic legibility gains of language-model curation — the confound that would otherwise make any positive result for a human-like memory uninterpretable. Third, it delivers a proof-of-concept implementation of all four conditions and a two-track technical and simulated evaluation that demonstrates the architecture's mechanisms and probes their perceptual consequences.</w:t>
      </w:r>
    </w:p>
    <w:p>
      <w:pPr>
        <w:pStyle w:val="Heading2"/>
        <w:numPr>
          <w:numId w:val="0"/>
        </w:numPr>
        <w:spacing w:before="160" w:after="80"/>
        <w:jc w:val="center"/>
      </w:pPr>
      <w:r>
        <w:rPr>
          <w:rFonts w:ascii="Sylfaen" w:hAnsi="Sylfaen" w:cs="Sylfaen"/>
          <w:b/>
          <w:color w:val="000000"/>
          <w:sz w:val="28"/>
          <w:lang w:val="en-US"/>
        </w:rPr>
        <w:t>5.2 Summary of findings</w:t>
      </w:r>
    </w:p>
    <w:p>
      <w:pPr>
        <w:jc w:val="both"/>
      </w:pPr>
      <w:r>
        <w:rPr>
          <w:rFonts w:ascii="Sylfaen" w:hAnsi="Sylfaen" w:cs="Sylfaen"/>
          <w:b w:val="0"/>
          <w:sz w:val="24"/>
          <w:lang w:val="en-US"/>
        </w:rPr>
        <w:t>The proof-of-concept established that the architecture is implementable and that its mechanisms behave as designed and are distinguishable in observable behavior: memory is necessary for cross-session recall; Profile C alone forgets gracefully and selectively — retaining salient facts while letting trivia fade — and alone consolidates recurring episodes into durable semantic knowledge, at a leaner context footprint and at latency parity with the baselines. In the simulated-perception track, Profile C did not exceed the B+ curation control on any construct, corroborating in simulation the a-priori analysis that the marginal perceptual contribution of human-memory dynamics over clean curation is small. Most consequentially, on the one construct with a strong replicated human effect — the intrusiveness of verbatim recall — the simulated judge produced the opposite ordering to the human literature, demonstrating by counterexample that an LLM judge cannot substitute for human perception on stakes-dependent constructs such as privacy and trust. The evaluation therefore does not merely defer the human study; it shows empirically why that study is necessary.</w:t>
      </w:r>
    </w:p>
    <w:p>
      <w:pPr>
        <w:pStyle w:val="Heading2"/>
        <w:numPr>
          <w:numId w:val="0"/>
        </w:numPr>
        <w:spacing w:before="160" w:after="80"/>
        <w:jc w:val="center"/>
      </w:pPr>
      <w:r>
        <w:rPr>
          <w:rFonts w:ascii="Sylfaen" w:hAnsi="Sylfaen" w:cs="Sylfaen"/>
          <w:b/>
          <w:color w:val="000000"/>
          <w:sz w:val="28"/>
          <w:lang w:val="en-US"/>
        </w:rPr>
        <w:t>5.3 Future work</w:t>
      </w:r>
    </w:p>
    <w:p>
      <w:pPr>
        <w:jc w:val="both"/>
      </w:pPr>
      <w:r>
        <w:rPr>
          <w:rFonts w:ascii="Sylfaen" w:hAnsi="Sylfaen" w:cs="Sylfaen"/>
          <w:b w:val="0"/>
          <w:sz w:val="24"/>
          <w:lang w:val="en-US"/>
        </w:rPr>
        <w:t>Three lines of work follow directly. The first is the full system build: integrating Profile C into the live voice pipeline, resolving the deployability constraints identified in the platform audit (participant isolation, packaging, a single chosen conversational brain), and implementing the mechanisms currently at reduced fidelity — Bayesian-surprise event segmentation, associative pre-expansion, and the deterministic exact-recall trigger. The second is the human-subject study specified in 3.5(c): a pre-registered, within-subject comparison of B, B+, and C at the field's normative sample size, powered for the comparisons where power is attainable and treating the central C-versus-B+ contrast as an estimation target, with warm attributable forgetting, late-window analysis, event-sensitive and behavioral measures, and coded interviews as the design's answer to a likely small or null primary effect. The third is theoretical extension: incorporating the memory phenomena the present architecture deliberately omits — interference as a forgetting mechanism, the reconstructive and schema-driven distortion that fuzzy-trace and complementary learning systems most distinctively predict, and richer temporal-order and source memory — each of which is both a fidelity gap and a concrete hypothesis about what would make an interlocutor feel more human. Taken together, these complete the evolution from assistant to interlocutor that this thesis has designed, built in miniature, and shown how to measure.</w:t>
      </w:r>
    </w:p>
    <w:p>
      <w:pPr>
        <w:pStyle w:val="Heading1"/>
        <w:pageBreakBefore/>
        <w:numPr>
          <w:numId w:val="0"/>
        </w:numPr>
        <w:spacing w:before="360" w:after="80"/>
        <w:jc w:val="center"/>
      </w:pPr>
      <w:r>
        <w:rPr>
          <w:rFonts w:ascii="Sylfaen" w:hAnsi="Sylfaen" w:cs="Sylfaen"/>
          <w:b/>
          <w:color w:val="000000"/>
          <w:sz w:val="28"/>
          <w:lang w:val="en-US"/>
        </w:rPr>
        <w:t>Bibliography</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en-US"/>
        </w:rPr>
        <w:t xml:space="preserve"> - last verified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en-US"/>
        </w:rPr>
        <w:t xml:space="preserve"> - last verified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