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7B64E3" w14:textId="2FCEB1B7" w:rsidR="005E065B" w:rsidRPr="008951A2" w:rsidRDefault="005E065B" w:rsidP="005E065B">
      <w:pPr>
        <w:pStyle w:val="BodyText"/>
        <w:spacing w:before="120" w:after="240"/>
        <w:ind w:left="-284"/>
        <w:jc w:val="center"/>
        <w:rPr>
          <w:b/>
        </w:rPr>
      </w:pPr>
      <w:bookmarkStart w:id="0" w:name="_Hlk108034490"/>
      <w:r>
        <w:rPr>
          <w:b/>
          <w:noProof/>
          <w:lang w:val="ka-GE"/>
        </w:rPr>
      </w:r>
      <w:r>
        <w:rPr>
          <w:noProof/>
        </w:rPr>
      </w:r>
      <w:r>
        <w:rPr>
          <w:b/>
        </w:rPr>
      </w:r>
    </w:p>
    <w:p w14:paraId="6DDA3C44" w14:textId="48718B29"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1312" behindDoc="0" locked="0" layoutInCell="1" allowOverlap="1" wp14:anchorId="76EF9F23" wp14:editId="2315207D">
                <wp:simplePos x="0" y="0"/>
                <wp:positionH relativeFrom="column">
                  <wp:posOffset>185420</wp:posOffset>
                </wp:positionH>
                <wp:positionV relativeFrom="paragraph">
                  <wp:posOffset>60325</wp:posOffset>
                </wp:positionV>
                <wp:extent cx="5040630" cy="848995"/>
                <wp:effectExtent l="4445" t="4445" r="3175" b="3810"/>
                <wp:wrapNone/>
                <wp:docPr id="1022048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630" cy="848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F9F23" id="Text Box 4" o:spid="_x0000_s1027" type="#_x0000_t202" style="position:absolute;left:0;text-align:left;margin-left:14.6pt;margin-top:4.75pt;width:396.9pt;height:66.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" stroked="f">
                <v:textbo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v:textbox>
              </v:shape>
            </w:pict>
          </mc:Fallback>
        </mc:AlternateContent>
      </w:r>
    </w:p>
    <w:p w14:paraId="6846FACE" w14:textId="77777777" w:rsidR="005E065B" w:rsidRDefault="005E065B" w:rsidP="005E065B">
      <w:pPr>
        <w:pStyle w:val="BodyText"/>
        <w:spacing w:before="120" w:after="240"/>
        <w:jc w:val="center"/>
        <w:rPr>
          <w:b/>
          <w:lang w:val="ka-GE"/>
        </w:rPr>
      </w:pPr>
    </w:p>
    <w:p w14:paraId="0610A5A7" w14:textId="77777777" w:rsidR="005E065B" w:rsidRDefault="005E065B" w:rsidP="005E065B">
      <w:pPr>
        <w:pStyle w:val="BodyText"/>
        <w:spacing w:before="120" w:after="240"/>
        <w:jc w:val="center"/>
        <w:rPr>
          <w:b/>
          <w:lang w:val="ka-GE"/>
        </w:rPr>
      </w:pPr>
    </w:p>
    <w:p w14:paraId="47AFB1F6" w14:textId="77777777" w:rsidR="005E065B" w:rsidRDefault="005E065B" w:rsidP="005E065B">
      <w:pPr>
        <w:pStyle w:val="BodyText"/>
        <w:spacing w:before="120" w:after="240"/>
        <w:jc w:val="center"/>
        <w:rPr>
          <w:b/>
          <w:lang w:val="ka-GE"/>
        </w:rPr>
      </w:pPr>
    </w:p>
    <w:p w14:paraId="3A4B1058" w14:textId="77777777" w:rsidR="005E065B" w:rsidRDefault="005E065B" w:rsidP="005E065B">
      <w:pPr>
        <w:pStyle w:val="BodyText"/>
        <w:spacing w:before="120" w:after="240"/>
        <w:jc w:val="center"/>
        <w:rPr>
          <w:b/>
          <w:lang w:val="ka-GE"/>
        </w:rPr>
      </w:pPr>
    </w:p>
    <w:p w14:paraId="6CBEE1F9" w14:textId="012D2BD4"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3360" behindDoc="0" locked="0" layoutInCell="1" allowOverlap="1" wp14:anchorId="61B8F447" wp14:editId="292AC5D1">
                <wp:simplePos x="0" y="0"/>
                <wp:positionH relativeFrom="column">
                  <wp:posOffset>3613785</wp:posOffset>
                </wp:positionH>
                <wp:positionV relativeFrom="paragraph">
                  <wp:posOffset>320675</wp:posOffset>
                </wp:positionV>
                <wp:extent cx="3396615" cy="1076960"/>
                <wp:effectExtent l="3810" t="635" r="0" b="0"/>
                <wp:wrapNone/>
                <wp:docPr id="112453177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6615" cy="1076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B8F447" id="Text Box 3" o:spid="_x0000_s1028" type="#_x0000_t202" style="position:absolute;left:0;text-align:left;margin-left:284.55pt;margin-top:25.25pt;width:267.45pt;height:8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" stroked="f">
                <v:textbo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v:textbox>
              </v:shape>
            </w:pict>
          </mc:Fallback>
        </mc:AlternateContent>
      </w:r>
      <w:r>
        <w:rPr>
          <w:b/>
          <w:noProof/>
          <w:lang w:val="ka-GE"/>
        </w:rPr>
        <mc:AlternateContent>
          <mc:Choice Requires="wps">
            <w:drawing>
              <wp:anchor distT="0" distB="0" distL="114300" distR="114300" simplePos="0" relativeHeight="251662336" behindDoc="0" locked="0" layoutInCell="1" allowOverlap="1" wp14:anchorId="0F803DA9" wp14:editId="0E854167">
                <wp:simplePos x="0" y="0"/>
                <wp:positionH relativeFrom="column">
                  <wp:posOffset>196215</wp:posOffset>
                </wp:positionH>
                <wp:positionV relativeFrom="paragraph">
                  <wp:posOffset>265430</wp:posOffset>
                </wp:positionV>
                <wp:extent cx="3232785" cy="381000"/>
                <wp:effectExtent l="0" t="2540" r="0" b="0"/>
                <wp:wrapNone/>
                <wp:docPr id="1346965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2785" cy="381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03DA9" id="Text Box 2" o:spid="_x0000_s1029" type="#_x0000_t202" style="position:absolute;left:0;text-align:left;margin-left:15.45pt;margin-top:20.9pt;width:254.55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" stroked="f">
                <v:textbo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v:textbox>
              </v:shape>
            </w:pict>
          </mc:Fallback>
        </mc:AlternateContent>
      </w:r>
    </w:p>
    <w:p w14:paraId="71EFFDC6" w14:textId="3FADA422" w:rsidR="005E065B" w:rsidRDefault="005E065B" w:rsidP="005E065B">
      <w:pPr>
        <w:pStyle w:val="BodyText"/>
        <w:spacing w:before="120" w:after="240"/>
        <w:jc w:val="center"/>
        <w:rPr>
          <w:b/>
          <w:lang w:val="ka-GE"/>
        </w:rPr>
      </w:pPr>
    </w:p>
    <w:p w14:paraId="1EE77990" w14:textId="5EF07601" w:rsidR="005E065B" w:rsidRDefault="005E065B" w:rsidP="005E065B">
      <w:pPr>
        <w:pStyle w:val="BodyText"/>
        <w:spacing w:before="120" w:after="240"/>
        <w:jc w:val="center"/>
        <w:rPr>
          <w:b/>
          <w:lang w:val="ka-GE"/>
        </w:rPr>
      </w:pPr>
    </w:p>
    <w:p w14:paraId="1488E1DC" w14:textId="637A1E7C" w:rsidR="005E065B" w:rsidRDefault="005E065B">
      <w:pPr>
        <w:rPr>
          <w:b/>
          <w:bCs/>
          <w:sz w:val="28"/>
          <w:szCs w:val="28"/>
          <w:lang w:val="ka-GE"/>
        </w:rPr>
        <w:sectPr w:rsidR="005E065B" w:rsidSect="005E065B">
          <w:footerReference w:type="default" r:id="rId9"/>
          <w:pgSz w:w="11906" w:h="16838" w:code="9"/>
          <w:pgMar w:top="2155" w:right="289" w:bottom="1418" w:left="289" w:header="720" w:footer="720" w:gutter="0"/>
          <w:pgNumType w:start="0"/>
          <w:cols w:space="720"/>
          <w:titlePg/>
          <w:docGrid w:linePitch="360"/>
        </w:sectPr>
      </w:pPr>
    </w:p>
    <w:p w14:paraId="4F15C572" w14:textId="69E4F5AC" w:rsidR="00DA0EB5" w:rsidRPr="00C92066" w:rsidRDefault="00DA0EB5" w:rsidP="00DA0EB5">
      <w:pPr>
        <w:spacing w:after="0" w:line="24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240" w:lineRule="auto"/>
        <w:ind w:firstLine="454"/>
        <w:jc w:val="both"/>
        <w:rPr>
          <w:lang w:val="ka-GE"/>
        </w:rPr>
      </w:pPr>
      <w:r w:rsidRPr="006E56A2">
        <w:rPr>
          <w:lang w:val="ka-GE"/>
        </w:rPr>
        <w:t xml:space="preserve"> </w:t>
      </w:r>
    </w:p>
    <w:p w14:paraId="5763FBC7" w14:textId="77777777" w:rsidR="00DA0EB5" w:rsidRPr="00E27899" w:rsidRDefault="00DA0EB5" w:rsidP="00DA0EB5">
      <w:pPr>
        <w:spacing w:after="0" w:line="240" w:lineRule="auto"/>
        <w:jc w:val="both"/>
        <w:rPr>
          <w:szCs w:val="24"/>
          <w:lang w:val="ka-GE"/>
        </w:rPr>
      </w:pPr>
      <w:r w:rsidRPr="00E27899">
        <w:rPr>
          <w:szCs w:val="24"/>
          <w:lang w:val="ka-GE"/>
        </w:rPr>
        <w:t xml:space="preserve">ჩვენ, ხელისმომწერნი ვადასტურებთ, რომ გავეცანით ალექსანდრე ხობელია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240" w:lineRule="auto"/>
        <w:jc w:val="both"/>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240" w:lineRule="auto"/>
        <w:ind w:firstLine="454"/>
        <w:rPr>
          <w:szCs w:val="24"/>
          <w:lang w:val="ka-GE"/>
        </w:rPr>
      </w:pPr>
    </w:p>
    <w:p w14:paraId="5ED0E1E7" w14:textId="77777777" w:rsidR="00DA0EB5" w:rsidRDefault="00DA0EB5" w:rsidP="00DA0EB5">
      <w:pPr>
        <w:spacing w:after="0" w:line="240" w:lineRule="auto"/>
        <w:ind w:firstLine="454"/>
        <w:rPr>
          <w:szCs w:val="24"/>
          <w:lang w:val="ka-GE"/>
        </w:rPr>
      </w:pPr>
    </w:p>
    <w:p w14:paraId="0E774997" w14:textId="77777777" w:rsidR="00DA0EB5" w:rsidRDefault="00DA0EB5" w:rsidP="00DA0EB5">
      <w:pPr>
        <w:spacing w:after="0" w:line="240" w:lineRule="auto"/>
        <w:ind w:firstLine="454"/>
        <w:rPr>
          <w:szCs w:val="24"/>
          <w:lang w:val="ka-GE"/>
        </w:rPr>
      </w:pPr>
    </w:p>
    <w:p w14:paraId="114EE433" w14:textId="77777777" w:rsidR="00DA0EB5" w:rsidRPr="00E27899" w:rsidRDefault="00DA0EB5" w:rsidP="00DA0EB5">
      <w:pPr>
        <w:spacing w:after="0" w:line="240" w:lineRule="auto"/>
        <w:ind w:firstLine="454"/>
        <w:rPr>
          <w:szCs w:val="24"/>
          <w:lang w:val="ka-GE"/>
        </w:rPr>
      </w:pPr>
    </w:p>
    <w:p w14:paraId="1A9530CD" w14:textId="77777777" w:rsidR="00DA0EB5" w:rsidRPr="00E27899" w:rsidRDefault="00DA0EB5" w:rsidP="00DA0EB5">
      <w:pPr>
        <w:spacing w:after="0" w:line="24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240" w:lineRule="auto"/>
        <w:ind w:firstLine="454"/>
        <w:jc w:val="right"/>
        <w:rPr>
          <w:szCs w:val="24"/>
          <w:lang w:val="ka-GE"/>
        </w:rPr>
      </w:pPr>
    </w:p>
    <w:p w14:paraId="41CA4FA9" w14:textId="77777777" w:rsidR="00DA0EB5" w:rsidRDefault="00DA0EB5" w:rsidP="00DA0EB5">
      <w:pPr>
        <w:spacing w:after="0" w:line="240" w:lineRule="auto"/>
        <w:ind w:firstLine="454"/>
        <w:jc w:val="right"/>
        <w:rPr>
          <w:szCs w:val="24"/>
          <w:lang w:val="ka-GE"/>
        </w:rPr>
      </w:pPr>
    </w:p>
    <w:p w14:paraId="095EEC9A" w14:textId="77777777" w:rsidR="00DA0EB5" w:rsidRDefault="00DA0EB5" w:rsidP="00DA0EB5">
      <w:pPr>
        <w:spacing w:after="0" w:line="240" w:lineRule="auto"/>
        <w:ind w:firstLine="454"/>
        <w:jc w:val="right"/>
        <w:rPr>
          <w:szCs w:val="24"/>
          <w:lang w:val="ka-GE"/>
        </w:rPr>
      </w:pPr>
    </w:p>
    <w:p w14:paraId="19A77A22" w14:textId="77777777" w:rsidR="00DA0EB5" w:rsidRPr="00D3127A" w:rsidRDefault="00DA0EB5" w:rsidP="00DA0EB5">
      <w:pPr>
        <w:spacing w:after="0" w:line="240" w:lineRule="auto"/>
        <w:ind w:firstLine="454"/>
        <w:jc w:val="right"/>
        <w:rPr>
          <w:szCs w:val="24"/>
        </w:rPr>
      </w:pPr>
      <w:r w:rsidRPr="00E27899">
        <w:rPr>
          <w:szCs w:val="24"/>
          <w:lang w:val="ka-GE"/>
        </w:rPr>
        <w:t>ხელმძღვანელი: სოფო ბარნოვი</w:t>
      </w:r>
      <w:r>
        <w:rPr>
          <w:szCs w:val="24"/>
          <w:lang w:val="ka-GE"/>
        </w:rPr>
      </w:r>
      <w:r>
        <w:rPr>
          <w:szCs w:val="24"/>
        </w:rPr>
      </w:r>
    </w:p>
    <w:p w14:paraId="490527F1" w14:textId="77777777" w:rsidR="00DA0EB5" w:rsidRDefault="00DA0EB5" w:rsidP="00DA0EB5">
      <w:pPr>
        <w:spacing w:after="0" w:line="240" w:lineRule="auto"/>
        <w:ind w:firstLine="454"/>
        <w:jc w:val="right"/>
        <w:rPr>
          <w:szCs w:val="24"/>
          <w:lang w:val="ka-GE"/>
        </w:rPr>
      </w:pPr>
    </w:p>
    <w:p w14:paraId="65DA2E3A" w14:textId="77777777" w:rsidR="00DA0EB5" w:rsidRPr="00E27899" w:rsidRDefault="00DA0EB5" w:rsidP="00DA0EB5">
      <w:pPr>
        <w:spacing w:after="0" w:line="240" w:lineRule="auto"/>
        <w:ind w:firstLine="454"/>
        <w:rPr>
          <w:szCs w:val="24"/>
          <w:lang w:val="ka-GE"/>
        </w:rPr>
      </w:pPr>
    </w:p>
    <w:p w14:paraId="7E2C5390" w14:textId="77777777" w:rsidR="00DA0EB5" w:rsidRPr="000F0CA9" w:rsidRDefault="00DA0EB5" w:rsidP="00DA0EB5">
      <w:pPr>
        <w:spacing w:after="0" w:line="24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240" w:lineRule="auto"/>
        <w:ind w:firstLine="454"/>
        <w:jc w:val="right"/>
        <w:rPr>
          <w:szCs w:val="24"/>
          <w:lang w:val="ka-GE"/>
        </w:rPr>
      </w:pPr>
    </w:p>
    <w:p w14:paraId="4FD387AA" w14:textId="77777777" w:rsidR="00DA0EB5" w:rsidRPr="000F0CA9" w:rsidRDefault="00DA0EB5" w:rsidP="00DA0EB5">
      <w:pPr>
        <w:spacing w:after="0" w:line="240" w:lineRule="auto"/>
        <w:ind w:firstLine="454"/>
        <w:jc w:val="right"/>
        <w:rPr>
          <w:szCs w:val="24"/>
          <w:lang w:val="ka-GE"/>
        </w:rPr>
      </w:pPr>
    </w:p>
    <w:p w14:paraId="01086A84" w14:textId="77777777" w:rsidR="00DA0EB5" w:rsidRDefault="00DA0EB5" w:rsidP="00DA0EB5">
      <w:pPr>
        <w:spacing w:after="0" w:line="240" w:lineRule="auto"/>
        <w:ind w:firstLine="454"/>
        <w:jc w:val="right"/>
        <w:rPr>
          <w:szCs w:val="24"/>
          <w:lang w:val="ka-GE"/>
        </w:rPr>
      </w:pPr>
    </w:p>
    <w:p w14:paraId="3AEAF0B1" w14:textId="77777777" w:rsidR="00DA0EB5" w:rsidRDefault="00DA0EB5" w:rsidP="00DA0EB5">
      <w:pPr>
        <w:spacing w:after="0" w:line="240" w:lineRule="auto"/>
        <w:ind w:firstLine="454"/>
        <w:jc w:val="right"/>
        <w:rPr>
          <w:szCs w:val="24"/>
          <w:lang w:val="ka-GE"/>
        </w:rPr>
      </w:pPr>
    </w:p>
    <w:p w14:paraId="62208C9E" w14:textId="77777777" w:rsidR="00DA0EB5" w:rsidRDefault="00DA0EB5" w:rsidP="00DA0EB5">
      <w:pPr>
        <w:spacing w:after="0" w:line="240" w:lineRule="auto"/>
        <w:ind w:firstLine="454"/>
        <w:jc w:val="right"/>
        <w:rPr>
          <w:szCs w:val="24"/>
          <w:lang w:val="ka-GE"/>
        </w:rPr>
      </w:pPr>
    </w:p>
    <w:p w14:paraId="15BF784C" w14:textId="77777777" w:rsidR="00DA0EB5" w:rsidRPr="00E27899" w:rsidRDefault="00DA0EB5" w:rsidP="00DA0EB5">
      <w:pPr>
        <w:spacing w:after="0" w:line="240" w:lineRule="auto"/>
        <w:ind w:firstLine="454"/>
        <w:jc w:val="right"/>
        <w:rPr>
          <w:szCs w:val="24"/>
          <w:lang w:val="ka-GE"/>
        </w:rPr>
      </w:pPr>
    </w:p>
    <w:p w14:paraId="6D76A87D" w14:textId="77777777" w:rsidR="00DA0EB5" w:rsidRDefault="00DA0EB5" w:rsidP="00DA0EB5">
      <w:pPr>
        <w:spacing w:after="0" w:line="24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24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240" w:lineRule="auto"/>
        <w:ind w:firstLine="454"/>
        <w:jc w:val="center"/>
        <w:rPr>
          <w:szCs w:val="24"/>
          <w:lang w:val="ka-GE"/>
        </w:rPr>
      </w:pPr>
    </w:p>
    <w:p w14:paraId="31E1B4BD" w14:textId="3ADF8928" w:rsidR="001A7222" w:rsidRDefault="001A7222" w:rsidP="00991424">
      <w:pPr>
        <w:spacing w:after="0" w:line="240" w:lineRule="auto"/>
        <w:ind w:firstLine="454"/>
        <w:jc w:val="center"/>
        <w:rPr>
          <w:szCs w:val="24"/>
          <w:lang w:val="ka-GE"/>
        </w:rPr>
      </w:pPr>
    </w:p>
    <w:p w14:paraId="2C9D9CD9" w14:textId="77777777" w:rsidR="001A7222" w:rsidRDefault="001A7222" w:rsidP="00991424">
      <w:pPr>
        <w:spacing w:after="0" w:line="24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24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24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240" w:lineRule="auto"/>
        <w:ind w:firstLine="454"/>
        <w:jc w:val="center"/>
        <w:rPr>
          <w:szCs w:val="24"/>
          <w:lang w:val="ka-GE"/>
        </w:rPr>
      </w:pPr>
      <w:r w:rsidRPr="00B50E27">
        <w:rPr>
          <w:szCs w:val="24"/>
          <w:lang w:val="ka-GE"/>
        </w:rPr>
        <w:t>ალექსანდრე ხობელია</w:t>
      </w:r>
    </w:p>
    <w:p w14:paraId="06E7AC92" w14:textId="191557CA" w:rsidR="00B50E27" w:rsidRPr="00C92066" w:rsidRDefault="00B50E27" w:rsidP="00B50E27">
      <w:pPr>
        <w:spacing w:after="0" w:line="24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240" w:lineRule="auto"/>
        <w:ind w:firstLine="454"/>
        <w:jc w:val="center"/>
        <w:rPr>
          <w:szCs w:val="24"/>
          <w:lang w:val="ka-GE"/>
        </w:rPr>
      </w:pPr>
    </w:p>
    <w:p w14:paraId="6267EB2D" w14:textId="77777777" w:rsidR="00B50E27" w:rsidRDefault="00B50E27" w:rsidP="00B50E27">
      <w:pPr>
        <w:spacing w:after="0" w:line="240" w:lineRule="auto"/>
        <w:ind w:firstLine="454"/>
        <w:jc w:val="center"/>
        <w:rPr>
          <w:szCs w:val="24"/>
          <w:lang w:val="ka-GE"/>
        </w:rPr>
      </w:pPr>
    </w:p>
    <w:p w14:paraId="47B601D4" w14:textId="77777777" w:rsidR="00B50E27" w:rsidRDefault="00B50E27" w:rsidP="00B50E27">
      <w:pPr>
        <w:spacing w:after="0" w:line="240" w:lineRule="auto"/>
        <w:ind w:firstLine="454"/>
        <w:jc w:val="center"/>
        <w:rPr>
          <w:szCs w:val="24"/>
          <w:lang w:val="ka-GE"/>
        </w:rPr>
      </w:pPr>
    </w:p>
    <w:p w14:paraId="2C70F736" w14:textId="77777777" w:rsidR="00B50E27" w:rsidRDefault="00B50E27" w:rsidP="00B50E27">
      <w:pPr>
        <w:spacing w:after="0" w:line="240" w:lineRule="auto"/>
        <w:ind w:firstLine="454"/>
        <w:jc w:val="center"/>
        <w:rPr>
          <w:szCs w:val="24"/>
          <w:lang w:val="ka-GE"/>
        </w:rPr>
      </w:pPr>
    </w:p>
    <w:p w14:paraId="04C89A41" w14:textId="77777777" w:rsidR="00B50E27" w:rsidRPr="00C92066" w:rsidRDefault="00B50E27" w:rsidP="00B50E27">
      <w:pPr>
        <w:spacing w:after="0" w:line="24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24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24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240" w:lineRule="auto"/>
        <w:ind w:firstLine="454"/>
        <w:rPr>
          <w:szCs w:val="24"/>
          <w:lang w:val="ka-GE"/>
        </w:rPr>
      </w:pPr>
    </w:p>
    <w:p w14:paraId="5D3E070E" w14:textId="77777777" w:rsidR="00B50E27" w:rsidRDefault="00B50E27" w:rsidP="00B50E27">
      <w:pPr>
        <w:spacing w:after="0" w:line="240" w:lineRule="auto"/>
        <w:ind w:firstLine="454"/>
        <w:jc w:val="both"/>
        <w:rPr>
          <w:szCs w:val="24"/>
          <w:lang w:val="ka-GE"/>
        </w:rPr>
      </w:pPr>
    </w:p>
    <w:p w14:paraId="2FA18A24" w14:textId="77777777" w:rsidR="00B50E27" w:rsidRDefault="00B50E27" w:rsidP="00B50E27">
      <w:pPr>
        <w:spacing w:after="0" w:line="240" w:lineRule="auto"/>
        <w:ind w:firstLine="454"/>
        <w:jc w:val="both"/>
        <w:rPr>
          <w:szCs w:val="24"/>
          <w:lang w:val="ka-GE"/>
        </w:rPr>
      </w:pPr>
    </w:p>
    <w:p w14:paraId="633D49B0" w14:textId="77777777" w:rsidR="00B50E27" w:rsidRDefault="00B50E27" w:rsidP="00B50E27">
      <w:pPr>
        <w:spacing w:after="0" w:line="240" w:lineRule="auto"/>
        <w:ind w:firstLine="454"/>
        <w:jc w:val="both"/>
        <w:rPr>
          <w:szCs w:val="24"/>
          <w:lang w:val="ka-GE"/>
        </w:rPr>
      </w:pPr>
    </w:p>
    <w:p w14:paraId="4140D122" w14:textId="77777777" w:rsidR="00B50E27" w:rsidRPr="00C92066" w:rsidRDefault="00B50E27" w:rsidP="00B50E27">
      <w:pPr>
        <w:spacing w:after="0" w:line="240" w:lineRule="auto"/>
        <w:ind w:firstLine="454"/>
        <w:jc w:val="both"/>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240" w:lineRule="auto"/>
        <w:ind w:firstLine="454"/>
        <w:jc w:val="both"/>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240" w:lineRule="auto"/>
        <w:ind w:firstLine="454"/>
        <w:rPr>
          <w:szCs w:val="24"/>
          <w:lang w:val="ka-GE"/>
        </w:rPr>
      </w:pPr>
    </w:p>
    <w:p w14:paraId="6B8A2F50" w14:textId="77777777" w:rsidR="00B50E27" w:rsidRDefault="00B50E27" w:rsidP="00B50E27">
      <w:pPr>
        <w:spacing w:after="0" w:line="24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240" w:lineRule="auto"/>
        <w:ind w:firstLine="454"/>
        <w:rPr>
          <w:szCs w:val="24"/>
          <w:lang w:val="ka-GE"/>
        </w:rPr>
      </w:pPr>
    </w:p>
    <w:p w14:paraId="2B13933F" w14:textId="77777777" w:rsidR="00B50E27" w:rsidRDefault="00B50E27" w:rsidP="00B50E27">
      <w:pPr>
        <w:spacing w:after="0" w:line="240" w:lineRule="auto"/>
        <w:ind w:firstLine="454"/>
        <w:rPr>
          <w:szCs w:val="24"/>
          <w:lang w:val="ka-GE"/>
        </w:rPr>
      </w:pPr>
    </w:p>
    <w:p w14:paraId="29049FAB" w14:textId="77777777" w:rsidR="00B50E27" w:rsidRDefault="00B50E27" w:rsidP="00B50E27">
      <w:pPr>
        <w:spacing w:after="0" w:line="240" w:lineRule="auto"/>
        <w:ind w:firstLine="454"/>
        <w:rPr>
          <w:szCs w:val="24"/>
          <w:lang w:val="ka-GE"/>
        </w:rPr>
      </w:pPr>
    </w:p>
    <w:p w14:paraId="316E3D69" w14:textId="77777777" w:rsidR="00B50E27" w:rsidRDefault="00B50E27" w:rsidP="00B50E27">
      <w:pPr>
        <w:spacing w:after="0" w:line="240" w:lineRule="auto"/>
        <w:ind w:firstLine="454"/>
        <w:rPr>
          <w:szCs w:val="24"/>
          <w:lang w:val="ka-GE"/>
        </w:rPr>
      </w:pPr>
    </w:p>
    <w:p w14:paraId="6D36BA43" w14:textId="77777777" w:rsidR="00B50E27" w:rsidRDefault="00B50E27" w:rsidP="00B50E27">
      <w:pPr>
        <w:spacing w:after="0" w:line="240" w:lineRule="auto"/>
        <w:ind w:firstLine="454"/>
        <w:rPr>
          <w:szCs w:val="24"/>
          <w:lang w:val="ka-GE"/>
        </w:rPr>
      </w:pPr>
    </w:p>
    <w:p w14:paraId="6794835D" w14:textId="77777777" w:rsidR="00B50E27" w:rsidRDefault="00B50E27" w:rsidP="00B50E27">
      <w:pPr>
        <w:spacing w:after="0" w:line="240" w:lineRule="auto"/>
        <w:ind w:firstLine="454"/>
        <w:rPr>
          <w:szCs w:val="24"/>
          <w:lang w:val="ka-GE"/>
        </w:rPr>
      </w:pPr>
    </w:p>
    <w:p w14:paraId="47807DB2" w14:textId="77777777" w:rsidR="00B50E27" w:rsidRDefault="00B50E27" w:rsidP="00B50E27">
      <w:pPr>
        <w:spacing w:after="0" w:line="240" w:lineRule="auto"/>
        <w:ind w:firstLine="454"/>
        <w:rPr>
          <w:szCs w:val="24"/>
          <w:lang w:val="ka-GE"/>
        </w:rPr>
      </w:pPr>
    </w:p>
    <w:p w14:paraId="2762F99F" w14:textId="77777777" w:rsidR="00B50E27" w:rsidRPr="00C92066" w:rsidRDefault="00B50E27" w:rsidP="00B50E27">
      <w:pPr>
        <w:spacing w:after="0" w:line="24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240" w:lineRule="auto"/>
        <w:ind w:firstLine="454"/>
        <w:jc w:val="both"/>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240" w:lineRule="auto"/>
        <w:jc w:val="center"/>
        <w:rPr>
          <w:b/>
          <w:bCs/>
          <w:sz w:val="28"/>
          <w:szCs w:val="24"/>
          <w:lang w:val="ka-GE"/>
        </w:rPr>
      </w:pPr>
      <w:r w:rsidRPr="0064411D">
        <w:rPr>
          <w:b/>
          <w:bCs/>
          <w:sz w:val="28"/>
          <w:szCs w:val="24"/>
          <w:lang w:val="ka-GE"/>
        </w:rPr>
        <w:lastRenderedPageBreak/>
        <w:t>რეზიუმე</w:t>
      </w:r>
      <w:bookmarkEnd w:id="3"/>
    </w:p>
    <w:p>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დროში აზროვნებისას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საუბრის პარტნიორის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მრავალსაწყობიანი მოდელი, ებინგჰაუზის დავიწყების კრუგი,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ებინგჰაუზის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თანადგომა, ხმოვანი თანამოსაუბრე, შეფასების მეთოდოლოგია.</w:t>
      </w:r>
    </w:p>
    <w:p w14:paraId="7FE1841C" w14:textId="551F5169" w:rsidR="009434DE" w:rsidRDefault="009434DE" w:rsidP="00A207E2">
      <w:pPr>
        <w:spacing w:after="0" w:line="240" w:lineRule="auto"/>
        <w:ind w:firstLine="454"/>
        <w:jc w:val="both"/>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240" w:lineRule="auto"/>
        <w:jc w:val="center"/>
        <w:rPr>
          <w:sz w:val="28"/>
          <w:szCs w:val="28"/>
        </w:rPr>
      </w:pPr>
      <w:r w:rsidRPr="003E5807">
        <w:rPr>
          <w:sz w:val="28"/>
          <w:szCs w:val="28"/>
        </w:rPr>
        <w:lastRenderedPageBreak/>
        <w:t>Abstract</w:t>
      </w:r>
    </w:p>
    <w:p>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rPr>
          <w:szCs w:val="24"/>
        </w:rPr>
      </w:pPr>
      <w:r>
        <w:rPr>
          <w:szCs w:val="24"/>
        </w:rPr>
        <w:br w:type="page"/>
      </w:r>
    </w:p>
    <w:p w14:paraId="32D73467" w14:textId="764F0AD4" w:rsidR="0091706F" w:rsidRPr="0091706F" w:rsidRDefault="0091706F" w:rsidP="0091706F">
      <w:pPr>
        <w:pStyle w:val="TOCHeading"/>
        <w:spacing w:line="24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r>
        <w:fldChar w:fldCharType="begin" w:dirty="true"/>
        <w:instrText xml:space="preserve"> TOC \o "1-2" \h \z \u </w:instrText>
        <w:fldChar w:fldCharType="separate"/>
        <w:t xml:space="preserve">შინაარსი გენერირდება ავტომატურად Word-ში (საჭიროების შემთხვევაში: მარჯვენა ღილაკი → Update Field / F9).</w:t>
        <w:fldChar w:fldCharType="end"/>
      </w:r>
    </w:p>
    <w:p w14:paraId="66A958D3" w14:textId="59C56240" w:rsidR="00F65694" w:rsidRDefault="00F65694" w:rsidP="00A207E2">
      <w:pPr>
        <w:spacing w:after="0" w:line="240" w:lineRule="auto"/>
        <w:jc w:val="both"/>
        <w:rPr>
          <w:szCs w:val="24"/>
        </w:rPr>
      </w:pPr>
    </w:p>
    <w:p w14:paraId="0457192E" w14:textId="1C6DAAB7" w:rsidR="009A54D0" w:rsidRDefault="009A54D0" w:rsidP="00A207E2">
      <w:pPr>
        <w:spacing w:after="0" w:line="240" w:lineRule="auto"/>
        <w:jc w:val="both"/>
        <w:rPr>
          <w:szCs w:val="24"/>
        </w:rPr>
      </w:pPr>
    </w:p>
    <w:p w14:paraId="363B0061" w14:textId="108A512C" w:rsidR="009A54D0" w:rsidRDefault="009A54D0" w:rsidP="00A207E2">
      <w:pPr>
        <w:spacing w:after="0" w:line="240" w:lineRule="auto"/>
        <w:jc w:val="both"/>
        <w:rPr>
          <w:szCs w:val="24"/>
        </w:rPr>
      </w:pP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24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240" w:lineRule="auto"/>
        <w:jc w:val="both"/>
        <w:rPr>
          <w:sz w:val="28"/>
          <w:szCs w:val="28"/>
          <w:lang w:val="ka-GE"/>
        </w:rPr>
      </w:pPr>
    </w:p>
    <w:p w14:paraId="23E5E56C" w14:textId="459F235F" w:rsidR="00251275" w:rsidRDefault="00251275" w:rsidP="00A207E2">
      <w:pPr>
        <w:spacing w:after="0" w:line="240" w:lineRule="auto"/>
        <w:jc w:val="both"/>
        <w:rPr>
          <w:sz w:val="28"/>
          <w:szCs w:val="28"/>
          <w:lang w:val="ka-GE"/>
        </w:rPr>
      </w:pPr>
    </w:p>
    <w:p w14:paraId="051CC3C4" w14:textId="3B8ED7EC" w:rsidR="00251275" w:rsidRDefault="00251275" w:rsidP="00A207E2">
      <w:pPr>
        <w:spacing w:after="0" w:line="240" w:lineRule="auto"/>
        <w:jc w:val="both"/>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24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240" w:lineRule="auto"/>
        <w:jc w:val="both"/>
        <w:rPr>
          <w:sz w:val="28"/>
          <w:szCs w:val="28"/>
          <w:lang w:val="ka-GE"/>
        </w:rPr>
      </w:pPr>
    </w:p>
    <w:p>
      <w:pPr>
        <w:pStyle w:val="Heading1"/>
        <w:pageBreakBefore/>
        <w:numPr>
          <w:numId w:val="0"/>
        </w:numPr>
      </w:pPr>
      <w:r>
        <w:rPr>
          <w:rFonts w:ascii="Sylfaen" w:hAnsi="Sylfaen" w:cs="Sylfaen"/>
          <w:b/>
          <w:sz w:val="28"/>
        </w:rPr>
        <w:t>1. შესავალი</w:t>
      </w:r>
    </w:p>
    <w:p>
      <w:pPr>
        <w:pStyle w:val="Heading2"/>
        <w:numPr>
          <w:numId w:val="0"/>
        </w:numPr>
      </w:pPr>
      <w:r>
        <w:rPr>
          <w:rFonts w:ascii="Sylfaen" w:hAnsi="Sylfaen" w:cs="Sylfaen"/>
          <w:b/>
          <w:sz w:val="26"/>
        </w:rPr>
        <w:t>1.1 კვლევითი პრობლემა</w:t>
      </w:r>
    </w:p>
    <w:p>
      <w:pP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"სათადარიგო"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pStyle w:val="Heading2"/>
        <w:numPr>
          <w:numId w:val="0"/>
        </w:numPr>
      </w:pPr>
      <w:r>
        <w:rPr>
          <w:rFonts w:ascii="Sylfaen" w:hAnsi="Sylfaen" w:cs="Sylfaen"/>
          <w:b/>
          <w:sz w:val="26"/>
        </w:rPr>
        <w:t>1.2 კვლევის მიზანი</w:t>
      </w:r>
    </w:p>
    <w:p>
      <w:pP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თანადგომაზე, მომხმარებელ-აგენტის ალიანსსა და აღქმულ ადამიანურობაზე.</w:t>
      </w:r>
    </w:p>
    <w:p>
      <w:pPr/>
      <w:r>
        <w:rPr>
          <w:rFonts w:ascii="Sylfaen" w:hAnsi="Sylfaen" w:cs="Sylfaen"/>
          <w:b w:val="0"/>
          <w:sz w:val="24"/>
        </w:rPr>
        <w:t>ამ მიზნის მისაღწევად, დასახულია შემდეგი ამოცანები:</w:t>
      </w:r>
    </w:p>
    <w:p>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r>
        <w:rPr>
          <w:rFonts w:ascii="Sylfaen" w:hAnsi="Sylfaen" w:cs="Sylfaen"/>
          <w:b w:val="0"/>
          <w:sz w:val="24"/>
        </w:rPr>
        <w:t>2. შერჩეული თეორიების ქცევითი ნიშნულების ფორმალიზება (მრავალსაცავო მოდელი, ებინგჰაუზის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ინტერლოკუტორი სისტემებისთვის, რომლებიც დადასტურდება გადავადებული კვლევით.</w:t>
      </w:r>
    </w:p>
    <w:p>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თანადგომას,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თანადგომის, მომხმარებლისა და აგენტის ალიანსისა და აღქმული ადამიანურობის.</w:t>
      </w:r>
    </w:p>
    <w:p>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გახანგრძლივება,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r>
        <w:rPr>
          <w:rFonts w:ascii="Sylfaen" w:hAnsi="Sylfaen" w:cs="Sylfaen"/>
          <w:b w:val="0"/>
          <w:sz w:val="24"/>
        </w:rPr>
        <w:t>სამი თვისებიდან, რომლებითაც 1.5 განასხვავებს მოსაუბრეს თანაშემწისგან,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pStyle w:val="Heading2"/>
        <w:numPr>
          <w:numId w:val="0"/>
        </w:numPr>
      </w:pPr>
      <w:r>
        <w:rPr>
          <w:rFonts w:ascii="Sylfaen" w:hAnsi="Sylfaen" w:cs="Sylfaen"/>
          <w:b/>
          <w:sz w:val="26"/>
        </w:rPr>
        <w:t>1.3 პრობლემის აქტუალობა</w:t>
      </w:r>
    </w:p>
    <w:p>
      <w:pP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pStyle w:val="Heading2"/>
        <w:numPr>
          <w:numId w:val="0"/>
        </w:numPr>
      </w:pPr>
      <w:r>
        <w:rPr>
          <w:rFonts w:ascii="Sylfaen" w:hAnsi="Sylfaen" w:cs="Sylfaen"/>
          <w:b/>
          <w:sz w:val="26"/>
        </w:rPr>
        <w:t>1.4 კვლევის პრაქტიკული ღირებულება</w:t>
      </w:r>
    </w:p>
    <w:p>
      <w:pPr/>
      <w:r>
        <w:rPr>
          <w:rFonts w:ascii="Sylfaen" w:hAnsi="Sylfaen" w:cs="Sylfaen"/>
          <w:b w:val="0"/>
          <w:sz w:val="24"/>
        </w:rPr>
        <w:t>კვლევის შედეგად იქნება:</w:t>
      </w:r>
    </w:p>
    <w:p>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pStyle w:val="Heading2"/>
        <w:numPr>
          <w:numId w:val="0"/>
        </w:numPr>
      </w:pPr>
      <w:r>
        <w:rPr>
          <w:rFonts w:ascii="Sylfaen" w:hAnsi="Sylfaen" w:cs="Sylfaen"/>
          <w:b/>
          <w:sz w:val="26"/>
        </w:rPr>
        <w:t>1.5 კვლევის თეორიული ღირებულება</w:t>
      </w:r>
    </w:p>
    <w:p>
      <w:pP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"საუბრის პარტნიორს"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pStyle w:val="Heading2"/>
        <w:numPr>
          <w:numId w:val="0"/>
        </w:numPr>
      </w:pPr>
      <w:r>
        <w:rPr>
          <w:rFonts w:ascii="Sylfaen" w:hAnsi="Sylfaen" w:cs="Sylfaen"/>
          <w:b/>
          <w:sz w:val="26"/>
        </w:rPr>
        <w:t>1.6 ნაშრომის სტრუქტურა</w:t>
      </w:r>
    </w:p>
    <w:p>
      <w:pP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pPr>
      <w:r>
        <w:rPr>
          <w:rFonts w:ascii="Sylfaen" w:hAnsi="Sylfaen" w:cs="Sylfaen"/>
          <w:b/>
          <w:sz w:val="28"/>
        </w:rPr>
        <w:t>2. ლიტერატურის მიმოხილვა</w:t>
      </w:r>
    </w:p>
    <w:p>
      <w:pPr>
        <w:pStyle w:val="Heading2"/>
        <w:numPr>
          <w:numId w:val="0"/>
        </w:numPr>
      </w:pPr>
      <w:r>
        <w:rPr>
          <w:rFonts w:ascii="Sylfaen" w:hAnsi="Sylfaen" w:cs="Sylfaen"/>
          <w:b/>
          <w:sz w:val="26"/>
        </w:rPr>
        <w:t>2.1 მიმოხილვის მოცულობა და სტრუქტურა</w:t>
      </w:r>
    </w:p>
    <w:p>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ნაწინდევრებული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pPr>
      <w:r>
        <w:rPr>
          <w:rFonts w:ascii="Sylfaen" w:hAnsi="Sylfaen" w:cs="Sylfaen"/>
          <w:b/>
          <w:sz w:val="26"/>
        </w:rPr>
        <w:t>2.2 თეორიული საფუძვლები: ადამიანის მეხსიერების მოდელები</w:t>
      </w:r>
    </w:p>
    <w:p>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საუბრის პარტნიორი.</w:t>
      </w:r>
    </w:p>
    <w:p>
      <w:pPr/>
      <w:r>
        <w:rPr>
          <w:rFonts w:ascii="Sylfaen" w:hAnsi="Sylfaen" w:cs="Sylfaen"/>
          <w:b w:val="0"/>
          <w:sz w:val="24"/>
        </w:rPr>
        <w:t>მრავალსაწყობიანი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ხელწერა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"დაუჯერღვანელებელ" ეპიზოდებში არ ჩაიძიროს.</w:t>
      </w:r>
    </w:p>
    <w:p>
      <w:pPr/>
      <w:r>
        <w:rPr>
          <w:rFonts w:ascii="Sylfaen" w:hAnsi="Sylfaen" w:cs="Sylfaen"/>
          <w:b w:val="0"/>
          <w:sz w:val="24"/>
        </w:rPr>
        <w:t>დავიწყების კრუგი.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კრუგს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გახანგრძლივებას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r>
        <w:rPr>
          <w:rFonts w:ascii="Sylfaen" w:hAnsi="Sylfaen" w:cs="Sylfaen"/>
          <w:b w:val="0"/>
          <w:sz w:val="24"/>
        </w:rPr>
        <w:t>დუნე კვალითეორია.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(გიუსტი),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ხელწერას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pPr>
      <w:r>
        <w:rPr>
          <w:rFonts w:ascii="Sylfaen" w:hAnsi="Sylfaen" w:cs="Sylfaen"/>
          <w:b/>
          <w:sz w:val="26"/>
        </w:rPr>
        <w:t>2.3 გრძელვადიანი მეხსიერება დიდი ენის მოდელის აგენტებისთვის: სამი ტალღა</w:t>
      </w:r>
    </w:p>
    <w:p>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კრუგს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ლატენტურობისა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pPr>
      <w:r>
        <w:rPr>
          <w:rFonts w:ascii="Sylfaen" w:hAnsi="Sylfaen" w:cs="Sylfaen"/>
          <w:b/>
          <w:sz w:val="26"/>
        </w:rPr>
        <w:t>2.4 ხიდი: მეხსიერების თეორიიდან მეხსიერების არქიტექტურამდე</w:t>
      </w:r>
    </w:p>
    <w:p>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ხელწერა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ებინგჰაუზის დავიწყების კურივა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ადამიანი-საუბრის პარტნიორი.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pPr>
      <w:r>
        <w:rPr>
          <w:rFonts w:ascii="Sylfaen" w:hAnsi="Sylfaen" w:cs="Sylfaen"/>
          <w:b/>
          <w:sz w:val="26"/>
        </w:rPr>
        <w:t>2.5 საუბრის მეხსიერების შეფასება: ბენჩმარკები და მათი შეზღუდვები</w:t>
      </w:r>
    </w:p>
    <w:p>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თანადგომას, ალიანსს ან ადამიანურობას.</w:t>
      </w:r>
    </w:p>
    <w:p>
      <w:pPr>
        <w:pStyle w:val="Heading2"/>
        <w:numPr>
          <w:numId w:val="0"/>
        </w:numPr>
      </w:pPr>
      <w:r>
        <w:rPr>
          <w:rFonts w:ascii="Sylfaen" w:hAnsi="Sylfaen" w:cs="Sylfaen"/>
          <w:b/>
          <w:sz w:val="26"/>
        </w:rPr>
        <w:t>2.6 დამხმარედან თანამოსაუბრემდე: მეხსიერება და აღქმული ურთიერთობა</w:t>
      </w:r>
    </w:p>
    <w:p>
      <w:pPr/>
      <w:r>
        <w:rPr>
          <w:rFonts w:ascii="Sylfaen" w:hAnsi="Sylfaen" w:cs="Sylfaen"/>
          <w:b w:val="0"/>
          <w:sz w:val="24"/>
        </w:rPr>
        <w:t>სისტემის აღქმა, როგორც უბრალო ასისტენტისა, ან როგორც საუბრის პარტნიორის,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r>
        <w:rPr>
          <w:rFonts w:ascii="Sylfaen" w:hAnsi="Sylfaen" w:cs="Sylfaen"/>
          <w:b w:val="0"/>
          <w:sz w:val="24"/>
        </w:rPr>
        <w:t>მეორე ქცევითი ღერძი, რომელიც გამოსარჩევს საუბრის პარტნიორს დამხმარისგან,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თვრამეტ კონსტრუქტს — მათ შორის სოციალურ პრეზენციას,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pPr>
      <w:r>
        <w:rPr>
          <w:rFonts w:ascii="Sylfaen" w:hAnsi="Sylfaen" w:cs="Sylfaen"/>
          <w:b/>
          <w:sz w:val="26"/>
        </w:rPr>
        <w:t>2.7 ღია პრობლემები და შეზღუდვები</w:t>
      </w:r>
    </w:p>
    <w:p>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pPr>
      <w:r>
        <w:rPr>
          <w:rFonts w:ascii="Sylfaen" w:hAnsi="Sylfaen" w:cs="Sylfaen"/>
          <w:b/>
          <w:sz w:val="26"/>
        </w:rPr>
        <w:t>2.8 ამ ნაშრომის ადგილი</w:t>
      </w:r>
    </w:p>
    <w:p>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თანადგომის,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pPr>
      <w:r>
        <w:rPr>
          <w:rFonts w:ascii="Sylfaen" w:hAnsi="Sylfaen" w:cs="Sylfaen"/>
          <w:b/>
          <w:sz w:val="28"/>
        </w:rPr>
        <w:t>3. კვლევის მეთოდები</w:t>
      </w:r>
    </w:p>
    <w:p>
      <w:pPr>
        <w:pStyle w:val="Heading2"/>
        <w:numPr>
          <w:numId w:val="0"/>
        </w:numPr>
      </w:pPr>
      <w:r>
        <w:rPr>
          <w:rFonts w:ascii="Sylfaen" w:hAnsi="Sylfaen" w:cs="Sylfaen"/>
          <w:b/>
          <w:sz w:val="26"/>
        </w:rPr>
        <w:t>3.1 კვლევის დიზაინი და წვლილი</w:t>
      </w:r>
    </w:p>
    <w:p>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საუბრის პარტნიორის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ენერგეტიკული ანალიზით — და არა როგორც კვლევა, რომლის მონაცემებიც 4-შია წარმოდგენილი.</w:t>
      </w:r>
    </w:p>
    <w:p>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გასამოსაჯაროებელი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ებინგჰაუზის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pPr>
      <w:r>
        <w:rPr>
          <w:rFonts w:ascii="Sylfaen" w:hAnsi="Sylfaen" w:cs="Sylfaen"/>
          <w:b/>
          <w:sz w:val="26"/>
        </w:rPr>
        <w:t>3.2 პროფილი C-ის მეხსიერების არქიტექტურა</w:t>
      </w:r>
    </w:p>
    <w:p>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მრავალსაცავო მოდელს [20], ებინგჰაუსის დავიწყების კრუგს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კრუგისთვის უკვე მითითებულ გაფრთხილებას.</w:t>
      </w:r>
    </w:p>
    <w:p>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კონფუუდის,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მრავალსაწყობიანი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საუბრის პარტნიორი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ტურნირის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r>
        <w:rPr>
          <w:rFonts w:ascii="Sylfaen" w:hAnsi="Sylfaen" w:cs="Sylfaen"/>
          <w:b w:val="0"/>
          <w:sz w:val="24"/>
        </w:rPr>
        <w:t>ეტაპი 3 — დაქრობა და გაძლიერება (ებინგჰაუზი,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ებინგჰაუზის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საუბრის პარტნიორი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"ბურუსიანი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ზოგადყოფების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pPr>
      <w:r>
        <w:rPr>
          <w:rFonts w:ascii="Sylfaen" w:hAnsi="Sylfaen" w:cs="Sylfaen"/>
          <w:b/>
          <w:sz w:val="26"/>
        </w:rPr>
        <w:t>3.3 ექსპერიმენტული პირობები (A / B / B+ / C)</w:t>
      </w:r>
    </w:p>
    <w:p>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სიხშირული ფილტრის, და კონსოლიდაციის — მხოლოდ წმინდა კოსინუსის top-k გაწმენდილ ანოტაციებზე.</w:t>
      </w:r>
    </w:p>
    <w:p>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კონფუუდი: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კონფუუდს.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კონფუუნდების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კომპრესიя</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pPr>
      <w:r>
        <w:rPr>
          <w:rFonts w:ascii="Sylfaen" w:hAnsi="Sylfaen" w:cs="Sylfaen"/>
          <w:b/>
          <w:sz w:val="26"/>
        </w:rPr>
        <w:t>3.4 კონცეფციის დამტკიცების იმპლემენტაცია</w:t>
      </w:r>
    </w:p>
    <w:p>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უსასრულო დაქვეითება და გაძლიერება, ოფლაინ კონსოლიდაცია და არსის მიხედვით მოძიება.</w:t>
      </w:r>
    </w:p>
    <w:p>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pPr>
      <w:r>
        <w:rPr>
          <w:rFonts w:ascii="Sylfaen" w:hAnsi="Sylfaen" w:cs="Sylfaen"/>
          <w:b/>
          <w:sz w:val="26"/>
        </w:rPr>
        <w:t>3.5 შეფასების მეთოდოლოგია</w:t>
      </w:r>
    </w:p>
    <w:p>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ლატენტურობა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თანადგომა,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პრეზენციისა"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pPr>
      <w:r>
        <w:rPr>
          <w:rFonts w:ascii="Sylfaen" w:hAnsi="Sylfaen" w:cs="Sylfaen"/>
          <w:b/>
          <w:sz w:val="26"/>
        </w:rPr>
        <w:t>3.6 ზომები და ინსტრუმენტები</w:t>
      </w:r>
    </w:p>
    <w:p>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თვრამეტი ცხრა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r>
        <w:rPr>
          <w:rFonts w:ascii="Sylfaen" w:hAnsi="Sylfaen" w:cs="Sylfaen"/>
          <w:b w:val="0"/>
          <w:sz w:val="24"/>
        </w:rPr>
        <w:t>•  სოციალური თანადგომა — სხვა სოციალურ ერთეულთან ერთად ყოფნის შეგრძნება;</w:t>
      </w:r>
    </w:p>
    <w:p>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pPr>
      <w:r>
        <w:rPr>
          <w:rFonts w:ascii="Sylfaen" w:hAnsi="Sylfaen" w:cs="Sylfaen"/>
          <w:b/>
          <w:sz w:val="26"/>
        </w:rPr>
        <w:t>3.7 ანალიზის გეგმა</w:t>
      </w:r>
    </w:p>
    <w:p>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pPr>
      <w:r>
        <w:rPr>
          <w:rFonts w:ascii="Sylfaen" w:hAnsi="Sylfaen" w:cs="Sylfaen"/>
          <w:b/>
          <w:sz w:val="26"/>
        </w:rPr>
        <w:t>3.8 ეთიკური საკითხები და შეზღუდვები</w:t>
      </w:r>
    </w:p>
    <w:p>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r>
        <w:rPr>
          <w:rFonts w:ascii="Sylfaen" w:hAnsi="Sylfaen" w:cs="Sylfaen"/>
          <w:b w:val="0"/>
          <w:sz w:val="24"/>
        </w:rPr>
        <w:t>მეთოდოლოგიას, პირდაპირ და მკაფიოდ, სამი სახის შეზღუდვა გააჩნია.</w:t>
      </w:r>
    </w:p>
    <w:p>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კონფუუდის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ხუთი საწყისი თეორიას აერთიანებდა კი არ, არამედ ქმნიდა მათგან ახალს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ცოდნილ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pPr>
      <w:r>
        <w:rPr>
          <w:rFonts w:ascii="Sylfaen" w:hAnsi="Sylfaen" w:cs="Sylfaen"/>
          <w:b/>
          <w:sz w:val="28"/>
        </w:rPr>
        <w:t>4. შედეგები და განხილვა</w:t>
      </w:r>
    </w:p>
    <w:p>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pPr>
      <w:r>
        <w:rPr>
          <w:rFonts w:ascii="Sylfaen" w:hAnsi="Sylfaen" w:cs="Sylfaen"/>
          <w:b/>
          <w:sz w:val="26"/>
        </w:rPr>
        <w:t>4.1 კონცეფციის დამტკიცება: მასშტაბი და სიზუსტე</w:t>
      </w:r>
    </w:p>
    <w:p>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ჩამორჩენილი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ებინგჰაუზის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პიპელა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pPr>
      <w:r>
        <w:rPr>
          <w:rFonts w:ascii="Sylfaen" w:hAnsi="Sylfaen" w:cs="Sylfaen"/>
          <w:b/>
          <w:sz w:val="26"/>
        </w:rPr>
        <w:t>4.2 ტექნიკური შედეგები</w:t>
      </w:r>
    </w:p>
    <w:p>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84"/>
        <w:gridCol w:w="2161"/>
        <w:gridCol w:w="1852"/>
        <w:gridCol w:w="1338"/>
      </w:tblGrid>
      <w:tr>
        <w:tc>
          <w:tcPr>
            <w:tcW w:type="dxa" w:w="2984"/>
          </w:tcPr>
          <w:p>
            <w:pPr>
              <w:spacing w:line="240" w:lineRule="auto"/>
            </w:pPr>
            <w:r>
              <w:rPr>
                <w:rFonts w:ascii="Sylfaen" w:hAnsi="Sylfaen" w:cs="Sylfaen"/>
                <w:b/>
                <w:sz w:val="22"/>
              </w:rPr>
              <w:t>პირობა</w:t>
            </w:r>
          </w:p>
        </w:tc>
        <w:tc>
          <w:tcPr>
            <w:tcW w:type="dxa" w:w="2161"/>
          </w:tcPr>
          <w:p>
            <w:pPr>
              <w:spacing w:line="240" w:lineRule="auto"/>
            </w:pPr>
            <w:r>
              <w:rPr>
                <w:rFonts w:ascii="Sylfaen" w:hAnsi="Sylfaen" w:cs="Sylfaen"/>
                <w:b/>
                <w:sz w:val="22"/>
              </w:rPr>
              <w:t>მნიშვნელოვანი ფაქტები</w:t>
            </w:r>
          </w:p>
        </w:tc>
        <w:tc>
          <w:tcPr>
            <w:tcW w:type="dxa" w:w="1852"/>
          </w:tcPr>
          <w:p>
            <w:pPr>
              <w:spacing w:line="240" w:lineRule="auto"/>
            </w:pPr>
            <w:r>
              <w:rPr>
                <w:rFonts w:ascii="Sylfaen" w:hAnsi="Sylfaen" w:cs="Sylfaen"/>
                <w:b/>
                <w:sz w:val="22"/>
              </w:rPr>
              <w:t>საინტერესო ფაქტები</w:t>
            </w:r>
          </w:p>
        </w:tc>
        <w:tc>
          <w:tcPr>
            <w:tcW w:type="dxa" w:w="1338"/>
          </w:tcPr>
          <w:p>
            <w:pPr>
              <w:spacing w:line="240" w:lineRule="auto"/>
            </w:pPr>
            <w:r>
              <w:rPr>
                <w:rFonts w:ascii="Sylfaen" w:hAnsi="Sylfaen" w:cs="Sylfaen"/>
                <w:b/>
                <w:sz w:val="22"/>
              </w:rPr>
              <w:t>გენერალიზაცია</w:t>
            </w:r>
          </w:p>
        </w:tc>
      </w:tr>
      <w:tr>
        <w:tc>
          <w:tcPr>
            <w:tcW w:type="dxa" w:w="2984"/>
          </w:tcPr>
          <w:p>
            <w:pPr>
              <w:spacing w:line="240" w:lineRule="auto"/>
            </w:pPr>
            <w:r>
              <w:rPr>
                <w:rFonts w:ascii="Sylfaen" w:hAnsi="Sylfaen" w:cs="Sylfaen"/>
                <w:b w:val="0"/>
                <w:sz w:val="22"/>
              </w:rPr>
              <w:t>A (მეხსიერების გარეშე)</w:t>
            </w:r>
          </w:p>
        </w:tc>
        <w:tc>
          <w:tcPr>
            <w:tcW w:type="dxa" w:w="2161"/>
          </w:tcPr>
          <w:p>
            <w:pPr>
              <w:spacing w:line="240" w:lineRule="auto"/>
            </w:pPr>
            <w:r>
              <w:rPr>
                <w:rFonts w:ascii="Sylfaen" w:hAnsi="Sylfaen" w:cs="Sylfaen"/>
                <w:b w:val="0"/>
                <w:sz w:val="22"/>
              </w:rPr>
              <w:t>0.00</w:t>
            </w:r>
          </w:p>
        </w:tc>
        <w:tc>
          <w:tcPr>
            <w:tcW w:type="dxa" w:w="1852"/>
          </w:tcPr>
          <w:p>
            <w:pPr>
              <w:spacing w:line="240" w:lineRule="auto"/>
            </w:pPr>
            <w:r>
              <w:rPr>
                <w:rFonts w:ascii="Sylfaen" w:hAnsi="Sylfaen" w:cs="Sylfaen"/>
                <w:b w:val="0"/>
                <w:sz w:val="22"/>
              </w:rPr>
              <w:t>0.00</w:t>
            </w:r>
          </w:p>
        </w:tc>
        <w:tc>
          <w:tcPr>
            <w:tcW w:type="dxa" w:w="1338"/>
          </w:tcPr>
          <w:p>
            <w:pPr>
              <w:spacing w:line="240" w:lineRule="auto"/>
            </w:pPr>
            <w:r>
              <w:rPr>
                <w:rFonts w:ascii="Sylfaen" w:hAnsi="Sylfaen" w:cs="Sylfaen"/>
                <w:b w:val="0"/>
                <w:sz w:val="22"/>
              </w:rPr>
              <w:t>0.67</w:t>
            </w:r>
          </w:p>
        </w:tc>
      </w:tr>
      <w:tr>
        <w:tc>
          <w:tcPr>
            <w:tcW w:type="dxa" w:w="2984"/>
          </w:tcPr>
          <w:p>
            <w:pPr>
              <w:spacing w:line="240" w:lineRule="auto"/>
            </w:pPr>
            <w:r>
              <w:rPr>
                <w:rFonts w:ascii="Sylfaen" w:hAnsi="Sylfaen" w:cs="Sylfaen"/>
                <w:b w:val="0"/>
                <w:sz w:val="22"/>
              </w:rPr>
              <w:t>B (ვერბატიმ RAG)</w:t>
            </w:r>
          </w:p>
        </w:tc>
        <w:tc>
          <w:tcPr>
            <w:tcW w:type="dxa" w:w="2161"/>
          </w:tcPr>
          <w:p>
            <w:pPr>
              <w:spacing w:line="240" w:lineRule="auto"/>
            </w:pPr>
            <w:r>
              <w:rPr>
                <w:rFonts w:ascii="Sylfaen" w:hAnsi="Sylfaen" w:cs="Sylfaen"/>
                <w:b w:val="0"/>
                <w:sz w:val="22"/>
              </w:rPr>
              <w:t>1.00</w:t>
            </w:r>
          </w:p>
        </w:tc>
        <w:tc>
          <w:tcPr>
            <w:tcW w:type="dxa" w:w="1852"/>
          </w:tcPr>
          <w:p>
            <w:pPr>
              <w:spacing w:line="240" w:lineRule="auto"/>
            </w:pPr>
            <w:r>
              <w:rPr>
                <w:rFonts w:ascii="Sylfaen" w:hAnsi="Sylfaen" w:cs="Sylfaen"/>
                <w:b w:val="0"/>
                <w:sz w:val="22"/>
              </w:rPr>
              <w:t>1.00</w:t>
            </w:r>
          </w:p>
        </w:tc>
        <w:tc>
          <w:tcPr>
            <w:tcW w:type="dxa" w:w="1338"/>
          </w:tcPr>
          <w:p>
            <w:pPr>
              <w:spacing w:line="240" w:lineRule="auto"/>
            </w:pPr>
            <w:r>
              <w:rPr>
                <w:rFonts w:ascii="Sylfaen" w:hAnsi="Sylfaen" w:cs="Sylfaen"/>
                <w:b w:val="0"/>
                <w:sz w:val="22"/>
              </w:rPr>
              <w:t>1.00</w:t>
            </w:r>
          </w:p>
        </w:tc>
      </w:tr>
      <w:tr>
        <w:tc>
          <w:tcPr>
            <w:tcW w:type="dxa" w:w="2984"/>
          </w:tcPr>
          <w:p>
            <w:pPr>
              <w:spacing w:line="240" w:lineRule="auto"/>
            </w:pPr>
            <w:r>
              <w:rPr>
                <w:rFonts w:ascii="Sylfaen" w:hAnsi="Sylfaen" w:cs="Sylfaen"/>
                <w:b w:val="0"/>
                <w:sz w:val="22"/>
              </w:rPr>
              <w:t>B+ (კურატორირებული სტატიკური)</w:t>
            </w:r>
          </w:p>
        </w:tc>
        <w:tc>
          <w:tcPr>
            <w:tcW w:type="dxa" w:w="2161"/>
          </w:tcPr>
          <w:p>
            <w:pPr>
              <w:spacing w:line="240" w:lineRule="auto"/>
            </w:pPr>
            <w:r>
              <w:rPr>
                <w:rFonts w:ascii="Sylfaen" w:hAnsi="Sylfaen" w:cs="Sylfaen"/>
                <w:b w:val="0"/>
                <w:sz w:val="22"/>
              </w:rPr>
              <w:t>1.00</w:t>
            </w:r>
          </w:p>
        </w:tc>
        <w:tc>
          <w:tcPr>
            <w:tcW w:type="dxa" w:w="1852"/>
          </w:tcPr>
          <w:p>
            <w:pPr>
              <w:spacing w:line="240" w:lineRule="auto"/>
            </w:pPr>
            <w:r>
              <w:rPr>
                <w:rFonts w:ascii="Sylfaen" w:hAnsi="Sylfaen" w:cs="Sylfaen"/>
                <w:b w:val="0"/>
                <w:sz w:val="22"/>
              </w:rPr>
              <w:t>1.00</w:t>
            </w:r>
          </w:p>
        </w:tc>
        <w:tc>
          <w:tcPr>
            <w:tcW w:type="dxa" w:w="1338"/>
          </w:tcPr>
          <w:p>
            <w:pPr>
              <w:spacing w:line="240" w:lineRule="auto"/>
            </w:pPr>
            <w:r>
              <w:rPr>
                <w:rFonts w:ascii="Sylfaen" w:hAnsi="Sylfaen" w:cs="Sylfaen"/>
                <w:b w:val="0"/>
                <w:sz w:val="22"/>
              </w:rPr>
              <w:t>1.00</w:t>
            </w:r>
          </w:p>
        </w:tc>
      </w:tr>
      <w:tr>
        <w:tc>
          <w:tcPr>
            <w:tcW w:type="dxa" w:w="2984"/>
          </w:tcPr>
          <w:p>
            <w:pPr>
              <w:spacing w:line="240" w:lineRule="auto"/>
            </w:pPr>
            <w:r>
              <w:rPr>
                <w:rFonts w:ascii="Sylfaen" w:hAnsi="Sylfaen" w:cs="Sylfaen"/>
                <w:b w:val="0"/>
                <w:sz w:val="22"/>
              </w:rPr>
              <w:t>C (პროფილი C)</w:t>
            </w:r>
          </w:p>
        </w:tc>
        <w:tc>
          <w:tcPr>
            <w:tcW w:type="dxa" w:w="2161"/>
          </w:tcPr>
          <w:p>
            <w:pPr>
              <w:spacing w:line="240" w:lineRule="auto"/>
            </w:pPr>
            <w:r>
              <w:rPr>
                <w:rFonts w:ascii="Sylfaen" w:hAnsi="Sylfaen" w:cs="Sylfaen"/>
                <w:b w:val="0"/>
                <w:sz w:val="22"/>
              </w:rPr>
              <w:t>1.00</w:t>
            </w:r>
          </w:p>
        </w:tc>
        <w:tc>
          <w:tcPr>
            <w:tcW w:type="dxa" w:w="1852"/>
          </w:tcPr>
          <w:p>
            <w:pPr>
              <w:spacing w:line="240" w:lineRule="auto"/>
            </w:pPr>
            <w:r>
              <w:rPr>
                <w:rFonts w:ascii="Sylfaen" w:hAnsi="Sylfaen" w:cs="Sylfaen"/>
                <w:b w:val="0"/>
                <w:sz w:val="22"/>
              </w:rPr>
              <w:t>0.00</w:t>
            </w:r>
          </w:p>
        </w:tc>
        <w:tc>
          <w:tcPr>
            <w:tcW w:type="dxa" w:w="1338"/>
          </w:tcPr>
          <w:p>
            <w:pPr>
              <w:spacing w:line="240" w:lineRule="auto"/>
            </w:pPr>
            <w:r>
              <w:rPr>
                <w:rFonts w:ascii="Sylfaen" w:hAnsi="Sylfaen" w:cs="Sylfaen"/>
                <w:b w:val="0"/>
                <w:sz w:val="22"/>
              </w:rPr>
              <w:t>1.00</w:t>
            </w:r>
          </w:p>
        </w:tc>
      </w:tr>
    </w:tbl>
    <w:p>
      <w:pPr/>
    </w:p>
    <w:p>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უსხვამისეულად ინარჩუნებენ (1.00/1.00). ეს არის ებინგჰაუზის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pPr>
      <w:r>
        <w:rPr>
          <w:rFonts w:ascii="Sylfaen" w:hAnsi="Sylfaen" w:cs="Sylfaen"/>
          <w:b/>
          <w:sz w:val="26"/>
        </w:rPr>
        <w:t>4.3 სიმულირებული აღქმის შედეგები</w:t>
      </w:r>
    </w:p>
    <w:p>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შეფასებული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კერძოობის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გახანგრძლივება,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pPr>
      <w:r>
        <w:rPr>
          <w:rFonts w:ascii="Sylfaen" w:hAnsi="Sylfaen" w:cs="Sylfaen"/>
          <w:b/>
          <w:sz w:val="26"/>
        </w:rPr>
        <w:t>4.4 განხილვა</w:t>
      </w:r>
    </w:p>
    <w:p>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pPr>
      <w:r>
        <w:rPr>
          <w:rFonts w:ascii="Sylfaen" w:hAnsi="Sylfaen" w:cs="Sylfaen"/>
          <w:b/>
          <w:sz w:val="26"/>
        </w:rPr>
        <w:t>4.5 შეფასების შეზღუდვები</w:t>
      </w:r>
    </w:p>
    <w:p>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საუბრის პარტნიორს.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pPr>
      <w:r>
        <w:rPr>
          <w:rFonts w:ascii="Sylfaen" w:hAnsi="Sylfaen" w:cs="Sylfaen"/>
          <w:b/>
          <w:sz w:val="28"/>
        </w:rPr>
        <w:t>5. დასკვნა</w:t>
      </w:r>
    </w:p>
    <w:p>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pPr>
      <w:r>
        <w:rPr>
          <w:rFonts w:ascii="Sylfaen" w:hAnsi="Sylfaen" w:cs="Sylfaen"/>
          <w:b/>
          <w:sz w:val="26"/>
        </w:rPr>
        <w:t>5.1 წვლილის შეჯამება</w:t>
      </w:r>
    </w:p>
    <w:p>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მრავალსაცავო მოდელს, ებინგჰაუზის დავიწყების კრუგს,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pPr>
      <w:r>
        <w:rPr>
          <w:rFonts w:ascii="Sylfaen" w:hAnsi="Sylfaen" w:cs="Sylfaen"/>
          <w:b/>
          <w:sz w:val="26"/>
        </w:rPr>
        <w:t>5.2 შედეგების შეჯამება</w:t>
      </w:r>
    </w:p>
    <w:p>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გამოსათვლელად;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pPr>
      <w:r>
        <w:rPr>
          <w:rFonts w:ascii="Sylfaen" w:hAnsi="Sylfaen" w:cs="Sylfaen"/>
          <w:b/>
          <w:sz w:val="26"/>
        </w:rPr>
        <w:t>5.3 სამომავლო სამუშაო</w:t>
      </w:r>
    </w:p>
    <w:p>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ინტერლოკუტორს უფრო ადამიანურს. ჯამში, ეს ყველაფერი ასრულებს თანაშემწიდან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pPr>
      <w:r>
        <w:rPr>
          <w:rFonts w:ascii="Sylfaen" w:hAnsi="Sylfaen" w:cs="Sylfaen"/>
          <w:b/>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8" w:right="1418" w:bottom="1418" w:left="215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view w:val="web"/>
  <w:zoom w:percent="60"/>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240" w:after="0"/>
      <w:outlineLvl w:val="0"/>
    </w:pPr>
    <w:rPr>
      <w:rFonts w:eastAsiaTheme="majorEastAsia" w:cstheme="majorBidi"/>
      <w:color w:val="2F5496" w:themeColor="accent1" w:themeShade="BF"/>
      <w:sz w:val="28"/>
      <w:szCs w:val="32"/>
    </w:rPr>
  </w:style>
  <w:style w:type="paragraph" w:styleId="Heading2">
    <w:name w:val="heading 2"/>
    <w:basedOn w:val="Normal"/>
    <w:link w:val="Heading2Char"/>
    <w:uiPriority w:val="9"/>
    <w:qFormat/>
    <w:rsid w:val="00A87136"/>
    <w:pPr>
      <w:numPr>
        <w:ilvl w:val="1"/>
        <w:numId w:val="30"/>
      </w:numPr>
      <w:spacing w:before="100" w:beforeAutospacing="1" w:after="100" w:afterAutospacing="1" w:line="240" w:lineRule="auto"/>
      <w:outlineLvl w:val="1"/>
    </w:pPr>
    <w:rPr>
      <w:rFonts w:eastAsia="Times New Roman" w:cs="Times New Roman"/>
      <w:b/>
      <w:bCs/>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