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after="200"/>
        <w:jc w:val="center"/>
      </w:pPr>
      <w:r>
        <w:rPr>
          <w:rFonts w:ascii="Arial" w:hAnsi="Arial"/>
          <w:b/>
          <w:color w:val="1A2A4A"/>
          <w:sz w:val="46"/>
        </w:rPr>
        <w:t>ROOTS-AI™ C-04</w:t>
      </w:r>
    </w:p>
    <w:p>
      <w:pPr>
        <w:jc w:val="center"/>
      </w:pPr>
      <w:r>
        <w:t>Website Content &amp; Legal Copy Pack — Version 1.0.1 CORRECTED</w:t>
      </w:r>
    </w:p>
    <w:p>
      <w:pPr>
        <w:jc w:val="center"/>
      </w:pPr>
      <w:r>
        <w:rPr>
          <w:rFonts w:ascii="Arial" w:hAnsi="Arial"/>
          <w:color w:val="6B7280"/>
          <w:sz w:val="19"/>
        </w:rPr>
        <w:t>Document ID: ROOTS-C04-WEB-001</w:t>
      </w:r>
    </w:p>
    <w:p>
      <w:pPr>
        <w:jc w:val="center"/>
      </w:pPr>
      <w:r>
        <w:t>Status: APPROVED EXECUTABLE CONTENT RELEASE — CONTROLLED CORRECTION</w:t>
      </w:r>
    </w:p>
    <w:p>
      <w:pPr>
        <w:jc w:val="center"/>
      </w:pPr>
      <w:r>
        <w:rPr>
          <w:rFonts w:ascii="Arial" w:hAnsi="Arial"/>
          <w:color w:val="6B7280"/>
          <w:sz w:val="19"/>
        </w:rPr>
        <w:t>Effective date: 21 July 2026</w:t>
      </w:r>
    </w:p>
    <w:p>
      <w:pPr>
        <w:pStyle w:val="Callout"/>
      </w:pPr>
      <w:r>
        <w:t>Controlled dependencies: C-01 Canonical Question Bank v1.0.1; C-02 Canonical Scoring Rules &amp; Golden Tests v1.0.1; C-03 Report Content &amp; Visual Reference Pack v1.0.1. These controlled sources govern assessment validation, deterministic scoring/driver outputs, and report structure respectively.</w:t>
      </w:r>
    </w:p>
    <w:p>
      <w:pPr>
        <w:pStyle w:val="Callout"/>
      </w:pPr>
      <w:r>
        <w:t>This document supplies production-ready English copy for every Phase 1 public, legal, assessment, report and admin route. Dynamic system values are identified by braces and are not editorial placeholders.</w:t>
      </w:r>
    </w:p>
    <w:p>
      <w:r>
        <w:br w:type="page"/>
      </w:r>
    </w:p>
    <w:p>
      <w:pPr>
        <w:pStyle w:val="Heading1"/>
      </w:pPr>
      <w:r>
        <w:t>1. Global Content Rules</w:t>
      </w:r>
    </w:p>
    <w:p>
      <w:pPr>
        <w:pStyle w:val="ListBullet"/>
        <w:spacing w:after="40"/>
      </w:pPr>
      <w:r>
        <w:t>Brand: ROOTS-AI™. Product statement: “Medicine Before Symptoms™.”</w:t>
      </w:r>
    </w:p>
    <w:p>
      <w:pPr>
        <w:pStyle w:val="ListBullet"/>
        <w:spacing w:after="40"/>
      </w:pPr>
      <w:r>
        <w:t>Primary CTA: “Start Your Assessment”. Secondary CTA: “View Example Report”.</w:t>
      </w:r>
    </w:p>
    <w:p>
      <w:pPr>
        <w:pStyle w:val="ListBullet"/>
        <w:spacing w:after="40"/>
      </w:pPr>
      <w:r>
        <w:t>Never claim diagnosis, disease prevention, cure, guaranteed weight loss, clinical validation or medical-device status.</w:t>
      </w:r>
    </w:p>
    <w:p>
      <w:pPr>
        <w:pStyle w:val="ListBullet"/>
        <w:spacing w:after="40"/>
      </w:pPr>
      <w:r>
        <w:t>Public future capabilities are labelled “Coming Soon”; they are not represented as available.</w:t>
      </w:r>
    </w:p>
    <w:p>
      <w:pPr>
        <w:pStyle w:val="ListBullet"/>
        <w:spacing w:after="40"/>
      </w:pPr>
      <w:r>
        <w:t>Protected routes contain no marketing analytics, session replay or advertising pixels.</w:t>
      </w:r>
    </w:p>
    <w:p>
      <w:pPr>
        <w:pStyle w:val="ListBullet"/>
        <w:spacing w:after="40"/>
      </w:pPr>
      <w:r>
        <w:t>Dynamic variables such as {report_id} and {participant_name} are populated by the application and escaped before rendering.</w:t>
      </w:r>
    </w:p>
    <w:p>
      <w:pPr>
        <w:pStyle w:val="Heading1"/>
      </w:pPr>
      <w:r>
        <w:t>2. Navigation and Footer</w:t>
      </w:r>
    </w:p>
    <w:tbl>
      <w:tblPr>
        <w:tblStyle w:val="TableGrid"/>
        <w:tblW w:type="dxa" w:w="9360"/>
        <w:jc w:val="center"/>
        <w:tblLayout w:type="fixed"/>
        <w:tblLook w:firstColumn="1" w:firstRow="1" w:lastColumn="0" w:lastRow="0" w:noHBand="0" w:noVBand="1" w:val="04A0"/>
      </w:tblPr>
      <w:tblGrid>
        <w:gridCol w:w="2200"/>
        <w:gridCol w:w="7160"/>
      </w:tblGrid>
      <w:tr>
        <w:trPr>
          <w:tblHeader w:val="true"/>
          <w:cantSplit/>
        </w:trPr>
        <w:tc>
          <w:tcPr>
            <w:tcW w:type="dxa" w:w="2200"/>
            <w:shd w:fill="1A2A4A"/>
            <w:vAlign w:val="top"/>
            <w:tcMar>
              <w:top w:w="75" w:type="dxa"/>
              <w:start w:w="100" w:type="dxa"/>
              <w:bottom w:w="75" w:type="dxa"/>
              <w:end w:w="100" w:type="dxa"/>
            </w:tcMar>
          </w:tcPr>
          <w:p>
            <w:pPr>
              <w:spacing w:after="0"/>
            </w:pPr>
            <w:r>
              <w:rPr>
                <w:rFonts w:ascii="Arial" w:hAnsi="Arial"/>
                <w:b/>
                <w:color w:val="FFFFFF"/>
                <w:sz w:val="17"/>
              </w:rPr>
              <w:t>Area</w:t>
            </w:r>
          </w:p>
        </w:tc>
        <w:tc>
          <w:tcPr>
            <w:tcW w:type="dxa" w:w="7160"/>
            <w:shd w:fill="1A2A4A"/>
            <w:vAlign w:val="top"/>
            <w:tcMar>
              <w:top w:w="75" w:type="dxa"/>
              <w:start w:w="100" w:type="dxa"/>
              <w:bottom w:w="75" w:type="dxa"/>
              <w:end w:w="100" w:type="dxa"/>
            </w:tcMar>
          </w:tcPr>
          <w:p>
            <w:pPr>
              <w:spacing w:after="0"/>
            </w:pPr>
            <w:r>
              <w:rPr>
                <w:rFonts w:ascii="Arial" w:hAnsi="Arial"/>
                <w:b/>
                <w:color w:val="FFFFFF"/>
                <w:sz w:val="17"/>
              </w:rPr>
              <w:t>Approved labels/copy</w:t>
            </w:r>
          </w:p>
        </w:tc>
      </w:tr>
      <w:tr>
        <w:trPr>
          <w:cantSplit/>
        </w:trPr>
        <w:tc>
          <w:tcPr>
            <w:tcW w:type="dxa" w:w="2200"/>
            <w:vAlign w:val="top"/>
            <w:tcMar>
              <w:top w:w="75" w:type="dxa"/>
              <w:start w:w="100" w:type="dxa"/>
              <w:bottom w:w="75" w:type="dxa"/>
              <w:end w:w="100" w:type="dxa"/>
            </w:tcMar>
          </w:tcPr>
          <w:p>
            <w:pPr>
              <w:spacing w:after="0" w:line="240" w:lineRule="auto"/>
            </w:pPr>
            <w:r>
              <w:rPr>
                <w:rFonts w:ascii="Arial" w:hAnsi="Arial"/>
                <w:color w:val="1A1A1A"/>
                <w:sz w:val="17"/>
              </w:rPr>
              <w:t>Primary navigation</w:t>
            </w:r>
          </w:p>
        </w:tc>
        <w:tc>
          <w:tcPr>
            <w:tcW w:type="dxa" w:w="7160"/>
            <w:vAlign w:val="top"/>
            <w:tcMar>
              <w:top w:w="75" w:type="dxa"/>
              <w:start w:w="100" w:type="dxa"/>
              <w:bottom w:w="75" w:type="dxa"/>
              <w:end w:w="100" w:type="dxa"/>
            </w:tcMar>
          </w:tcPr>
          <w:p>
            <w:pPr>
              <w:spacing w:after="0" w:line="240" w:lineRule="auto"/>
            </w:pPr>
            <w:r>
              <w:rPr>
                <w:rFonts w:ascii="Arial" w:hAnsi="Arial"/>
                <w:color w:val="1A1A1A"/>
                <w:sz w:val="17"/>
              </w:rPr>
              <w:t>Home • How It Works • Platform • Research • Healthcare Professionals • Example Report • About</w:t>
            </w:r>
          </w:p>
        </w:tc>
      </w:tr>
      <w:tr>
        <w:trPr>
          <w:cantSplit/>
        </w:trPr>
        <w:tc>
          <w:tcPr>
            <w:tcW w:type="dxa" w:w="2200"/>
            <w:shd w:fill="F3F6FA"/>
            <w:vAlign w:val="top"/>
            <w:tcMar>
              <w:top w:w="75" w:type="dxa"/>
              <w:start w:w="100" w:type="dxa"/>
              <w:bottom w:w="75" w:type="dxa"/>
              <w:end w:w="100" w:type="dxa"/>
            </w:tcMar>
          </w:tcPr>
          <w:p>
            <w:pPr>
              <w:spacing w:after="0" w:line="240" w:lineRule="auto"/>
            </w:pPr>
            <w:r>
              <w:rPr>
                <w:rFonts w:ascii="Arial" w:hAnsi="Arial"/>
                <w:color w:val="1A1A1A"/>
                <w:sz w:val="17"/>
              </w:rPr>
              <w:t>Primary action</w:t>
            </w:r>
          </w:p>
        </w:tc>
        <w:tc>
          <w:tcPr>
            <w:tcW w:type="dxa" w:w="7160"/>
            <w:shd w:fill="F3F6FA"/>
            <w:vAlign w:val="top"/>
            <w:tcMar>
              <w:top w:w="75" w:type="dxa"/>
              <w:start w:w="100" w:type="dxa"/>
              <w:bottom w:w="75" w:type="dxa"/>
              <w:end w:w="100" w:type="dxa"/>
            </w:tcMar>
          </w:tcPr>
          <w:p>
            <w:pPr>
              <w:spacing w:after="0" w:line="240" w:lineRule="auto"/>
            </w:pPr>
            <w:r>
              <w:rPr>
                <w:rFonts w:ascii="Arial" w:hAnsi="Arial"/>
                <w:color w:val="1A1A1A"/>
                <w:sz w:val="17"/>
              </w:rPr>
              <w:t>Start Your Assessment</w:t>
            </w:r>
          </w:p>
        </w:tc>
      </w:tr>
      <w:tr>
        <w:trPr>
          <w:cantSplit/>
        </w:trPr>
        <w:tc>
          <w:tcPr>
            <w:tcW w:type="dxa" w:w="2200"/>
            <w:vAlign w:val="top"/>
            <w:tcMar>
              <w:top w:w="75" w:type="dxa"/>
              <w:start w:w="100" w:type="dxa"/>
              <w:bottom w:w="75" w:type="dxa"/>
              <w:end w:w="100" w:type="dxa"/>
            </w:tcMar>
          </w:tcPr>
          <w:p>
            <w:pPr>
              <w:spacing w:after="0" w:line="240" w:lineRule="auto"/>
            </w:pPr>
            <w:r>
              <w:rPr>
                <w:rFonts w:ascii="Arial" w:hAnsi="Arial"/>
                <w:color w:val="1A1A1A"/>
                <w:sz w:val="17"/>
              </w:rPr>
              <w:t>Footer product</w:t>
            </w:r>
          </w:p>
        </w:tc>
        <w:tc>
          <w:tcPr>
            <w:tcW w:type="dxa" w:w="7160"/>
            <w:vAlign w:val="top"/>
            <w:tcMar>
              <w:top w:w="75" w:type="dxa"/>
              <w:start w:w="100" w:type="dxa"/>
              <w:bottom w:w="75" w:type="dxa"/>
              <w:end w:w="100" w:type="dxa"/>
            </w:tcMar>
          </w:tcPr>
          <w:p>
            <w:pPr>
              <w:spacing w:after="0" w:line="240" w:lineRule="auto"/>
            </w:pPr>
            <w:r>
              <w:rPr>
                <w:rFonts w:ascii="Arial" w:hAnsi="Arial"/>
                <w:color w:val="1A1A1A"/>
                <w:sz w:val="17"/>
              </w:rPr>
              <w:t>Assessment • Example Report • How It Works • Platform</w:t>
            </w:r>
          </w:p>
        </w:tc>
      </w:tr>
      <w:tr>
        <w:trPr>
          <w:cantSplit/>
        </w:trPr>
        <w:tc>
          <w:tcPr>
            <w:tcW w:type="dxa" w:w="2200"/>
            <w:shd w:fill="F3F6FA"/>
            <w:vAlign w:val="top"/>
            <w:tcMar>
              <w:top w:w="75" w:type="dxa"/>
              <w:start w:w="100" w:type="dxa"/>
              <w:bottom w:w="75" w:type="dxa"/>
              <w:end w:w="100" w:type="dxa"/>
            </w:tcMar>
          </w:tcPr>
          <w:p>
            <w:pPr>
              <w:spacing w:after="0" w:line="240" w:lineRule="auto"/>
            </w:pPr>
            <w:r>
              <w:rPr>
                <w:rFonts w:ascii="Arial" w:hAnsi="Arial"/>
                <w:color w:val="1A1A1A"/>
                <w:sz w:val="17"/>
              </w:rPr>
              <w:t>Footer company</w:t>
            </w:r>
          </w:p>
        </w:tc>
        <w:tc>
          <w:tcPr>
            <w:tcW w:type="dxa" w:w="7160"/>
            <w:shd w:fill="F3F6FA"/>
            <w:vAlign w:val="top"/>
            <w:tcMar>
              <w:top w:w="75" w:type="dxa"/>
              <w:start w:w="100" w:type="dxa"/>
              <w:bottom w:w="75" w:type="dxa"/>
              <w:end w:w="100" w:type="dxa"/>
            </w:tcMar>
          </w:tcPr>
          <w:p>
            <w:pPr>
              <w:spacing w:after="0" w:line="240" w:lineRule="auto"/>
            </w:pPr>
            <w:r>
              <w:rPr>
                <w:rFonts w:ascii="Arial" w:hAnsi="Arial"/>
                <w:color w:val="1A1A1A"/>
                <w:sz w:val="17"/>
              </w:rPr>
              <w:t>About • Research • Healthcare Professionals • Pilot Program • Contact • Blog</w:t>
            </w:r>
          </w:p>
        </w:tc>
      </w:tr>
      <w:tr>
        <w:trPr>
          <w:cantSplit/>
        </w:trPr>
        <w:tc>
          <w:tcPr>
            <w:tcW w:type="dxa" w:w="2200"/>
            <w:vAlign w:val="top"/>
            <w:tcMar>
              <w:top w:w="75" w:type="dxa"/>
              <w:start w:w="100" w:type="dxa"/>
              <w:bottom w:w="75" w:type="dxa"/>
              <w:end w:w="100" w:type="dxa"/>
            </w:tcMar>
          </w:tcPr>
          <w:p>
            <w:pPr>
              <w:spacing w:after="0" w:line="240" w:lineRule="auto"/>
            </w:pPr>
            <w:r>
              <w:rPr>
                <w:rFonts w:ascii="Arial" w:hAnsi="Arial"/>
                <w:color w:val="1A1A1A"/>
                <w:sz w:val="17"/>
              </w:rPr>
              <w:t>Footer legal</w:t>
            </w:r>
          </w:p>
        </w:tc>
        <w:tc>
          <w:tcPr>
            <w:tcW w:type="dxa" w:w="7160"/>
            <w:vAlign w:val="top"/>
            <w:tcMar>
              <w:top w:w="75" w:type="dxa"/>
              <w:start w:w="100" w:type="dxa"/>
              <w:bottom w:w="75" w:type="dxa"/>
              <w:end w:w="100" w:type="dxa"/>
            </w:tcMar>
          </w:tcPr>
          <w:p>
            <w:pPr>
              <w:spacing w:after="0" w:line="240" w:lineRule="auto"/>
            </w:pPr>
            <w:r>
              <w:rPr>
                <w:rFonts w:ascii="Arial" w:hAnsi="Arial"/>
                <w:color w:val="1A1A1A"/>
                <w:sz w:val="17"/>
              </w:rPr>
              <w:t>Privacy • Terms • Cookies • Medical Disclaimer • AI Disclaimer</w:t>
            </w:r>
          </w:p>
        </w:tc>
      </w:tr>
      <w:tr>
        <w:trPr>
          <w:cantSplit/>
        </w:trPr>
        <w:tc>
          <w:tcPr>
            <w:tcW w:type="dxa" w:w="2200"/>
            <w:shd w:fill="F3F6FA"/>
            <w:vAlign w:val="top"/>
            <w:tcMar>
              <w:top w:w="75" w:type="dxa"/>
              <w:start w:w="100" w:type="dxa"/>
              <w:bottom w:w="75" w:type="dxa"/>
              <w:end w:w="100" w:type="dxa"/>
            </w:tcMar>
          </w:tcPr>
          <w:p>
            <w:pPr>
              <w:spacing w:after="0" w:line="240" w:lineRule="auto"/>
            </w:pPr>
            <w:r>
              <w:rPr>
                <w:rFonts w:ascii="Arial" w:hAnsi="Arial"/>
                <w:color w:val="1A1A1A"/>
                <w:sz w:val="17"/>
              </w:rPr>
              <w:t>Footer line</w:t>
            </w:r>
          </w:p>
        </w:tc>
        <w:tc>
          <w:tcPr>
            <w:tcW w:type="dxa" w:w="7160"/>
            <w:shd w:fill="F3F6FA"/>
            <w:vAlign w:val="top"/>
            <w:tcMar>
              <w:top w:w="75" w:type="dxa"/>
              <w:start w:w="100" w:type="dxa"/>
              <w:bottom w:w="75" w:type="dxa"/>
              <w:end w:w="100" w:type="dxa"/>
            </w:tcMar>
          </w:tcPr>
          <w:p>
            <w:pPr>
              <w:spacing w:after="0" w:line="240" w:lineRule="auto"/>
            </w:pPr>
            <w:r>
              <w:rPr>
                <w:rFonts w:ascii="Arial" w:hAnsi="Arial"/>
                <w:color w:val="1A1A1A"/>
                <w:sz w:val="17"/>
              </w:rPr>
              <w:t>© 2026 ROOTS AI HEALTH SYSTEMS, Inc. All rights reserved.</w:t>
            </w:r>
          </w:p>
        </w:tc>
      </w:tr>
      <w:tr>
        <w:trPr>
          <w:cantSplit/>
        </w:trPr>
        <w:tc>
          <w:tcPr>
            <w:tcW w:type="dxa" w:w="2200"/>
            <w:vAlign w:val="top"/>
            <w:tcMar>
              <w:top w:w="75" w:type="dxa"/>
              <w:start w:w="100" w:type="dxa"/>
              <w:bottom w:w="75" w:type="dxa"/>
              <w:end w:w="100" w:type="dxa"/>
            </w:tcMar>
          </w:tcPr>
          <w:p>
            <w:pPr>
              <w:spacing w:after="0" w:line="240" w:lineRule="auto"/>
            </w:pPr>
            <w:r>
              <w:rPr>
                <w:rFonts w:ascii="Arial" w:hAnsi="Arial"/>
                <w:color w:val="1A1A1A"/>
                <w:sz w:val="17"/>
              </w:rPr>
              <w:t>Footer boundary</w:t>
            </w:r>
          </w:p>
        </w:tc>
        <w:tc>
          <w:tcPr>
            <w:tcW w:type="dxa" w:w="7160"/>
            <w:vAlign w:val="top"/>
            <w:tcMar>
              <w:top w:w="75" w:type="dxa"/>
              <w:start w:w="100" w:type="dxa"/>
              <w:bottom w:w="75" w:type="dxa"/>
              <w:end w:w="100" w:type="dxa"/>
            </w:tcMar>
          </w:tcPr>
          <w:p>
            <w:pPr>
              <w:spacing w:after="0" w:line="240" w:lineRule="auto"/>
            </w:pPr>
            <w:r>
              <w:rPr>
                <w:rFonts w:ascii="Arial" w:hAnsi="Arial"/>
                <w:color w:val="1A1A1A"/>
                <w:sz w:val="17"/>
              </w:rPr>
              <w:t>ROOTS-AI™ provides educational wellness information and does not diagnose or treat medical conditions.</w:t>
            </w:r>
          </w:p>
        </w:tc>
      </w:tr>
    </w:tbl>
    <w:p>
      <w:pPr>
        <w:spacing w:after="0"/>
      </w:pPr>
    </w:p>
    <w:p>
      <w:pPr>
        <w:pStyle w:val="Heading1"/>
      </w:pPr>
      <w:r>
        <w:t>3. Production Page Copy</w:t>
      </w:r>
    </w:p>
    <w:p>
      <w:pPr>
        <w:pStyle w:val="Heading2"/>
      </w:pPr>
      <w:r>
        <w:t>/ — Home</w:t>
      </w:r>
    </w:p>
    <w:tbl>
      <w:tblPr>
        <w:tblStyle w:val="TableGrid"/>
        <w:tblW w:type="dxa" w:w="9360"/>
        <w:jc w:val="center"/>
        <w:tblLayout w:type="fixed"/>
        <w:tblLook w:firstColumn="1" w:firstRow="1" w:lastColumn="0" w:lastRow="0" w:noHBand="0" w:noVBand="1" w:val="04A0"/>
      </w:tblPr>
      <w:tblGrid>
        <w:gridCol w:w="1800"/>
        <w:gridCol w:w="7560"/>
      </w:tblGrid>
      <w:tr>
        <w:trPr>
          <w:tblHeader w:val="true"/>
          <w:cantSplit/>
        </w:trPr>
        <w:tc>
          <w:tcPr>
            <w:tcW w:type="dxa" w:w="1800"/>
            <w:shd w:fill="1A2A4A"/>
            <w:vAlign w:val="top"/>
            <w:tcMar>
              <w:top w:w="75" w:type="dxa"/>
              <w:start w:w="100" w:type="dxa"/>
              <w:bottom w:w="75" w:type="dxa"/>
              <w:end w:w="100" w:type="dxa"/>
            </w:tcMar>
          </w:tcPr>
          <w:p>
            <w:pPr>
              <w:spacing w:after="0"/>
            </w:pPr>
            <w:r>
              <w:rPr>
                <w:rFonts w:ascii="Arial" w:hAnsi="Arial"/>
                <w:b/>
                <w:color w:val="FFFFFF"/>
                <w:sz w:val="16"/>
              </w:rPr>
              <w:t>Element</w:t>
            </w:r>
          </w:p>
        </w:tc>
        <w:tc>
          <w:tcPr>
            <w:tcW w:type="dxa" w:w="7560"/>
            <w:shd w:fill="1A2A4A"/>
            <w:vAlign w:val="top"/>
            <w:tcMar>
              <w:top w:w="75" w:type="dxa"/>
              <w:start w:w="100" w:type="dxa"/>
              <w:bottom w:w="75" w:type="dxa"/>
              <w:end w:w="100" w:type="dxa"/>
            </w:tcMar>
          </w:tcPr>
          <w:p>
            <w:pPr>
              <w:spacing w:after="0"/>
            </w:pPr>
            <w:r>
              <w:rPr>
                <w:rFonts w:ascii="Arial" w:hAnsi="Arial"/>
                <w:b/>
                <w:color w:val="FFFFFF"/>
                <w:sz w:val="16"/>
              </w:rPr>
              <w:t>Approved copy</w:t>
            </w:r>
          </w:p>
        </w:tc>
      </w:tr>
      <w:tr>
        <w:trPr>
          <w:cantSplit/>
        </w:trPr>
        <w:tc>
          <w:tcPr>
            <w:tcW w:type="dxa" w:w="1800"/>
            <w:vAlign w:val="top"/>
            <w:tcMar>
              <w:top w:w="75" w:type="dxa"/>
              <w:start w:w="100" w:type="dxa"/>
              <w:bottom w:w="75" w:type="dxa"/>
              <w:end w:w="100" w:type="dxa"/>
            </w:tcMar>
          </w:tcPr>
          <w:p>
            <w:pPr>
              <w:spacing w:after="0" w:line="240" w:lineRule="auto"/>
            </w:pPr>
            <w:r>
              <w:rPr>
                <w:rFonts w:ascii="Arial" w:hAnsi="Arial"/>
                <w:color w:val="1A1A1A"/>
                <w:sz w:val="16"/>
              </w:rPr>
              <w:t>Headline</w:t>
            </w:r>
          </w:p>
        </w:tc>
        <w:tc>
          <w:tcPr>
            <w:tcW w:type="dxa" w:w="7560"/>
            <w:vAlign w:val="top"/>
            <w:tcMar>
              <w:top w:w="75" w:type="dxa"/>
              <w:start w:w="100" w:type="dxa"/>
              <w:bottom w:w="75" w:type="dxa"/>
              <w:end w:w="100" w:type="dxa"/>
            </w:tcMar>
          </w:tcPr>
          <w:p>
            <w:pPr>
              <w:spacing w:after="0" w:line="240" w:lineRule="auto"/>
            </w:pPr>
            <w:r>
              <w:rPr>
                <w:rFonts w:ascii="Arial" w:hAnsi="Arial"/>
                <w:color w:val="1A1A1A"/>
                <w:sz w:val="16"/>
              </w:rPr>
              <w:t>Decode the Biology Before You Fight the Weight</w:t>
            </w:r>
          </w:p>
        </w:tc>
      </w:tr>
      <w:tr>
        <w:trPr>
          <w:cantSplit/>
        </w:trPr>
        <w:tc>
          <w:tcPr>
            <w:tcW w:type="dxa" w:w="1800"/>
            <w:shd w:fill="F3F6FA"/>
            <w:vAlign w:val="top"/>
            <w:tcMar>
              <w:top w:w="75" w:type="dxa"/>
              <w:start w:w="100" w:type="dxa"/>
              <w:bottom w:w="75" w:type="dxa"/>
              <w:end w:w="100" w:type="dxa"/>
            </w:tcMar>
          </w:tcPr>
          <w:p>
            <w:pPr>
              <w:spacing w:after="0" w:line="240" w:lineRule="auto"/>
            </w:pPr>
            <w:r>
              <w:rPr>
                <w:rFonts w:ascii="Arial" w:hAnsi="Arial"/>
                <w:color w:val="1A1A1A"/>
                <w:sz w:val="16"/>
              </w:rPr>
              <w:t>Intro</w:t>
            </w:r>
          </w:p>
        </w:tc>
        <w:tc>
          <w:tcPr>
            <w:tcW w:type="dxa" w:w="7560"/>
            <w:shd w:fill="F3F6FA"/>
            <w:vAlign w:val="top"/>
            <w:tcMar>
              <w:top w:w="75" w:type="dxa"/>
              <w:start w:w="100" w:type="dxa"/>
              <w:bottom w:w="75" w:type="dxa"/>
              <w:end w:w="100" w:type="dxa"/>
            </w:tcMar>
          </w:tcPr>
          <w:p>
            <w:pPr>
              <w:spacing w:after="0" w:line="240" w:lineRule="auto"/>
            </w:pPr>
            <w:r>
              <w:rPr>
                <w:rFonts w:ascii="Arial" w:hAnsi="Arial"/>
                <w:color w:val="1A1A1A"/>
                <w:sz w:val="16"/>
              </w:rPr>
              <w:t>ROOTS-AI™ turns a structured assessment into a governed biological intelligence report—helping you understand patterns in metabolism, hunger, sleep, circadian timing, stress, inflammation-related signals and perceived biological resistance.</w:t>
            </w:r>
          </w:p>
        </w:tc>
      </w:tr>
      <w:tr>
        <w:trPr>
          <w:cantSplit/>
        </w:trPr>
        <w:tc>
          <w:tcPr>
            <w:tcW w:type="dxa" w:w="1800"/>
            <w:vAlign w:val="top"/>
            <w:tcMar>
              <w:top w:w="75" w:type="dxa"/>
              <w:start w:w="100" w:type="dxa"/>
              <w:bottom w:w="75" w:type="dxa"/>
              <w:end w:w="100" w:type="dxa"/>
            </w:tcMar>
          </w:tcPr>
          <w:p>
            <w:pPr>
              <w:spacing w:after="0" w:line="240" w:lineRule="auto"/>
            </w:pPr>
            <w:r>
              <w:rPr>
                <w:rFonts w:ascii="Arial" w:hAnsi="Arial"/>
                <w:color w:val="1A1A1A"/>
                <w:sz w:val="16"/>
              </w:rPr>
              <w:t>CTA</w:t>
            </w:r>
          </w:p>
        </w:tc>
        <w:tc>
          <w:tcPr>
            <w:tcW w:type="dxa" w:w="7560"/>
            <w:vAlign w:val="top"/>
            <w:tcMar>
              <w:top w:w="75" w:type="dxa"/>
              <w:start w:w="100" w:type="dxa"/>
              <w:bottom w:w="75" w:type="dxa"/>
              <w:end w:w="100" w:type="dxa"/>
            </w:tcMar>
          </w:tcPr>
          <w:p>
            <w:pPr>
              <w:spacing w:after="0" w:line="240" w:lineRule="auto"/>
            </w:pPr>
            <w:r>
              <w:rPr>
                <w:rFonts w:ascii="Arial" w:hAnsi="Arial"/>
                <w:color w:val="1A1A1A"/>
                <w:sz w:val="16"/>
              </w:rPr>
              <w:t>Start Your Assessment • View Example Report</w:t>
            </w:r>
          </w:p>
        </w:tc>
      </w:tr>
    </w:tbl>
    <w:p>
      <w:pPr>
        <w:spacing w:after="0"/>
      </w:pPr>
    </w:p>
    <w:p>
      <w:pPr>
        <w:pStyle w:val="ListBullet"/>
        <w:spacing w:after="40"/>
      </w:pPr>
      <w:r>
        <w:t>Beyond a number on the scale — see the pattern behind the struggle.</w:t>
      </w:r>
    </w:p>
    <w:p>
      <w:pPr>
        <w:pStyle w:val="ListBullet"/>
        <w:spacing w:after="40"/>
      </w:pPr>
      <w:r>
        <w:t>Seven biological domains — one connected view.</w:t>
      </w:r>
    </w:p>
    <w:p>
      <w:pPr>
        <w:pStyle w:val="ListBullet"/>
        <w:spacing w:after="40"/>
      </w:pPr>
      <w:r>
        <w:t>Deterministic scores — AI assists with explanation, not calculation.</w:t>
      </w:r>
    </w:p>
    <w:p>
      <w:pPr>
        <w:pStyle w:val="ListBullet"/>
        <w:spacing w:after="40"/>
      </w:pPr>
      <w:r>
        <w:t>Your report — 19 transparent sections with your answers and limitations.</w:t>
      </w:r>
    </w:p>
    <w:p>
      <w:pPr>
        <w:pStyle w:val="ListBullet"/>
        <w:spacing w:after="40"/>
      </w:pPr>
      <w:r>
        <w:t>Private by design — controlled access, versioning and audit.</w:t>
      </w:r>
    </w:p>
    <w:p>
      <w:pPr>
        <w:pStyle w:val="ListBullet"/>
        <w:spacing w:after="40"/>
      </w:pPr>
      <w:r>
        <w:t>Educational, not diagnostic — designed to support informed conversations and realistic next steps.</w:t>
      </w:r>
    </w:p>
    <w:p>
      <w:pPr>
        <w:pStyle w:val="Heading2"/>
      </w:pPr>
      <w:r>
        <w:t>/assessment — Assessment</w:t>
      </w:r>
    </w:p>
    <w:tbl>
      <w:tblPr>
        <w:tblStyle w:val="TableGrid"/>
        <w:tblW w:type="dxa" w:w="9360"/>
        <w:jc w:val="center"/>
        <w:tblLayout w:type="fixed"/>
        <w:tblLook w:firstColumn="1" w:firstRow="1" w:lastColumn="0" w:lastRow="0" w:noHBand="0" w:noVBand="1" w:val="04A0"/>
      </w:tblPr>
      <w:tblGrid>
        <w:gridCol w:w="1800"/>
        <w:gridCol w:w="7560"/>
      </w:tblGrid>
      <w:tr>
        <w:trPr>
          <w:tblHeader w:val="true"/>
          <w:cantSplit/>
        </w:trPr>
        <w:tc>
          <w:tcPr>
            <w:tcW w:type="dxa" w:w="1800"/>
            <w:shd w:fill="1A2A4A"/>
            <w:vAlign w:val="top"/>
            <w:tcMar>
              <w:top w:w="75" w:type="dxa"/>
              <w:start w:w="100" w:type="dxa"/>
              <w:bottom w:w="75" w:type="dxa"/>
              <w:end w:w="100" w:type="dxa"/>
            </w:tcMar>
          </w:tcPr>
          <w:p>
            <w:pPr>
              <w:spacing w:after="0"/>
            </w:pPr>
            <w:r>
              <w:rPr>
                <w:rFonts w:ascii="Arial" w:hAnsi="Arial"/>
                <w:b/>
                <w:color w:val="FFFFFF"/>
                <w:sz w:val="16"/>
              </w:rPr>
              <w:t>Element</w:t>
            </w:r>
          </w:p>
        </w:tc>
        <w:tc>
          <w:tcPr>
            <w:tcW w:type="dxa" w:w="7560"/>
            <w:shd w:fill="1A2A4A"/>
            <w:vAlign w:val="top"/>
            <w:tcMar>
              <w:top w:w="75" w:type="dxa"/>
              <w:start w:w="100" w:type="dxa"/>
              <w:bottom w:w="75" w:type="dxa"/>
              <w:end w:w="100" w:type="dxa"/>
            </w:tcMar>
          </w:tcPr>
          <w:p>
            <w:pPr>
              <w:spacing w:after="0"/>
            </w:pPr>
            <w:r>
              <w:rPr>
                <w:rFonts w:ascii="Arial" w:hAnsi="Arial"/>
                <w:b/>
                <w:color w:val="FFFFFF"/>
                <w:sz w:val="16"/>
              </w:rPr>
              <w:t>Approved copy</w:t>
            </w:r>
          </w:p>
        </w:tc>
      </w:tr>
      <w:tr>
        <w:trPr>
          <w:cantSplit/>
        </w:trPr>
        <w:tc>
          <w:tcPr>
            <w:tcW w:type="dxa" w:w="1800"/>
            <w:vAlign w:val="top"/>
            <w:tcMar>
              <w:top w:w="75" w:type="dxa"/>
              <w:start w:w="100" w:type="dxa"/>
              <w:bottom w:w="75" w:type="dxa"/>
              <w:end w:w="100" w:type="dxa"/>
            </w:tcMar>
          </w:tcPr>
          <w:p>
            <w:pPr>
              <w:spacing w:after="0" w:line="240" w:lineRule="auto"/>
            </w:pPr>
            <w:r>
              <w:rPr>
                <w:rFonts w:ascii="Arial" w:hAnsi="Arial"/>
                <w:color w:val="1A1A1A"/>
                <w:sz w:val="16"/>
              </w:rPr>
              <w:t>Headline</w:t>
            </w:r>
          </w:p>
        </w:tc>
        <w:tc>
          <w:tcPr>
            <w:tcW w:type="dxa" w:w="7560"/>
            <w:vAlign w:val="top"/>
            <w:tcMar>
              <w:top w:w="75" w:type="dxa"/>
              <w:start w:w="100" w:type="dxa"/>
              <w:bottom w:w="75" w:type="dxa"/>
              <w:end w:w="100" w:type="dxa"/>
            </w:tcMar>
          </w:tcPr>
          <w:p>
            <w:pPr>
              <w:spacing w:after="0" w:line="240" w:lineRule="auto"/>
            </w:pPr>
            <w:r>
              <w:rPr>
                <w:rFonts w:ascii="Arial" w:hAnsi="Arial"/>
                <w:color w:val="1A1A1A"/>
                <w:sz w:val="16"/>
              </w:rPr>
              <w:t>Your ROOTS Biological Assessment</w:t>
            </w:r>
          </w:p>
        </w:tc>
      </w:tr>
      <w:tr>
        <w:trPr>
          <w:cantSplit/>
        </w:trPr>
        <w:tc>
          <w:tcPr>
            <w:tcW w:type="dxa" w:w="1800"/>
            <w:shd w:fill="F3F6FA"/>
            <w:vAlign w:val="top"/>
            <w:tcMar>
              <w:top w:w="75" w:type="dxa"/>
              <w:start w:w="100" w:type="dxa"/>
              <w:bottom w:w="75" w:type="dxa"/>
              <w:end w:w="100" w:type="dxa"/>
            </w:tcMar>
          </w:tcPr>
          <w:p>
            <w:pPr>
              <w:spacing w:after="0" w:line="240" w:lineRule="auto"/>
            </w:pPr>
            <w:r>
              <w:rPr>
                <w:rFonts w:ascii="Arial" w:hAnsi="Arial"/>
                <w:color w:val="1A1A1A"/>
                <w:sz w:val="16"/>
              </w:rPr>
              <w:t>Intro</w:t>
            </w:r>
          </w:p>
        </w:tc>
        <w:tc>
          <w:tcPr>
            <w:tcW w:type="dxa" w:w="7560"/>
            <w:shd w:fill="F3F6FA"/>
            <w:vAlign w:val="top"/>
            <w:tcMar>
              <w:top w:w="75" w:type="dxa"/>
              <w:start w:w="100" w:type="dxa"/>
              <w:bottom w:w="75" w:type="dxa"/>
              <w:end w:w="100" w:type="dxa"/>
            </w:tcMar>
          </w:tcPr>
          <w:p>
            <w:pPr>
              <w:spacing w:after="0" w:line="240" w:lineRule="auto"/>
            </w:pPr>
            <w:r>
              <w:rPr>
                <w:rFonts w:ascii="Arial" w:hAnsi="Arial"/>
                <w:color w:val="1A1A1A"/>
                <w:sz w:val="16"/>
              </w:rPr>
              <w:t>Answer 73 questions across 13 short modules. Most people finish in about 10–12 minutes. You can save, pause and resume securely.</w:t>
            </w:r>
          </w:p>
        </w:tc>
      </w:tr>
      <w:tr>
        <w:trPr>
          <w:cantSplit/>
        </w:trPr>
        <w:tc>
          <w:tcPr>
            <w:tcW w:type="dxa" w:w="1800"/>
            <w:vAlign w:val="top"/>
            <w:tcMar>
              <w:top w:w="75" w:type="dxa"/>
              <w:start w:w="100" w:type="dxa"/>
              <w:bottom w:w="75" w:type="dxa"/>
              <w:end w:w="100" w:type="dxa"/>
            </w:tcMar>
          </w:tcPr>
          <w:p>
            <w:pPr>
              <w:spacing w:after="0" w:line="240" w:lineRule="auto"/>
            </w:pPr>
            <w:r>
              <w:rPr>
                <w:rFonts w:ascii="Arial" w:hAnsi="Arial"/>
                <w:color w:val="1A1A1A"/>
                <w:sz w:val="16"/>
              </w:rPr>
              <w:t>CTA</w:t>
            </w:r>
          </w:p>
        </w:tc>
        <w:tc>
          <w:tcPr>
            <w:tcW w:type="dxa" w:w="7560"/>
            <w:vAlign w:val="top"/>
            <w:tcMar>
              <w:top w:w="75" w:type="dxa"/>
              <w:start w:w="100" w:type="dxa"/>
              <w:bottom w:w="75" w:type="dxa"/>
              <w:end w:w="100" w:type="dxa"/>
            </w:tcMar>
          </w:tcPr>
          <w:p>
            <w:pPr>
              <w:spacing w:after="0" w:line="240" w:lineRule="auto"/>
            </w:pPr>
            <w:r>
              <w:rPr>
                <w:rFonts w:ascii="Arial" w:hAnsi="Arial"/>
                <w:color w:val="1A1A1A"/>
                <w:sz w:val="16"/>
              </w:rPr>
              <w:t>Begin Assessment</w:t>
            </w:r>
          </w:p>
        </w:tc>
      </w:tr>
    </w:tbl>
    <w:p>
      <w:pPr>
        <w:spacing w:after="0"/>
      </w:pPr>
    </w:p>
    <w:p>
      <w:pPr>
        <w:pStyle w:val="ListBullet"/>
        <w:spacing w:after="40"/>
      </w:pPr>
      <w:r>
        <w:t>Use your usual experience during the last four weeks unless a question says otherwise.</w:t>
      </w:r>
    </w:p>
    <w:p>
      <w:pPr>
        <w:pStyle w:val="ListBullet"/>
        <w:spacing w:after="40"/>
      </w:pPr>
      <w:r>
        <w:t>There are no “good” answers. Choose what best reflects your experience.</w:t>
      </w:r>
    </w:p>
    <w:p>
      <w:pPr>
        <w:pStyle w:val="ListBullet"/>
        <w:spacing w:after="40"/>
      </w:pPr>
      <w:r>
        <w:t>N/A is available only where approved and is never treated as zero. Required multi-select questions must contain one or more approved option IDs; an empty array is invalid. None/N/A options are exclusive where provided and must not be combined with other options.</w:t>
      </w:r>
    </w:p>
    <w:p>
      <w:pPr>
        <w:pStyle w:val="ListBullet"/>
        <w:spacing w:after="40"/>
      </w:pPr>
      <w:r>
        <w:t>Your answers generate educational wellness indicators, not a diagnosis.</w:t>
      </w:r>
    </w:p>
    <w:p>
      <w:pPr>
        <w:pStyle w:val="ListBullet"/>
        <w:spacing w:after="40"/>
      </w:pPr>
      <w:r>
        <w:t>If you may be in immediate danger, contact local emergency services; this form is not monitored for emergencies.</w:t>
      </w:r>
    </w:p>
    <w:p>
      <w:pPr>
        <w:pStyle w:val="Heading2"/>
      </w:pPr>
      <w:r>
        <w:t>/report/[id] — Authorized Report</w:t>
      </w:r>
    </w:p>
    <w:tbl>
      <w:tblPr>
        <w:tblStyle w:val="TableGrid"/>
        <w:tblW w:type="dxa" w:w="9360"/>
        <w:jc w:val="center"/>
        <w:tblLayout w:type="fixed"/>
        <w:tblLook w:firstColumn="1" w:firstRow="1" w:lastColumn="0" w:lastRow="0" w:noHBand="0" w:noVBand="1" w:val="04A0"/>
      </w:tblPr>
      <w:tblGrid>
        <w:gridCol w:w="1800"/>
        <w:gridCol w:w="7560"/>
      </w:tblGrid>
      <w:tr>
        <w:trPr>
          <w:tblHeader w:val="true"/>
          <w:cantSplit/>
        </w:trPr>
        <w:tc>
          <w:tcPr>
            <w:tcW w:type="dxa" w:w="1800"/>
            <w:shd w:fill="1A2A4A"/>
            <w:vAlign w:val="top"/>
            <w:tcMar>
              <w:top w:w="75" w:type="dxa"/>
              <w:start w:w="100" w:type="dxa"/>
              <w:bottom w:w="75" w:type="dxa"/>
              <w:end w:w="100" w:type="dxa"/>
            </w:tcMar>
          </w:tcPr>
          <w:p>
            <w:pPr>
              <w:spacing w:after="0"/>
            </w:pPr>
            <w:r>
              <w:rPr>
                <w:rFonts w:ascii="Arial" w:hAnsi="Arial"/>
                <w:b/>
                <w:color w:val="FFFFFF"/>
                <w:sz w:val="16"/>
              </w:rPr>
              <w:t>Element</w:t>
            </w:r>
          </w:p>
        </w:tc>
        <w:tc>
          <w:tcPr>
            <w:tcW w:type="dxa" w:w="7560"/>
            <w:shd w:fill="1A2A4A"/>
            <w:vAlign w:val="top"/>
            <w:tcMar>
              <w:top w:w="75" w:type="dxa"/>
              <w:start w:w="100" w:type="dxa"/>
              <w:bottom w:w="75" w:type="dxa"/>
              <w:end w:w="100" w:type="dxa"/>
            </w:tcMar>
          </w:tcPr>
          <w:p>
            <w:pPr>
              <w:spacing w:after="0"/>
            </w:pPr>
            <w:r>
              <w:rPr>
                <w:rFonts w:ascii="Arial" w:hAnsi="Arial"/>
                <w:b/>
                <w:color w:val="FFFFFF"/>
                <w:sz w:val="16"/>
              </w:rPr>
              <w:t>Approved copy</w:t>
            </w:r>
          </w:p>
        </w:tc>
      </w:tr>
      <w:tr>
        <w:trPr>
          <w:cantSplit/>
        </w:trPr>
        <w:tc>
          <w:tcPr>
            <w:tcW w:type="dxa" w:w="1800"/>
            <w:vAlign w:val="top"/>
            <w:tcMar>
              <w:top w:w="75" w:type="dxa"/>
              <w:start w:w="100" w:type="dxa"/>
              <w:bottom w:w="75" w:type="dxa"/>
              <w:end w:w="100" w:type="dxa"/>
            </w:tcMar>
          </w:tcPr>
          <w:p>
            <w:pPr>
              <w:spacing w:after="0" w:line="240" w:lineRule="auto"/>
            </w:pPr>
            <w:r>
              <w:rPr>
                <w:rFonts w:ascii="Arial" w:hAnsi="Arial"/>
                <w:color w:val="1A1A1A"/>
                <w:sz w:val="16"/>
              </w:rPr>
              <w:t>Headline</w:t>
            </w:r>
          </w:p>
        </w:tc>
        <w:tc>
          <w:tcPr>
            <w:tcW w:type="dxa" w:w="7560"/>
            <w:vAlign w:val="top"/>
            <w:tcMar>
              <w:top w:w="75" w:type="dxa"/>
              <w:start w:w="100" w:type="dxa"/>
              <w:bottom w:w="75" w:type="dxa"/>
              <w:end w:w="100" w:type="dxa"/>
            </w:tcMar>
          </w:tcPr>
          <w:p>
            <w:pPr>
              <w:spacing w:after="0" w:line="240" w:lineRule="auto"/>
            </w:pPr>
            <w:r>
              <w:rPr>
                <w:rFonts w:ascii="Arial" w:hAnsi="Arial"/>
                <w:color w:val="1A1A1A"/>
                <w:sz w:val="16"/>
              </w:rPr>
              <w:t>Your ROOTS Biological Intelligence Report™</w:t>
            </w:r>
          </w:p>
        </w:tc>
      </w:tr>
      <w:tr>
        <w:trPr>
          <w:cantSplit/>
        </w:trPr>
        <w:tc>
          <w:tcPr>
            <w:tcW w:type="dxa" w:w="1800"/>
            <w:shd w:fill="F3F6FA"/>
            <w:vAlign w:val="top"/>
            <w:tcMar>
              <w:top w:w="75" w:type="dxa"/>
              <w:start w:w="100" w:type="dxa"/>
              <w:bottom w:w="75" w:type="dxa"/>
              <w:end w:w="100" w:type="dxa"/>
            </w:tcMar>
          </w:tcPr>
          <w:p>
            <w:pPr>
              <w:spacing w:after="0" w:line="240" w:lineRule="auto"/>
            </w:pPr>
            <w:r>
              <w:rPr>
                <w:rFonts w:ascii="Arial" w:hAnsi="Arial"/>
                <w:color w:val="1A1A1A"/>
                <w:sz w:val="16"/>
              </w:rPr>
              <w:t>Intro</w:t>
            </w:r>
          </w:p>
        </w:tc>
        <w:tc>
          <w:tcPr>
            <w:tcW w:type="dxa" w:w="7560"/>
            <w:shd w:fill="F3F6FA"/>
            <w:vAlign w:val="top"/>
            <w:tcMar>
              <w:top w:w="75" w:type="dxa"/>
              <w:start w:w="100" w:type="dxa"/>
              <w:bottom w:w="75" w:type="dxa"/>
              <w:end w:w="100" w:type="dxa"/>
            </w:tcMar>
          </w:tcPr>
          <w:p>
            <w:pPr>
              <w:spacing w:after="0" w:line="240" w:lineRule="auto"/>
            </w:pPr>
            <w:r>
              <w:rPr>
                <w:rFonts w:ascii="Arial" w:hAnsi="Arial"/>
                <w:color w:val="1A1A1A"/>
                <w:sz w:val="16"/>
              </w:rPr>
              <w:t>This report summarizes your submitted answers using deterministic scoring rules and governed explanatory language.</w:t>
            </w:r>
          </w:p>
        </w:tc>
      </w:tr>
      <w:tr>
        <w:trPr>
          <w:cantSplit/>
        </w:trPr>
        <w:tc>
          <w:tcPr>
            <w:tcW w:type="dxa" w:w="1800"/>
            <w:vAlign w:val="top"/>
            <w:tcMar>
              <w:top w:w="75" w:type="dxa"/>
              <w:start w:w="100" w:type="dxa"/>
              <w:bottom w:w="75" w:type="dxa"/>
              <w:end w:w="100" w:type="dxa"/>
            </w:tcMar>
          </w:tcPr>
          <w:p>
            <w:pPr>
              <w:spacing w:after="0" w:line="240" w:lineRule="auto"/>
            </w:pPr>
            <w:r>
              <w:rPr>
                <w:rFonts w:ascii="Arial" w:hAnsi="Arial"/>
                <w:color w:val="1A1A1A"/>
                <w:sz w:val="16"/>
              </w:rPr>
              <w:t>CTA</w:t>
            </w:r>
          </w:p>
        </w:tc>
        <w:tc>
          <w:tcPr>
            <w:tcW w:type="dxa" w:w="7560"/>
            <w:vAlign w:val="top"/>
            <w:tcMar>
              <w:top w:w="75" w:type="dxa"/>
              <w:start w:w="100" w:type="dxa"/>
              <w:bottom w:w="75" w:type="dxa"/>
              <w:end w:w="100" w:type="dxa"/>
            </w:tcMar>
          </w:tcPr>
          <w:p>
            <w:pPr>
              <w:spacing w:after="0" w:line="240" w:lineRule="auto"/>
            </w:pPr>
            <w:r>
              <w:rPr>
                <w:rFonts w:ascii="Arial" w:hAnsi="Arial"/>
                <w:color w:val="1A1A1A"/>
                <w:sz w:val="16"/>
              </w:rPr>
              <w:t>Download PDF</w:t>
            </w:r>
          </w:p>
        </w:tc>
      </w:tr>
    </w:tbl>
    <w:p>
      <w:pPr>
        <w:spacing w:after="0"/>
      </w:pPr>
    </w:p>
    <w:p>
      <w:pPr>
        <w:pStyle w:val="ListBullet"/>
        <w:spacing w:after="40"/>
      </w:pPr>
      <w:r>
        <w:t>Show generated date, report ID and version.</w:t>
      </w:r>
    </w:p>
    <w:p>
      <w:pPr>
        <w:pStyle w:val="ListBullet"/>
        <w:spacing w:after="40"/>
      </w:pPr>
      <w:r>
        <w:t>Display all 19 sections from the canonical report JSON.</w:t>
      </w:r>
    </w:p>
    <w:p>
      <w:pPr>
        <w:pStyle w:val="ListBullet"/>
        <w:spacing w:after="40"/>
      </w:pPr>
      <w:r>
        <w:t>Show “Not enough information” for null domains.</w:t>
      </w:r>
    </w:p>
    <w:p>
      <w:pPr>
        <w:pStyle w:val="ListBullet"/>
        <w:spacing w:after="40"/>
      </w:pPr>
      <w:r>
        <w:t>Display the full Medical and AI Disclaimer.</w:t>
      </w:r>
    </w:p>
    <w:p>
      <w:pPr>
        <w:pStyle w:val="Heading2"/>
      </w:pPr>
      <w:r>
        <w:t>/example-report — Example Report</w:t>
      </w:r>
    </w:p>
    <w:tbl>
      <w:tblPr>
        <w:tblStyle w:val="TableGrid"/>
        <w:tblW w:type="dxa" w:w="9360"/>
        <w:jc w:val="center"/>
        <w:tblLayout w:type="fixed"/>
        <w:tblLook w:firstColumn="1" w:firstRow="1" w:lastColumn="0" w:lastRow="0" w:noHBand="0" w:noVBand="1" w:val="04A0"/>
      </w:tblPr>
      <w:tblGrid>
        <w:gridCol w:w="1800"/>
        <w:gridCol w:w="7560"/>
      </w:tblGrid>
      <w:tr>
        <w:trPr>
          <w:tblHeader w:val="true"/>
          <w:cantSplit/>
        </w:trPr>
        <w:tc>
          <w:tcPr>
            <w:tcW w:type="dxa" w:w="1800"/>
            <w:shd w:fill="1A2A4A"/>
            <w:vAlign w:val="top"/>
            <w:tcMar>
              <w:top w:w="75" w:type="dxa"/>
              <w:start w:w="100" w:type="dxa"/>
              <w:bottom w:w="75" w:type="dxa"/>
              <w:end w:w="100" w:type="dxa"/>
            </w:tcMar>
          </w:tcPr>
          <w:p>
            <w:pPr>
              <w:spacing w:after="0"/>
            </w:pPr>
            <w:r>
              <w:rPr>
                <w:rFonts w:ascii="Arial" w:hAnsi="Arial"/>
                <w:b/>
                <w:color w:val="FFFFFF"/>
                <w:sz w:val="16"/>
              </w:rPr>
              <w:t>Element</w:t>
            </w:r>
          </w:p>
        </w:tc>
        <w:tc>
          <w:tcPr>
            <w:tcW w:type="dxa" w:w="7560"/>
            <w:shd w:fill="1A2A4A"/>
            <w:vAlign w:val="top"/>
            <w:tcMar>
              <w:top w:w="75" w:type="dxa"/>
              <w:start w:w="100" w:type="dxa"/>
              <w:bottom w:w="75" w:type="dxa"/>
              <w:end w:w="100" w:type="dxa"/>
            </w:tcMar>
          </w:tcPr>
          <w:p>
            <w:pPr>
              <w:spacing w:after="0"/>
            </w:pPr>
            <w:r>
              <w:rPr>
                <w:rFonts w:ascii="Arial" w:hAnsi="Arial"/>
                <w:b/>
                <w:color w:val="FFFFFF"/>
                <w:sz w:val="16"/>
              </w:rPr>
              <w:t>Approved copy</w:t>
            </w:r>
          </w:p>
        </w:tc>
      </w:tr>
      <w:tr>
        <w:trPr>
          <w:cantSplit/>
        </w:trPr>
        <w:tc>
          <w:tcPr>
            <w:tcW w:type="dxa" w:w="1800"/>
            <w:vAlign w:val="top"/>
            <w:tcMar>
              <w:top w:w="75" w:type="dxa"/>
              <w:start w:w="100" w:type="dxa"/>
              <w:bottom w:w="75" w:type="dxa"/>
              <w:end w:w="100" w:type="dxa"/>
            </w:tcMar>
          </w:tcPr>
          <w:p>
            <w:pPr>
              <w:spacing w:after="0" w:line="240" w:lineRule="auto"/>
            </w:pPr>
            <w:r>
              <w:rPr>
                <w:rFonts w:ascii="Arial" w:hAnsi="Arial"/>
                <w:color w:val="1A1A1A"/>
                <w:sz w:val="16"/>
              </w:rPr>
              <w:t>Headline</w:t>
            </w:r>
          </w:p>
        </w:tc>
        <w:tc>
          <w:tcPr>
            <w:tcW w:type="dxa" w:w="7560"/>
            <w:vAlign w:val="top"/>
            <w:tcMar>
              <w:top w:w="75" w:type="dxa"/>
              <w:start w:w="100" w:type="dxa"/>
              <w:bottom w:w="75" w:type="dxa"/>
              <w:end w:w="100" w:type="dxa"/>
            </w:tcMar>
          </w:tcPr>
          <w:p>
            <w:pPr>
              <w:spacing w:after="0" w:line="240" w:lineRule="auto"/>
            </w:pPr>
            <w:r>
              <w:rPr>
                <w:rFonts w:ascii="Arial" w:hAnsi="Arial"/>
                <w:color w:val="1A1A1A"/>
                <w:sz w:val="16"/>
              </w:rPr>
              <w:t>See What Your Biological Report Looks Like</w:t>
            </w:r>
          </w:p>
        </w:tc>
      </w:tr>
      <w:tr>
        <w:trPr>
          <w:cantSplit/>
        </w:trPr>
        <w:tc>
          <w:tcPr>
            <w:tcW w:type="dxa" w:w="1800"/>
            <w:shd w:fill="F3F6FA"/>
            <w:vAlign w:val="top"/>
            <w:tcMar>
              <w:top w:w="75" w:type="dxa"/>
              <w:start w:w="100" w:type="dxa"/>
              <w:bottom w:w="75" w:type="dxa"/>
              <w:end w:w="100" w:type="dxa"/>
            </w:tcMar>
          </w:tcPr>
          <w:p>
            <w:pPr>
              <w:spacing w:after="0" w:line="240" w:lineRule="auto"/>
            </w:pPr>
            <w:r>
              <w:rPr>
                <w:rFonts w:ascii="Arial" w:hAnsi="Arial"/>
                <w:color w:val="1A1A1A"/>
                <w:sz w:val="16"/>
              </w:rPr>
              <w:t>Intro</w:t>
            </w:r>
          </w:p>
        </w:tc>
        <w:tc>
          <w:tcPr>
            <w:tcW w:type="dxa" w:w="7560"/>
            <w:shd w:fill="F3F6FA"/>
            <w:vAlign w:val="top"/>
            <w:tcMar>
              <w:top w:w="75" w:type="dxa"/>
              <w:start w:w="100" w:type="dxa"/>
              <w:bottom w:w="75" w:type="dxa"/>
              <w:end w:w="100" w:type="dxa"/>
            </w:tcMar>
          </w:tcPr>
          <w:p>
            <w:pPr>
              <w:spacing w:after="0" w:line="240" w:lineRule="auto"/>
            </w:pPr>
            <w:r>
              <w:rPr>
                <w:rFonts w:ascii="Arial" w:hAnsi="Arial"/>
                <w:color w:val="1A1A1A"/>
                <w:sz w:val="16"/>
              </w:rPr>
              <w:t>Explore the full 19-section structure using fictional sample data. The example does not represent a real person or a clinical result.</w:t>
            </w:r>
          </w:p>
        </w:tc>
      </w:tr>
      <w:tr>
        <w:trPr>
          <w:cantSplit/>
        </w:trPr>
        <w:tc>
          <w:tcPr>
            <w:tcW w:type="dxa" w:w="1800"/>
            <w:vAlign w:val="top"/>
            <w:tcMar>
              <w:top w:w="75" w:type="dxa"/>
              <w:start w:w="100" w:type="dxa"/>
              <w:bottom w:w="75" w:type="dxa"/>
              <w:end w:w="100" w:type="dxa"/>
            </w:tcMar>
          </w:tcPr>
          <w:p>
            <w:pPr>
              <w:spacing w:after="0" w:line="240" w:lineRule="auto"/>
            </w:pPr>
            <w:r>
              <w:rPr>
                <w:rFonts w:ascii="Arial" w:hAnsi="Arial"/>
                <w:color w:val="1A1A1A"/>
                <w:sz w:val="16"/>
              </w:rPr>
              <w:t>CTA</w:t>
            </w:r>
          </w:p>
        </w:tc>
        <w:tc>
          <w:tcPr>
            <w:tcW w:type="dxa" w:w="7560"/>
            <w:vAlign w:val="top"/>
            <w:tcMar>
              <w:top w:w="75" w:type="dxa"/>
              <w:start w:w="100" w:type="dxa"/>
              <w:bottom w:w="75" w:type="dxa"/>
              <w:end w:w="100" w:type="dxa"/>
            </w:tcMar>
          </w:tcPr>
          <w:p>
            <w:pPr>
              <w:spacing w:after="0" w:line="240" w:lineRule="auto"/>
            </w:pPr>
            <w:r>
              <w:rPr>
                <w:rFonts w:ascii="Arial" w:hAnsi="Arial"/>
                <w:color w:val="1A1A1A"/>
                <w:sz w:val="16"/>
              </w:rPr>
              <w:t>View Example • Start Your Assessment</w:t>
            </w:r>
          </w:p>
        </w:tc>
      </w:tr>
    </w:tbl>
    <w:p>
      <w:pPr>
        <w:spacing w:after="0"/>
      </w:pPr>
    </w:p>
    <w:p>
      <w:pPr>
        <w:pStyle w:val="ListBullet"/>
        <w:spacing w:after="40"/>
      </w:pPr>
      <w:r>
        <w:t>Seven-domain breakdown.</w:t>
      </w:r>
    </w:p>
    <w:p>
      <w:pPr>
        <w:pStyle w:val="ListBullet"/>
        <w:spacing w:after="40"/>
      </w:pPr>
      <w:r>
        <w:t>Deterministic driver outputs and available protective factors. The interface must support zero to three driver outputs, including a co-primary pair as one output entry, without inventing missing drivers or protective factors.</w:t>
      </w:r>
    </w:p>
    <w:p>
      <w:pPr>
        <w:pStyle w:val="ListBullet"/>
        <w:spacing w:after="40"/>
      </w:pPr>
      <w:r>
        <w:t>90-day educational roadmap.</w:t>
      </w:r>
    </w:p>
    <w:p>
      <w:pPr>
        <w:pStyle w:val="ListBullet"/>
        <w:spacing w:after="40"/>
      </w:pPr>
      <w:r>
        <w:t>Transparent answers, limitations and disclaimer.</w:t>
      </w:r>
    </w:p>
    <w:p>
      <w:pPr>
        <w:pStyle w:val="Heading2"/>
      </w:pPr>
      <w:r>
        <w:t>/how-it-works — How It Works</w:t>
      </w:r>
    </w:p>
    <w:tbl>
      <w:tblPr>
        <w:tblStyle w:val="TableGrid"/>
        <w:tblW w:type="dxa" w:w="9360"/>
        <w:jc w:val="center"/>
        <w:tblLayout w:type="fixed"/>
        <w:tblLook w:firstColumn="1" w:firstRow="1" w:lastColumn="0" w:lastRow="0" w:noHBand="0" w:noVBand="1" w:val="04A0"/>
      </w:tblPr>
      <w:tblGrid>
        <w:gridCol w:w="1800"/>
        <w:gridCol w:w="7560"/>
      </w:tblGrid>
      <w:tr>
        <w:trPr>
          <w:tblHeader w:val="true"/>
          <w:cantSplit/>
        </w:trPr>
        <w:tc>
          <w:tcPr>
            <w:tcW w:type="dxa" w:w="1800"/>
            <w:shd w:fill="1A2A4A"/>
            <w:vAlign w:val="top"/>
            <w:tcMar>
              <w:top w:w="75" w:type="dxa"/>
              <w:start w:w="100" w:type="dxa"/>
              <w:bottom w:w="75" w:type="dxa"/>
              <w:end w:w="100" w:type="dxa"/>
            </w:tcMar>
          </w:tcPr>
          <w:p>
            <w:pPr>
              <w:spacing w:after="0"/>
            </w:pPr>
            <w:r>
              <w:rPr>
                <w:rFonts w:ascii="Arial" w:hAnsi="Arial"/>
                <w:b/>
                <w:color w:val="FFFFFF"/>
                <w:sz w:val="16"/>
              </w:rPr>
              <w:t>Element</w:t>
            </w:r>
          </w:p>
        </w:tc>
        <w:tc>
          <w:tcPr>
            <w:tcW w:type="dxa" w:w="7560"/>
            <w:shd w:fill="1A2A4A"/>
            <w:vAlign w:val="top"/>
            <w:tcMar>
              <w:top w:w="75" w:type="dxa"/>
              <w:start w:w="100" w:type="dxa"/>
              <w:bottom w:w="75" w:type="dxa"/>
              <w:end w:w="100" w:type="dxa"/>
            </w:tcMar>
          </w:tcPr>
          <w:p>
            <w:pPr>
              <w:spacing w:after="0"/>
            </w:pPr>
            <w:r>
              <w:rPr>
                <w:rFonts w:ascii="Arial" w:hAnsi="Arial"/>
                <w:b/>
                <w:color w:val="FFFFFF"/>
                <w:sz w:val="16"/>
              </w:rPr>
              <w:t>Approved copy</w:t>
            </w:r>
          </w:p>
        </w:tc>
      </w:tr>
      <w:tr>
        <w:trPr>
          <w:cantSplit/>
        </w:trPr>
        <w:tc>
          <w:tcPr>
            <w:tcW w:type="dxa" w:w="1800"/>
            <w:vAlign w:val="top"/>
            <w:tcMar>
              <w:top w:w="75" w:type="dxa"/>
              <w:start w:w="100" w:type="dxa"/>
              <w:bottom w:w="75" w:type="dxa"/>
              <w:end w:w="100" w:type="dxa"/>
            </w:tcMar>
          </w:tcPr>
          <w:p>
            <w:pPr>
              <w:spacing w:after="0" w:line="240" w:lineRule="auto"/>
            </w:pPr>
            <w:r>
              <w:rPr>
                <w:rFonts w:ascii="Arial" w:hAnsi="Arial"/>
                <w:color w:val="1A1A1A"/>
                <w:sz w:val="16"/>
              </w:rPr>
              <w:t>Headline</w:t>
            </w:r>
          </w:p>
        </w:tc>
        <w:tc>
          <w:tcPr>
            <w:tcW w:type="dxa" w:w="7560"/>
            <w:vAlign w:val="top"/>
            <w:tcMar>
              <w:top w:w="75" w:type="dxa"/>
              <w:start w:w="100" w:type="dxa"/>
              <w:bottom w:w="75" w:type="dxa"/>
              <w:end w:w="100" w:type="dxa"/>
            </w:tcMar>
          </w:tcPr>
          <w:p>
            <w:pPr>
              <w:spacing w:after="0" w:line="240" w:lineRule="auto"/>
            </w:pPr>
            <w:r>
              <w:rPr>
                <w:rFonts w:ascii="Arial" w:hAnsi="Arial"/>
                <w:color w:val="1A1A1A"/>
                <w:sz w:val="16"/>
              </w:rPr>
              <w:t>From Answers to Biological Intelligence</w:t>
            </w:r>
          </w:p>
        </w:tc>
      </w:tr>
      <w:tr>
        <w:trPr>
          <w:cantSplit/>
        </w:trPr>
        <w:tc>
          <w:tcPr>
            <w:tcW w:type="dxa" w:w="1800"/>
            <w:shd w:fill="F3F6FA"/>
            <w:vAlign w:val="top"/>
            <w:tcMar>
              <w:top w:w="75" w:type="dxa"/>
              <w:start w:w="100" w:type="dxa"/>
              <w:bottom w:w="75" w:type="dxa"/>
              <w:end w:w="100" w:type="dxa"/>
            </w:tcMar>
          </w:tcPr>
          <w:p>
            <w:pPr>
              <w:spacing w:after="0" w:line="240" w:lineRule="auto"/>
            </w:pPr>
            <w:r>
              <w:rPr>
                <w:rFonts w:ascii="Arial" w:hAnsi="Arial"/>
                <w:color w:val="1A1A1A"/>
                <w:sz w:val="16"/>
              </w:rPr>
              <w:t>Intro</w:t>
            </w:r>
          </w:p>
        </w:tc>
        <w:tc>
          <w:tcPr>
            <w:tcW w:type="dxa" w:w="7560"/>
            <w:shd w:fill="F3F6FA"/>
            <w:vAlign w:val="top"/>
            <w:tcMar>
              <w:top w:w="75" w:type="dxa"/>
              <w:start w:w="100" w:type="dxa"/>
              <w:bottom w:w="75" w:type="dxa"/>
              <w:end w:w="100" w:type="dxa"/>
            </w:tcMar>
          </w:tcPr>
          <w:p>
            <w:pPr>
              <w:spacing w:after="0" w:line="240" w:lineRule="auto"/>
            </w:pPr>
            <w:r>
              <w:rPr>
                <w:rFonts w:ascii="Arial" w:hAnsi="Arial"/>
                <w:color w:val="1A1A1A"/>
                <w:sz w:val="16"/>
              </w:rPr>
              <w:t>ROOTS-AI™ follows a controlled sequence so that interpretation never replaces the underlying data.</w:t>
            </w:r>
          </w:p>
        </w:tc>
      </w:tr>
      <w:tr>
        <w:trPr>
          <w:cantSplit/>
        </w:trPr>
        <w:tc>
          <w:tcPr>
            <w:tcW w:type="dxa" w:w="1800"/>
            <w:vAlign w:val="top"/>
            <w:tcMar>
              <w:top w:w="75" w:type="dxa"/>
              <w:start w:w="100" w:type="dxa"/>
              <w:bottom w:w="75" w:type="dxa"/>
              <w:end w:w="100" w:type="dxa"/>
            </w:tcMar>
          </w:tcPr>
          <w:p>
            <w:pPr>
              <w:spacing w:after="0" w:line="240" w:lineRule="auto"/>
            </w:pPr>
            <w:r>
              <w:rPr>
                <w:rFonts w:ascii="Arial" w:hAnsi="Arial"/>
                <w:color w:val="1A1A1A"/>
                <w:sz w:val="16"/>
              </w:rPr>
              <w:t>CTA</w:t>
            </w:r>
          </w:p>
        </w:tc>
        <w:tc>
          <w:tcPr>
            <w:tcW w:type="dxa" w:w="7560"/>
            <w:vAlign w:val="top"/>
            <w:tcMar>
              <w:top w:w="75" w:type="dxa"/>
              <w:start w:w="100" w:type="dxa"/>
              <w:bottom w:w="75" w:type="dxa"/>
              <w:end w:w="100" w:type="dxa"/>
            </w:tcMar>
          </w:tcPr>
          <w:p>
            <w:pPr>
              <w:spacing w:after="0" w:line="240" w:lineRule="auto"/>
            </w:pPr>
            <w:r>
              <w:rPr>
                <w:rFonts w:ascii="Arial" w:hAnsi="Arial"/>
                <w:color w:val="1A1A1A"/>
                <w:sz w:val="16"/>
              </w:rPr>
              <w:t>Start Your Assessment</w:t>
            </w:r>
          </w:p>
        </w:tc>
      </w:tr>
    </w:tbl>
    <w:p>
      <w:pPr>
        <w:spacing w:after="0"/>
      </w:pPr>
    </w:p>
    <w:p>
      <w:pPr>
        <w:pStyle w:val="ListBullet"/>
        <w:spacing w:after="40"/>
      </w:pPr>
      <w:r>
        <w:t>1. Complete the 73-question assessment.</w:t>
      </w:r>
    </w:p>
    <w:p>
      <w:pPr>
        <w:pStyle w:val="ListBullet"/>
        <w:spacing w:after="40"/>
      </w:pPr>
      <w:r>
        <w:t>2. Validation normalizes approved responses and preserves N/A.</w:t>
      </w:r>
    </w:p>
    <w:p>
      <w:pPr>
        <w:pStyle w:val="ListBullet"/>
        <w:spacing w:after="40"/>
      </w:pPr>
      <w:r>
        <w:t>3. Deterministic rules calculate seven domains and derived indicators.</w:t>
      </w:r>
    </w:p>
    <w:p>
      <w:pPr>
        <w:pStyle w:val="ListBullet"/>
        <w:spacing w:after="40"/>
      </w:pPr>
      <w:r>
        <w:t>4. C-02 v1.0.1 deterministic rules select driver outputs, confidence and eligible content; no website or AI layer may independently recalculate or replace them.</w:t>
      </w:r>
    </w:p>
    <w:p>
      <w:pPr>
        <w:pStyle w:val="ListBullet"/>
        <w:spacing w:after="40"/>
      </w:pPr>
      <w:r>
        <w:t>5. Governed AI may express only C-02/C-03-approved explanation objects in clear language; it cannot change scores, classifications, drivers, null states or report structure.</w:t>
      </w:r>
    </w:p>
    <w:p>
      <w:pPr>
        <w:pStyle w:val="ListBullet"/>
        <w:spacing w:after="40"/>
      </w:pPr>
      <w:r>
        <w:t>6. The web and PDF reports render from the same immutable report record.</w:t>
      </w:r>
    </w:p>
    <w:p>
      <w:pPr>
        <w:pStyle w:val="Heading2"/>
      </w:pPr>
      <w:r>
        <w:t>/platform — Platform</w:t>
      </w:r>
    </w:p>
    <w:tbl>
      <w:tblPr>
        <w:tblStyle w:val="TableGrid"/>
        <w:tblW w:type="dxa" w:w="9360"/>
        <w:jc w:val="center"/>
        <w:tblLayout w:type="fixed"/>
        <w:tblLook w:firstColumn="1" w:firstRow="1" w:lastColumn="0" w:lastRow="0" w:noHBand="0" w:noVBand="1" w:val="04A0"/>
      </w:tblPr>
      <w:tblGrid>
        <w:gridCol w:w="1800"/>
        <w:gridCol w:w="7560"/>
      </w:tblGrid>
      <w:tr>
        <w:trPr>
          <w:tblHeader w:val="true"/>
          <w:cantSplit/>
        </w:trPr>
        <w:tc>
          <w:tcPr>
            <w:tcW w:type="dxa" w:w="1800"/>
            <w:shd w:fill="1A2A4A"/>
            <w:vAlign w:val="top"/>
            <w:tcMar>
              <w:top w:w="75" w:type="dxa"/>
              <w:start w:w="100" w:type="dxa"/>
              <w:bottom w:w="75" w:type="dxa"/>
              <w:end w:w="100" w:type="dxa"/>
            </w:tcMar>
          </w:tcPr>
          <w:p>
            <w:pPr>
              <w:spacing w:after="0"/>
            </w:pPr>
            <w:r>
              <w:rPr>
                <w:rFonts w:ascii="Arial" w:hAnsi="Arial"/>
                <w:b/>
                <w:color w:val="FFFFFF"/>
                <w:sz w:val="16"/>
              </w:rPr>
              <w:t>Element</w:t>
            </w:r>
          </w:p>
        </w:tc>
        <w:tc>
          <w:tcPr>
            <w:tcW w:type="dxa" w:w="7560"/>
            <w:shd w:fill="1A2A4A"/>
            <w:vAlign w:val="top"/>
            <w:tcMar>
              <w:top w:w="75" w:type="dxa"/>
              <w:start w:w="100" w:type="dxa"/>
              <w:bottom w:w="75" w:type="dxa"/>
              <w:end w:w="100" w:type="dxa"/>
            </w:tcMar>
          </w:tcPr>
          <w:p>
            <w:pPr>
              <w:spacing w:after="0"/>
            </w:pPr>
            <w:r>
              <w:rPr>
                <w:rFonts w:ascii="Arial" w:hAnsi="Arial"/>
                <w:b/>
                <w:color w:val="FFFFFF"/>
                <w:sz w:val="16"/>
              </w:rPr>
              <w:t>Approved copy</w:t>
            </w:r>
          </w:p>
        </w:tc>
      </w:tr>
      <w:tr>
        <w:trPr>
          <w:cantSplit/>
        </w:trPr>
        <w:tc>
          <w:tcPr>
            <w:tcW w:type="dxa" w:w="1800"/>
            <w:vAlign w:val="top"/>
            <w:tcMar>
              <w:top w:w="75" w:type="dxa"/>
              <w:start w:w="100" w:type="dxa"/>
              <w:bottom w:w="75" w:type="dxa"/>
              <w:end w:w="100" w:type="dxa"/>
            </w:tcMar>
          </w:tcPr>
          <w:p>
            <w:pPr>
              <w:spacing w:after="0" w:line="240" w:lineRule="auto"/>
            </w:pPr>
            <w:r>
              <w:rPr>
                <w:rFonts w:ascii="Arial" w:hAnsi="Arial"/>
                <w:color w:val="1A1A1A"/>
                <w:sz w:val="16"/>
              </w:rPr>
              <w:t>Headline</w:t>
            </w:r>
          </w:p>
        </w:tc>
        <w:tc>
          <w:tcPr>
            <w:tcW w:type="dxa" w:w="7560"/>
            <w:vAlign w:val="top"/>
            <w:tcMar>
              <w:top w:w="75" w:type="dxa"/>
              <w:start w:w="100" w:type="dxa"/>
              <w:bottom w:w="75" w:type="dxa"/>
              <w:end w:w="100" w:type="dxa"/>
            </w:tcMar>
          </w:tcPr>
          <w:p>
            <w:pPr>
              <w:spacing w:after="0" w:line="240" w:lineRule="auto"/>
            </w:pPr>
            <w:r>
              <w:rPr>
                <w:rFonts w:ascii="Arial" w:hAnsi="Arial"/>
                <w:color w:val="1A1A1A"/>
                <w:sz w:val="16"/>
              </w:rPr>
              <w:t>One Foundation. Deeper Layers Over Time.</w:t>
            </w:r>
          </w:p>
        </w:tc>
      </w:tr>
      <w:tr>
        <w:trPr>
          <w:cantSplit/>
        </w:trPr>
        <w:tc>
          <w:tcPr>
            <w:tcW w:type="dxa" w:w="1800"/>
            <w:shd w:fill="F3F6FA"/>
            <w:vAlign w:val="top"/>
            <w:tcMar>
              <w:top w:w="75" w:type="dxa"/>
              <w:start w:w="100" w:type="dxa"/>
              <w:bottom w:w="75" w:type="dxa"/>
              <w:end w:w="100" w:type="dxa"/>
            </w:tcMar>
          </w:tcPr>
          <w:p>
            <w:pPr>
              <w:spacing w:after="0" w:line="240" w:lineRule="auto"/>
            </w:pPr>
            <w:r>
              <w:rPr>
                <w:rFonts w:ascii="Arial" w:hAnsi="Arial"/>
                <w:color w:val="1A1A1A"/>
                <w:sz w:val="16"/>
              </w:rPr>
              <w:t>Intro</w:t>
            </w:r>
          </w:p>
        </w:tc>
        <w:tc>
          <w:tcPr>
            <w:tcW w:type="dxa" w:w="7560"/>
            <w:shd w:fill="F3F6FA"/>
            <w:vAlign w:val="top"/>
            <w:tcMar>
              <w:top w:w="75" w:type="dxa"/>
              <w:start w:w="100" w:type="dxa"/>
              <w:bottom w:w="75" w:type="dxa"/>
              <w:end w:w="100" w:type="dxa"/>
            </w:tcMar>
          </w:tcPr>
          <w:p>
            <w:pPr>
              <w:spacing w:after="0" w:line="240" w:lineRule="auto"/>
            </w:pPr>
            <w:r>
              <w:rPr>
                <w:rFonts w:ascii="Arial" w:hAnsi="Arial"/>
                <w:color w:val="1A1A1A"/>
                <w:sz w:val="16"/>
              </w:rPr>
              <w:t>Phase 1 delivers the assessment and governed report engine. Future layers will expand biological context only after separate validation, governance and implementation.</w:t>
            </w:r>
          </w:p>
        </w:tc>
      </w:tr>
      <w:tr>
        <w:trPr>
          <w:cantSplit/>
        </w:trPr>
        <w:tc>
          <w:tcPr>
            <w:tcW w:type="dxa" w:w="1800"/>
            <w:vAlign w:val="top"/>
            <w:tcMar>
              <w:top w:w="75" w:type="dxa"/>
              <w:start w:w="100" w:type="dxa"/>
              <w:bottom w:w="75" w:type="dxa"/>
              <w:end w:w="100" w:type="dxa"/>
            </w:tcMar>
          </w:tcPr>
          <w:p>
            <w:pPr>
              <w:spacing w:after="0" w:line="240" w:lineRule="auto"/>
            </w:pPr>
            <w:r>
              <w:rPr>
                <w:rFonts w:ascii="Arial" w:hAnsi="Arial"/>
                <w:color w:val="1A1A1A"/>
                <w:sz w:val="16"/>
              </w:rPr>
              <w:t>CTA</w:t>
            </w:r>
          </w:p>
        </w:tc>
        <w:tc>
          <w:tcPr>
            <w:tcW w:type="dxa" w:w="7560"/>
            <w:vAlign w:val="top"/>
            <w:tcMar>
              <w:top w:w="75" w:type="dxa"/>
              <w:start w:w="100" w:type="dxa"/>
              <w:bottom w:w="75" w:type="dxa"/>
              <w:end w:w="100" w:type="dxa"/>
            </w:tcMar>
          </w:tcPr>
          <w:p>
            <w:pPr>
              <w:spacing w:after="0" w:line="240" w:lineRule="auto"/>
            </w:pPr>
            <w:r>
              <w:rPr>
                <w:rFonts w:ascii="Arial" w:hAnsi="Arial"/>
                <w:color w:val="1A1A1A"/>
                <w:sz w:val="16"/>
              </w:rPr>
              <w:t>Explore the Assessment</w:t>
            </w:r>
          </w:p>
        </w:tc>
      </w:tr>
    </w:tbl>
    <w:p>
      <w:pPr>
        <w:spacing w:after="0"/>
      </w:pPr>
    </w:p>
    <w:p>
      <w:pPr>
        <w:pStyle w:val="ListBullet"/>
        <w:spacing w:after="40"/>
      </w:pPr>
      <w:r>
        <w:t>Available: Assessment and governed report engine.</w:t>
      </w:r>
    </w:p>
    <w:p>
      <w:pPr>
        <w:pStyle w:val="ListBullet"/>
        <w:spacing w:after="40"/>
      </w:pPr>
      <w:r>
        <w:t>Coming Soon: Laboratory data integration.</w:t>
      </w:r>
    </w:p>
    <w:p>
      <w:pPr>
        <w:pStyle w:val="ListBullet"/>
        <w:spacing w:after="40"/>
      </w:pPr>
      <w:r>
        <w:t>Coming Soon: DNA and epigenetic insights.</w:t>
      </w:r>
    </w:p>
    <w:p>
      <w:pPr>
        <w:pStyle w:val="ListBullet"/>
        <w:spacing w:after="40"/>
      </w:pPr>
      <w:r>
        <w:t>Coming Soon: Microbiome analysis.</w:t>
      </w:r>
    </w:p>
    <w:p>
      <w:pPr>
        <w:pStyle w:val="ListBullet"/>
        <w:spacing w:after="40"/>
      </w:pPr>
      <w:r>
        <w:t>Coming Soon: Wearable integrations.</w:t>
      </w:r>
    </w:p>
    <w:p>
      <w:pPr>
        <w:pStyle w:val="ListBullet"/>
        <w:spacing w:after="40"/>
      </w:pPr>
      <w:r>
        <w:t>Coming Soon: ROOTS Biological Twin™.</w:t>
      </w:r>
    </w:p>
    <w:p>
      <w:pPr>
        <w:pStyle w:val="Heading2"/>
      </w:pPr>
      <w:r>
        <w:t>/research — Research</w:t>
      </w:r>
    </w:p>
    <w:tbl>
      <w:tblPr>
        <w:tblStyle w:val="TableGrid"/>
        <w:tblW w:type="dxa" w:w="9360"/>
        <w:jc w:val="center"/>
        <w:tblLayout w:type="fixed"/>
        <w:tblLook w:firstColumn="1" w:firstRow="1" w:lastColumn="0" w:lastRow="0" w:noHBand="0" w:noVBand="1" w:val="04A0"/>
      </w:tblPr>
      <w:tblGrid>
        <w:gridCol w:w="1800"/>
        <w:gridCol w:w="7560"/>
      </w:tblGrid>
      <w:tr>
        <w:trPr>
          <w:tblHeader w:val="true"/>
          <w:cantSplit/>
        </w:trPr>
        <w:tc>
          <w:tcPr>
            <w:tcW w:type="dxa" w:w="1800"/>
            <w:shd w:fill="1A2A4A"/>
            <w:vAlign w:val="top"/>
            <w:tcMar>
              <w:top w:w="75" w:type="dxa"/>
              <w:start w:w="100" w:type="dxa"/>
              <w:bottom w:w="75" w:type="dxa"/>
              <w:end w:w="100" w:type="dxa"/>
            </w:tcMar>
          </w:tcPr>
          <w:p>
            <w:pPr>
              <w:spacing w:after="0"/>
            </w:pPr>
            <w:r>
              <w:rPr>
                <w:rFonts w:ascii="Arial" w:hAnsi="Arial"/>
                <w:b/>
                <w:color w:val="FFFFFF"/>
                <w:sz w:val="16"/>
              </w:rPr>
              <w:t>Element</w:t>
            </w:r>
          </w:p>
        </w:tc>
        <w:tc>
          <w:tcPr>
            <w:tcW w:type="dxa" w:w="7560"/>
            <w:shd w:fill="1A2A4A"/>
            <w:vAlign w:val="top"/>
            <w:tcMar>
              <w:top w:w="75" w:type="dxa"/>
              <w:start w:w="100" w:type="dxa"/>
              <w:bottom w:w="75" w:type="dxa"/>
              <w:end w:w="100" w:type="dxa"/>
            </w:tcMar>
          </w:tcPr>
          <w:p>
            <w:pPr>
              <w:spacing w:after="0"/>
            </w:pPr>
            <w:r>
              <w:rPr>
                <w:rFonts w:ascii="Arial" w:hAnsi="Arial"/>
                <w:b/>
                <w:color w:val="FFFFFF"/>
                <w:sz w:val="16"/>
              </w:rPr>
              <w:t>Approved copy</w:t>
            </w:r>
          </w:p>
        </w:tc>
      </w:tr>
      <w:tr>
        <w:trPr>
          <w:cantSplit/>
        </w:trPr>
        <w:tc>
          <w:tcPr>
            <w:tcW w:type="dxa" w:w="1800"/>
            <w:vAlign w:val="top"/>
            <w:tcMar>
              <w:top w:w="75" w:type="dxa"/>
              <w:start w:w="100" w:type="dxa"/>
              <w:bottom w:w="75" w:type="dxa"/>
              <w:end w:w="100" w:type="dxa"/>
            </w:tcMar>
          </w:tcPr>
          <w:p>
            <w:pPr>
              <w:spacing w:after="0" w:line="240" w:lineRule="auto"/>
            </w:pPr>
            <w:r>
              <w:rPr>
                <w:rFonts w:ascii="Arial" w:hAnsi="Arial"/>
                <w:color w:val="1A1A1A"/>
                <w:sz w:val="16"/>
              </w:rPr>
              <w:t>Headline</w:t>
            </w:r>
          </w:p>
        </w:tc>
        <w:tc>
          <w:tcPr>
            <w:tcW w:type="dxa" w:w="7560"/>
            <w:vAlign w:val="top"/>
            <w:tcMar>
              <w:top w:w="75" w:type="dxa"/>
              <w:start w:w="100" w:type="dxa"/>
              <w:bottom w:w="75" w:type="dxa"/>
              <w:end w:w="100" w:type="dxa"/>
            </w:tcMar>
          </w:tcPr>
          <w:p>
            <w:pPr>
              <w:spacing w:after="0" w:line="240" w:lineRule="auto"/>
            </w:pPr>
            <w:r>
              <w:rPr>
                <w:rFonts w:ascii="Arial" w:hAnsi="Arial"/>
                <w:color w:val="1A1A1A"/>
                <w:sz w:val="16"/>
              </w:rPr>
              <w:t>Building Biological Intelligence Responsibly</w:t>
            </w:r>
          </w:p>
        </w:tc>
      </w:tr>
      <w:tr>
        <w:trPr>
          <w:cantSplit/>
        </w:trPr>
        <w:tc>
          <w:tcPr>
            <w:tcW w:type="dxa" w:w="1800"/>
            <w:shd w:fill="F3F6FA"/>
            <w:vAlign w:val="top"/>
            <w:tcMar>
              <w:top w:w="75" w:type="dxa"/>
              <w:start w:w="100" w:type="dxa"/>
              <w:bottom w:w="75" w:type="dxa"/>
              <w:end w:w="100" w:type="dxa"/>
            </w:tcMar>
          </w:tcPr>
          <w:p>
            <w:pPr>
              <w:spacing w:after="0" w:line="240" w:lineRule="auto"/>
            </w:pPr>
            <w:r>
              <w:rPr>
                <w:rFonts w:ascii="Arial" w:hAnsi="Arial"/>
                <w:color w:val="1A1A1A"/>
                <w:sz w:val="16"/>
              </w:rPr>
              <w:t>Intro</w:t>
            </w:r>
          </w:p>
        </w:tc>
        <w:tc>
          <w:tcPr>
            <w:tcW w:type="dxa" w:w="7560"/>
            <w:shd w:fill="F3F6FA"/>
            <w:vAlign w:val="top"/>
            <w:tcMar>
              <w:top w:w="75" w:type="dxa"/>
              <w:start w:w="100" w:type="dxa"/>
              <w:bottom w:w="75" w:type="dxa"/>
              <w:end w:w="100" w:type="dxa"/>
            </w:tcMar>
          </w:tcPr>
          <w:p>
            <w:pPr>
              <w:spacing w:after="0" w:line="240" w:lineRule="auto"/>
            </w:pPr>
            <w:r>
              <w:rPr>
                <w:rFonts w:ascii="Arial" w:hAnsi="Arial"/>
                <w:color w:val="1A1A1A"/>
                <w:sz w:val="16"/>
              </w:rPr>
              <w:t>ROOTS-AI™ is designed to support ethical pilot studies and de-identified research under separate consent, data minimization and documented governance.</w:t>
            </w:r>
          </w:p>
        </w:tc>
      </w:tr>
      <w:tr>
        <w:trPr>
          <w:cantSplit/>
        </w:trPr>
        <w:tc>
          <w:tcPr>
            <w:tcW w:type="dxa" w:w="1800"/>
            <w:vAlign w:val="top"/>
            <w:tcMar>
              <w:top w:w="75" w:type="dxa"/>
              <w:start w:w="100" w:type="dxa"/>
              <w:bottom w:w="75" w:type="dxa"/>
              <w:end w:w="100" w:type="dxa"/>
            </w:tcMar>
          </w:tcPr>
          <w:p>
            <w:pPr>
              <w:spacing w:after="0" w:line="240" w:lineRule="auto"/>
            </w:pPr>
            <w:r>
              <w:rPr>
                <w:rFonts w:ascii="Arial" w:hAnsi="Arial"/>
                <w:color w:val="1A1A1A"/>
                <w:sz w:val="16"/>
              </w:rPr>
              <w:t>CTA</w:t>
            </w:r>
          </w:p>
        </w:tc>
        <w:tc>
          <w:tcPr>
            <w:tcW w:type="dxa" w:w="7560"/>
            <w:vAlign w:val="top"/>
            <w:tcMar>
              <w:top w:w="75" w:type="dxa"/>
              <w:start w:w="100" w:type="dxa"/>
              <w:bottom w:w="75" w:type="dxa"/>
              <w:end w:w="100" w:type="dxa"/>
            </w:tcMar>
          </w:tcPr>
          <w:p>
            <w:pPr>
              <w:spacing w:after="0" w:line="240" w:lineRule="auto"/>
            </w:pPr>
            <w:r>
              <w:rPr>
                <w:rFonts w:ascii="Arial" w:hAnsi="Arial"/>
                <w:color w:val="1A1A1A"/>
                <w:sz w:val="16"/>
              </w:rPr>
              <w:t>Research Enquiries</w:t>
            </w:r>
          </w:p>
        </w:tc>
      </w:tr>
    </w:tbl>
    <w:p>
      <w:pPr>
        <w:spacing w:after="0"/>
      </w:pPr>
    </w:p>
    <w:p>
      <w:pPr>
        <w:pStyle w:val="ListBullet"/>
        <w:spacing w:after="40"/>
      </w:pPr>
      <w:r>
        <w:t>Service consent and research consent are separate.</w:t>
      </w:r>
    </w:p>
    <w:p>
      <w:pPr>
        <w:pStyle w:val="ListBullet"/>
        <w:spacing w:after="40"/>
      </w:pPr>
      <w:r>
        <w:t>Research export excludes direct identifiers and report narratives.</w:t>
      </w:r>
    </w:p>
    <w:p>
      <w:pPr>
        <w:pStyle w:val="ListBullet"/>
        <w:spacing w:after="40"/>
      </w:pPr>
      <w:r>
        <w:t>Pseudonymized data is not described as anonymous unless the methodology supports that claim.</w:t>
      </w:r>
    </w:p>
    <w:p>
      <w:pPr>
        <w:pStyle w:val="ListBullet"/>
        <w:spacing w:after="40"/>
      </w:pPr>
      <w:r>
        <w:t>Pilot findings will be reported with limitations; questionnaire scores are not clinical endpoints unless separately validated.</w:t>
      </w:r>
    </w:p>
    <w:p>
      <w:pPr>
        <w:pStyle w:val="Heading2"/>
      </w:pPr>
      <w:r>
        <w:t>/healthcare-professionals — Healthcare Professionals</w:t>
      </w:r>
    </w:p>
    <w:tbl>
      <w:tblPr>
        <w:tblStyle w:val="TableGrid"/>
        <w:tblW w:type="dxa" w:w="9360"/>
        <w:jc w:val="center"/>
        <w:tblLayout w:type="fixed"/>
        <w:tblLook w:firstColumn="1" w:firstRow="1" w:lastColumn="0" w:lastRow="0" w:noHBand="0" w:noVBand="1" w:val="04A0"/>
      </w:tblPr>
      <w:tblGrid>
        <w:gridCol w:w="1800"/>
        <w:gridCol w:w="7560"/>
      </w:tblGrid>
      <w:tr>
        <w:trPr>
          <w:tblHeader w:val="true"/>
          <w:cantSplit/>
        </w:trPr>
        <w:tc>
          <w:tcPr>
            <w:tcW w:type="dxa" w:w="1800"/>
            <w:shd w:fill="1A2A4A"/>
            <w:vAlign w:val="top"/>
            <w:tcMar>
              <w:top w:w="75" w:type="dxa"/>
              <w:start w:w="100" w:type="dxa"/>
              <w:bottom w:w="75" w:type="dxa"/>
              <w:end w:w="100" w:type="dxa"/>
            </w:tcMar>
          </w:tcPr>
          <w:p>
            <w:pPr>
              <w:spacing w:after="0"/>
            </w:pPr>
            <w:r>
              <w:rPr>
                <w:rFonts w:ascii="Arial" w:hAnsi="Arial"/>
                <w:b/>
                <w:color w:val="FFFFFF"/>
                <w:sz w:val="16"/>
              </w:rPr>
              <w:t>Element</w:t>
            </w:r>
          </w:p>
        </w:tc>
        <w:tc>
          <w:tcPr>
            <w:tcW w:type="dxa" w:w="7560"/>
            <w:shd w:fill="1A2A4A"/>
            <w:vAlign w:val="top"/>
            <w:tcMar>
              <w:top w:w="75" w:type="dxa"/>
              <w:start w:w="100" w:type="dxa"/>
              <w:bottom w:w="75" w:type="dxa"/>
              <w:end w:w="100" w:type="dxa"/>
            </w:tcMar>
          </w:tcPr>
          <w:p>
            <w:pPr>
              <w:spacing w:after="0"/>
            </w:pPr>
            <w:r>
              <w:rPr>
                <w:rFonts w:ascii="Arial" w:hAnsi="Arial"/>
                <w:b/>
                <w:color w:val="FFFFFF"/>
                <w:sz w:val="16"/>
              </w:rPr>
              <w:t>Approved copy</w:t>
            </w:r>
          </w:p>
        </w:tc>
      </w:tr>
      <w:tr>
        <w:trPr>
          <w:cantSplit/>
        </w:trPr>
        <w:tc>
          <w:tcPr>
            <w:tcW w:type="dxa" w:w="1800"/>
            <w:vAlign w:val="top"/>
            <w:tcMar>
              <w:top w:w="75" w:type="dxa"/>
              <w:start w:w="100" w:type="dxa"/>
              <w:bottom w:w="75" w:type="dxa"/>
              <w:end w:w="100" w:type="dxa"/>
            </w:tcMar>
          </w:tcPr>
          <w:p>
            <w:pPr>
              <w:spacing w:after="0" w:line="240" w:lineRule="auto"/>
            </w:pPr>
            <w:r>
              <w:rPr>
                <w:rFonts w:ascii="Arial" w:hAnsi="Arial"/>
                <w:color w:val="1A1A1A"/>
                <w:sz w:val="16"/>
              </w:rPr>
              <w:t>Headline</w:t>
            </w:r>
          </w:p>
        </w:tc>
        <w:tc>
          <w:tcPr>
            <w:tcW w:type="dxa" w:w="7560"/>
            <w:vAlign w:val="top"/>
            <w:tcMar>
              <w:top w:w="75" w:type="dxa"/>
              <w:start w:w="100" w:type="dxa"/>
              <w:bottom w:w="75" w:type="dxa"/>
              <w:end w:w="100" w:type="dxa"/>
            </w:tcMar>
          </w:tcPr>
          <w:p>
            <w:pPr>
              <w:spacing w:after="0" w:line="240" w:lineRule="auto"/>
            </w:pPr>
            <w:r>
              <w:rPr>
                <w:rFonts w:ascii="Arial" w:hAnsi="Arial"/>
                <w:color w:val="1A1A1A"/>
                <w:sz w:val="16"/>
              </w:rPr>
              <w:t>A Transparent Educational Report for Better Conversations</w:t>
            </w:r>
          </w:p>
        </w:tc>
      </w:tr>
      <w:tr>
        <w:trPr>
          <w:cantSplit/>
        </w:trPr>
        <w:tc>
          <w:tcPr>
            <w:tcW w:type="dxa" w:w="1800"/>
            <w:shd w:fill="F3F6FA"/>
            <w:vAlign w:val="top"/>
            <w:tcMar>
              <w:top w:w="75" w:type="dxa"/>
              <w:start w:w="100" w:type="dxa"/>
              <w:bottom w:w="75" w:type="dxa"/>
              <w:end w:w="100" w:type="dxa"/>
            </w:tcMar>
          </w:tcPr>
          <w:p>
            <w:pPr>
              <w:spacing w:after="0" w:line="240" w:lineRule="auto"/>
            </w:pPr>
            <w:r>
              <w:rPr>
                <w:rFonts w:ascii="Arial" w:hAnsi="Arial"/>
                <w:color w:val="1A1A1A"/>
                <w:sz w:val="16"/>
              </w:rPr>
              <w:t>Intro</w:t>
            </w:r>
          </w:p>
        </w:tc>
        <w:tc>
          <w:tcPr>
            <w:tcW w:type="dxa" w:w="7560"/>
            <w:shd w:fill="F3F6FA"/>
            <w:vAlign w:val="top"/>
            <w:tcMar>
              <w:top w:w="75" w:type="dxa"/>
              <w:start w:w="100" w:type="dxa"/>
              <w:bottom w:w="75" w:type="dxa"/>
              <w:end w:w="100" w:type="dxa"/>
            </w:tcMar>
          </w:tcPr>
          <w:p>
            <w:pPr>
              <w:spacing w:after="0" w:line="240" w:lineRule="auto"/>
            </w:pPr>
            <w:r>
              <w:rPr>
                <w:rFonts w:ascii="Arial" w:hAnsi="Arial"/>
                <w:color w:val="1A1A1A"/>
                <w:sz w:val="16"/>
              </w:rPr>
              <w:t>ROOTS-AI™ helps participants organize self-reported patterns before discussing persistent concerns with a qualified professional. It does not replace clinical history, examination, diagnosis or care.</w:t>
            </w:r>
          </w:p>
        </w:tc>
      </w:tr>
      <w:tr>
        <w:trPr>
          <w:cantSplit/>
        </w:trPr>
        <w:tc>
          <w:tcPr>
            <w:tcW w:type="dxa" w:w="1800"/>
            <w:vAlign w:val="top"/>
            <w:tcMar>
              <w:top w:w="75" w:type="dxa"/>
              <w:start w:w="100" w:type="dxa"/>
              <w:bottom w:w="75" w:type="dxa"/>
              <w:end w:w="100" w:type="dxa"/>
            </w:tcMar>
          </w:tcPr>
          <w:p>
            <w:pPr>
              <w:spacing w:after="0" w:line="240" w:lineRule="auto"/>
            </w:pPr>
            <w:r>
              <w:rPr>
                <w:rFonts w:ascii="Arial" w:hAnsi="Arial"/>
                <w:color w:val="1A1A1A"/>
                <w:sz w:val="16"/>
              </w:rPr>
              <w:t>CTA</w:t>
            </w:r>
          </w:p>
        </w:tc>
        <w:tc>
          <w:tcPr>
            <w:tcW w:type="dxa" w:w="7560"/>
            <w:vAlign w:val="top"/>
            <w:tcMar>
              <w:top w:w="75" w:type="dxa"/>
              <w:start w:w="100" w:type="dxa"/>
              <w:bottom w:w="75" w:type="dxa"/>
              <w:end w:w="100" w:type="dxa"/>
            </w:tcMar>
          </w:tcPr>
          <w:p>
            <w:pPr>
              <w:spacing w:after="0" w:line="240" w:lineRule="auto"/>
            </w:pPr>
            <w:r>
              <w:rPr>
                <w:rFonts w:ascii="Arial" w:hAnsi="Arial"/>
                <w:color w:val="1A1A1A"/>
                <w:sz w:val="16"/>
              </w:rPr>
              <w:t>View Example Report</w:t>
            </w:r>
          </w:p>
        </w:tc>
      </w:tr>
    </w:tbl>
    <w:p>
      <w:pPr>
        <w:spacing w:after="0"/>
      </w:pPr>
    </w:p>
    <w:p>
      <w:pPr>
        <w:pStyle w:val="ListBullet"/>
        <w:spacing w:after="40"/>
      </w:pPr>
      <w:r>
        <w:t>See the exact answers behind each score.</w:t>
      </w:r>
    </w:p>
    <w:p>
      <w:pPr>
        <w:pStyle w:val="ListBullet"/>
        <w:spacing w:after="40"/>
      </w:pPr>
      <w:r>
        <w:t>Review data completeness and confidence.</w:t>
      </w:r>
    </w:p>
    <w:p>
      <w:pPr>
        <w:pStyle w:val="ListBullet"/>
        <w:spacing w:after="40"/>
      </w:pPr>
      <w:r>
        <w:t>Distinguish deterministic calculation from AI-assisted wording.</w:t>
      </w:r>
    </w:p>
    <w:p>
      <w:pPr>
        <w:pStyle w:val="ListBullet"/>
        <w:spacing w:after="40"/>
      </w:pPr>
      <w:r>
        <w:t>Use suggested laboratory discussions only as optional conversation prompts.</w:t>
      </w:r>
    </w:p>
    <w:p>
      <w:pPr>
        <w:pStyle w:val="Heading2"/>
      </w:pPr>
      <w:r>
        <w:t>/pilot — Free Beta/Pilot</w:t>
      </w:r>
    </w:p>
    <w:tbl>
      <w:tblPr>
        <w:tblStyle w:val="TableGrid"/>
        <w:tblW w:type="dxa" w:w="9360"/>
        <w:jc w:val="center"/>
        <w:tblLayout w:type="fixed"/>
        <w:tblLook w:firstColumn="1" w:firstRow="1" w:lastColumn="0" w:lastRow="0" w:noHBand="0" w:noVBand="1" w:val="04A0"/>
      </w:tblPr>
      <w:tblGrid>
        <w:gridCol w:w="1800"/>
        <w:gridCol w:w="7560"/>
      </w:tblGrid>
      <w:tr>
        <w:trPr>
          <w:tblHeader w:val="true"/>
          <w:cantSplit/>
        </w:trPr>
        <w:tc>
          <w:tcPr>
            <w:tcW w:type="dxa" w:w="1800"/>
            <w:shd w:fill="1A2A4A"/>
            <w:vAlign w:val="top"/>
            <w:tcMar>
              <w:top w:w="75" w:type="dxa"/>
              <w:start w:w="100" w:type="dxa"/>
              <w:bottom w:w="75" w:type="dxa"/>
              <w:end w:w="100" w:type="dxa"/>
            </w:tcMar>
          </w:tcPr>
          <w:p>
            <w:pPr>
              <w:spacing w:after="0"/>
            </w:pPr>
            <w:r>
              <w:rPr>
                <w:rFonts w:ascii="Arial" w:hAnsi="Arial"/>
                <w:b/>
                <w:color w:val="FFFFFF"/>
                <w:sz w:val="16"/>
              </w:rPr>
              <w:t>Element</w:t>
            </w:r>
          </w:p>
        </w:tc>
        <w:tc>
          <w:tcPr>
            <w:tcW w:type="dxa" w:w="7560"/>
            <w:shd w:fill="1A2A4A"/>
            <w:vAlign w:val="top"/>
            <w:tcMar>
              <w:top w:w="75" w:type="dxa"/>
              <w:start w:w="100" w:type="dxa"/>
              <w:bottom w:w="75" w:type="dxa"/>
              <w:end w:w="100" w:type="dxa"/>
            </w:tcMar>
          </w:tcPr>
          <w:p>
            <w:pPr>
              <w:spacing w:after="0"/>
            </w:pPr>
            <w:r>
              <w:rPr>
                <w:rFonts w:ascii="Arial" w:hAnsi="Arial"/>
                <w:b/>
                <w:color w:val="FFFFFF"/>
                <w:sz w:val="16"/>
              </w:rPr>
              <w:t>Approved copy</w:t>
            </w:r>
          </w:p>
        </w:tc>
      </w:tr>
      <w:tr>
        <w:trPr>
          <w:cantSplit/>
        </w:trPr>
        <w:tc>
          <w:tcPr>
            <w:tcW w:type="dxa" w:w="1800"/>
            <w:vAlign w:val="top"/>
            <w:tcMar>
              <w:top w:w="75" w:type="dxa"/>
              <w:start w:w="100" w:type="dxa"/>
              <w:bottom w:w="75" w:type="dxa"/>
              <w:end w:w="100" w:type="dxa"/>
            </w:tcMar>
          </w:tcPr>
          <w:p>
            <w:pPr>
              <w:spacing w:after="0" w:line="240" w:lineRule="auto"/>
            </w:pPr>
            <w:r>
              <w:rPr>
                <w:rFonts w:ascii="Arial" w:hAnsi="Arial"/>
                <w:color w:val="1A1A1A"/>
                <w:sz w:val="16"/>
              </w:rPr>
              <w:t>Headline</w:t>
            </w:r>
          </w:p>
        </w:tc>
        <w:tc>
          <w:tcPr>
            <w:tcW w:type="dxa" w:w="7560"/>
            <w:vAlign w:val="top"/>
            <w:tcMar>
              <w:top w:w="75" w:type="dxa"/>
              <w:start w:w="100" w:type="dxa"/>
              <w:bottom w:w="75" w:type="dxa"/>
              <w:end w:w="100" w:type="dxa"/>
            </w:tcMar>
          </w:tcPr>
          <w:p>
            <w:pPr>
              <w:spacing w:after="0" w:line="240" w:lineRule="auto"/>
            </w:pPr>
            <w:r>
              <w:rPr>
                <w:rFonts w:ascii="Arial" w:hAnsi="Arial"/>
                <w:color w:val="1A1A1A"/>
                <w:sz w:val="16"/>
              </w:rPr>
              <w:t>Join the ROOTS-AI™ Free Beta</w:t>
            </w:r>
          </w:p>
        </w:tc>
      </w:tr>
      <w:tr>
        <w:trPr>
          <w:cantSplit/>
        </w:trPr>
        <w:tc>
          <w:tcPr>
            <w:tcW w:type="dxa" w:w="1800"/>
            <w:shd w:fill="F3F6FA"/>
            <w:vAlign w:val="top"/>
            <w:tcMar>
              <w:top w:w="75" w:type="dxa"/>
              <w:start w:w="100" w:type="dxa"/>
              <w:bottom w:w="75" w:type="dxa"/>
              <w:end w:w="100" w:type="dxa"/>
            </w:tcMar>
          </w:tcPr>
          <w:p>
            <w:pPr>
              <w:spacing w:after="0" w:line="240" w:lineRule="auto"/>
            </w:pPr>
            <w:r>
              <w:rPr>
                <w:rFonts w:ascii="Arial" w:hAnsi="Arial"/>
                <w:color w:val="1A1A1A"/>
                <w:sz w:val="16"/>
              </w:rPr>
              <w:t>Intro</w:t>
            </w:r>
          </w:p>
        </w:tc>
        <w:tc>
          <w:tcPr>
            <w:tcW w:type="dxa" w:w="7560"/>
            <w:shd w:fill="F3F6FA"/>
            <w:vAlign w:val="top"/>
            <w:tcMar>
              <w:top w:w="75" w:type="dxa"/>
              <w:start w:w="100" w:type="dxa"/>
              <w:bottom w:w="75" w:type="dxa"/>
              <w:end w:w="100" w:type="dxa"/>
            </w:tcMar>
          </w:tcPr>
          <w:p>
            <w:pPr>
              <w:spacing w:after="0" w:line="240" w:lineRule="auto"/>
            </w:pPr>
            <w:r>
              <w:rPr>
                <w:rFonts w:ascii="Arial" w:hAnsi="Arial"/>
                <w:color w:val="1A1A1A"/>
                <w:sz w:val="16"/>
              </w:rPr>
              <w:t>The beta explores whether a structured, non-diagnostic assessment can help people understand self-reported patterns involving weight resistance, energy, sleep, stress and appetite.</w:t>
            </w:r>
          </w:p>
        </w:tc>
      </w:tr>
      <w:tr>
        <w:trPr>
          <w:cantSplit/>
        </w:trPr>
        <w:tc>
          <w:tcPr>
            <w:tcW w:type="dxa" w:w="1800"/>
            <w:vAlign w:val="top"/>
            <w:tcMar>
              <w:top w:w="75" w:type="dxa"/>
              <w:start w:w="100" w:type="dxa"/>
              <w:bottom w:w="75" w:type="dxa"/>
              <w:end w:w="100" w:type="dxa"/>
            </w:tcMar>
          </w:tcPr>
          <w:p>
            <w:pPr>
              <w:spacing w:after="0" w:line="240" w:lineRule="auto"/>
            </w:pPr>
            <w:r>
              <w:rPr>
                <w:rFonts w:ascii="Arial" w:hAnsi="Arial"/>
                <w:color w:val="1A1A1A"/>
                <w:sz w:val="16"/>
              </w:rPr>
              <w:t>CTA</w:t>
            </w:r>
          </w:p>
        </w:tc>
        <w:tc>
          <w:tcPr>
            <w:tcW w:type="dxa" w:w="7560"/>
            <w:vAlign w:val="top"/>
            <w:tcMar>
              <w:top w:w="75" w:type="dxa"/>
              <w:start w:w="100" w:type="dxa"/>
              <w:bottom w:w="75" w:type="dxa"/>
              <w:end w:w="100" w:type="dxa"/>
            </w:tcMar>
          </w:tcPr>
          <w:p>
            <w:pPr>
              <w:spacing w:after="0" w:line="240" w:lineRule="auto"/>
            </w:pPr>
            <w:r>
              <w:rPr>
                <w:rFonts w:ascii="Arial" w:hAnsi="Arial"/>
                <w:color w:val="1A1A1A"/>
                <w:sz w:val="16"/>
              </w:rPr>
              <w:t>Check Eligibility</w:t>
            </w:r>
          </w:p>
        </w:tc>
      </w:tr>
    </w:tbl>
    <w:p>
      <w:pPr>
        <w:spacing w:after="0"/>
      </w:pPr>
    </w:p>
    <w:p>
      <w:pPr>
        <w:pStyle w:val="ListBullet"/>
        <w:spacing w:after="40"/>
      </w:pPr>
      <w:r>
        <w:t>Eligibility: adults aged 18 or older unless a separately approved local workflow applies.</w:t>
      </w:r>
    </w:p>
    <w:p>
      <w:pPr>
        <w:pStyle w:val="ListBullet"/>
        <w:spacing w:after="40"/>
      </w:pPr>
      <w:r>
        <w:t>Participation is voluntary and may be withdrawn according to the Privacy Notice.</w:t>
      </w:r>
    </w:p>
    <w:p>
      <w:pPr>
        <w:pStyle w:val="ListBullet"/>
        <w:spacing w:after="40"/>
      </w:pPr>
      <w:r>
        <w:t>The report is educational and is not medical care.</w:t>
      </w:r>
    </w:p>
    <w:p>
      <w:pPr>
        <w:pStyle w:val="ListBullet"/>
        <w:spacing w:after="40"/>
      </w:pPr>
      <w:r>
        <w:t>Beta feedback may be used to improve usability; research use requires separate explicit consent.</w:t>
      </w:r>
    </w:p>
    <w:p>
      <w:pPr>
        <w:pStyle w:val="ListBullet"/>
        <w:spacing w:after="40"/>
      </w:pPr>
      <w:r>
        <w:t>No payment is required for the approved beta cohort.</w:t>
      </w:r>
    </w:p>
    <w:p>
      <w:pPr>
        <w:pStyle w:val="Heading2"/>
      </w:pPr>
      <w:r>
        <w:t>/about — About</w:t>
      </w:r>
    </w:p>
    <w:tbl>
      <w:tblPr>
        <w:tblStyle w:val="TableGrid"/>
        <w:tblW w:type="dxa" w:w="9360"/>
        <w:jc w:val="center"/>
        <w:tblLayout w:type="fixed"/>
        <w:tblLook w:firstColumn="1" w:firstRow="1" w:lastColumn="0" w:lastRow="0" w:noHBand="0" w:noVBand="1" w:val="04A0"/>
      </w:tblPr>
      <w:tblGrid>
        <w:gridCol w:w="1800"/>
        <w:gridCol w:w="7560"/>
      </w:tblGrid>
      <w:tr>
        <w:trPr>
          <w:tblHeader w:val="true"/>
          <w:cantSplit/>
        </w:trPr>
        <w:tc>
          <w:tcPr>
            <w:tcW w:type="dxa" w:w="1800"/>
            <w:shd w:fill="1A2A4A"/>
            <w:vAlign w:val="top"/>
            <w:tcMar>
              <w:top w:w="75" w:type="dxa"/>
              <w:start w:w="100" w:type="dxa"/>
              <w:bottom w:w="75" w:type="dxa"/>
              <w:end w:w="100" w:type="dxa"/>
            </w:tcMar>
          </w:tcPr>
          <w:p>
            <w:pPr>
              <w:spacing w:after="0"/>
            </w:pPr>
            <w:r>
              <w:rPr>
                <w:rFonts w:ascii="Arial" w:hAnsi="Arial"/>
                <w:b/>
                <w:color w:val="FFFFFF"/>
                <w:sz w:val="16"/>
              </w:rPr>
              <w:t>Element</w:t>
            </w:r>
          </w:p>
        </w:tc>
        <w:tc>
          <w:tcPr>
            <w:tcW w:type="dxa" w:w="7560"/>
            <w:shd w:fill="1A2A4A"/>
            <w:vAlign w:val="top"/>
            <w:tcMar>
              <w:top w:w="75" w:type="dxa"/>
              <w:start w:w="100" w:type="dxa"/>
              <w:bottom w:w="75" w:type="dxa"/>
              <w:end w:w="100" w:type="dxa"/>
            </w:tcMar>
          </w:tcPr>
          <w:p>
            <w:pPr>
              <w:spacing w:after="0"/>
            </w:pPr>
            <w:r>
              <w:rPr>
                <w:rFonts w:ascii="Arial" w:hAnsi="Arial"/>
                <w:b/>
                <w:color w:val="FFFFFF"/>
                <w:sz w:val="16"/>
              </w:rPr>
              <w:t>Approved copy</w:t>
            </w:r>
          </w:p>
        </w:tc>
      </w:tr>
      <w:tr>
        <w:trPr>
          <w:cantSplit/>
        </w:trPr>
        <w:tc>
          <w:tcPr>
            <w:tcW w:type="dxa" w:w="1800"/>
            <w:vAlign w:val="top"/>
            <w:tcMar>
              <w:top w:w="75" w:type="dxa"/>
              <w:start w:w="100" w:type="dxa"/>
              <w:bottom w:w="75" w:type="dxa"/>
              <w:end w:w="100" w:type="dxa"/>
            </w:tcMar>
          </w:tcPr>
          <w:p>
            <w:pPr>
              <w:spacing w:after="0" w:line="240" w:lineRule="auto"/>
            </w:pPr>
            <w:r>
              <w:rPr>
                <w:rFonts w:ascii="Arial" w:hAnsi="Arial"/>
                <w:color w:val="1A1A1A"/>
                <w:sz w:val="16"/>
              </w:rPr>
              <w:t>Headline</w:t>
            </w:r>
          </w:p>
        </w:tc>
        <w:tc>
          <w:tcPr>
            <w:tcW w:type="dxa" w:w="7560"/>
            <w:vAlign w:val="top"/>
            <w:tcMar>
              <w:top w:w="75" w:type="dxa"/>
              <w:start w:w="100" w:type="dxa"/>
              <w:bottom w:w="75" w:type="dxa"/>
              <w:end w:w="100" w:type="dxa"/>
            </w:tcMar>
          </w:tcPr>
          <w:p>
            <w:pPr>
              <w:spacing w:after="0" w:line="240" w:lineRule="auto"/>
            </w:pPr>
            <w:r>
              <w:rPr>
                <w:rFonts w:ascii="Arial" w:hAnsi="Arial"/>
                <w:color w:val="1A1A1A"/>
                <w:sz w:val="16"/>
              </w:rPr>
              <w:t>Medicine Before Symptoms™</w:t>
            </w:r>
          </w:p>
        </w:tc>
      </w:tr>
      <w:tr>
        <w:trPr>
          <w:cantSplit/>
        </w:trPr>
        <w:tc>
          <w:tcPr>
            <w:tcW w:type="dxa" w:w="1800"/>
            <w:shd w:fill="F3F6FA"/>
            <w:vAlign w:val="top"/>
            <w:tcMar>
              <w:top w:w="75" w:type="dxa"/>
              <w:start w:w="100" w:type="dxa"/>
              <w:bottom w:w="75" w:type="dxa"/>
              <w:end w:w="100" w:type="dxa"/>
            </w:tcMar>
          </w:tcPr>
          <w:p>
            <w:pPr>
              <w:spacing w:after="0" w:line="240" w:lineRule="auto"/>
            </w:pPr>
            <w:r>
              <w:rPr>
                <w:rFonts w:ascii="Arial" w:hAnsi="Arial"/>
                <w:color w:val="1A1A1A"/>
                <w:sz w:val="16"/>
              </w:rPr>
              <w:t>Intro</w:t>
            </w:r>
          </w:p>
        </w:tc>
        <w:tc>
          <w:tcPr>
            <w:tcW w:type="dxa" w:w="7560"/>
            <w:shd w:fill="F3F6FA"/>
            <w:vAlign w:val="top"/>
            <w:tcMar>
              <w:top w:w="75" w:type="dxa"/>
              <w:start w:w="100" w:type="dxa"/>
              <w:bottom w:w="75" w:type="dxa"/>
              <w:end w:w="100" w:type="dxa"/>
            </w:tcMar>
          </w:tcPr>
          <w:p>
            <w:pPr>
              <w:spacing w:after="0" w:line="240" w:lineRule="auto"/>
            </w:pPr>
            <w:r>
              <w:rPr>
                <w:rFonts w:ascii="Arial" w:hAnsi="Arial"/>
                <w:color w:val="1A1A1A"/>
                <w:sz w:val="16"/>
              </w:rPr>
              <w:t>ROOTS-AI™ was created around a simple idea: biology often adapts long before a diagnosis is made. Our role is not to label disease, but to help people see patterns earlier, ask better questions and choose realistic next steps.</w:t>
            </w:r>
          </w:p>
        </w:tc>
      </w:tr>
      <w:tr>
        <w:trPr>
          <w:cantSplit/>
        </w:trPr>
        <w:tc>
          <w:tcPr>
            <w:tcW w:type="dxa" w:w="1800"/>
            <w:vAlign w:val="top"/>
            <w:tcMar>
              <w:top w:w="75" w:type="dxa"/>
              <w:start w:w="100" w:type="dxa"/>
              <w:bottom w:w="75" w:type="dxa"/>
              <w:end w:w="100" w:type="dxa"/>
            </w:tcMar>
          </w:tcPr>
          <w:p>
            <w:pPr>
              <w:spacing w:after="0" w:line="240" w:lineRule="auto"/>
            </w:pPr>
            <w:r>
              <w:rPr>
                <w:rFonts w:ascii="Arial" w:hAnsi="Arial"/>
                <w:color w:val="1A1A1A"/>
                <w:sz w:val="16"/>
              </w:rPr>
              <w:t>CTA</w:t>
            </w:r>
          </w:p>
        </w:tc>
        <w:tc>
          <w:tcPr>
            <w:tcW w:type="dxa" w:w="7560"/>
            <w:vAlign w:val="top"/>
            <w:tcMar>
              <w:top w:w="75" w:type="dxa"/>
              <w:start w:w="100" w:type="dxa"/>
              <w:bottom w:w="75" w:type="dxa"/>
              <w:end w:w="100" w:type="dxa"/>
            </w:tcMar>
          </w:tcPr>
          <w:p>
            <w:pPr>
              <w:spacing w:after="0" w:line="240" w:lineRule="auto"/>
            </w:pPr>
            <w:r>
              <w:rPr>
                <w:rFonts w:ascii="Arial" w:hAnsi="Arial"/>
                <w:color w:val="1A1A1A"/>
                <w:sz w:val="16"/>
              </w:rPr>
              <w:t>How It Works</w:t>
            </w:r>
          </w:p>
        </w:tc>
      </w:tr>
    </w:tbl>
    <w:p>
      <w:pPr>
        <w:spacing w:after="0"/>
      </w:pPr>
    </w:p>
    <w:p>
      <w:pPr>
        <w:pStyle w:val="ListBullet"/>
        <w:spacing w:after="40"/>
      </w:pPr>
      <w:r>
        <w:t>Mission: make complex biological patterns understandable without turning an educational tool into a diagnosis.</w:t>
      </w:r>
    </w:p>
    <w:p>
      <w:pPr>
        <w:pStyle w:val="ListBullet"/>
        <w:spacing w:after="40"/>
      </w:pPr>
      <w:r>
        <w:t>Method: structured data, deterministic rules, governed language and visible limitations.</w:t>
      </w:r>
    </w:p>
    <w:p>
      <w:pPr>
        <w:pStyle w:val="ListBullet"/>
        <w:spacing w:after="40"/>
      </w:pPr>
      <w:r>
        <w:t>Company: ROOTS AI HEALTH SYSTEMS, Inc., Delaware, USA.</w:t>
      </w:r>
    </w:p>
    <w:p>
      <w:pPr>
        <w:pStyle w:val="Heading2"/>
      </w:pPr>
      <w:r>
        <w:t>/contact — Contact</w:t>
      </w:r>
    </w:p>
    <w:tbl>
      <w:tblPr>
        <w:tblStyle w:val="TableGrid"/>
        <w:tblW w:type="dxa" w:w="9360"/>
        <w:jc w:val="center"/>
        <w:tblLayout w:type="fixed"/>
        <w:tblLook w:firstColumn="1" w:firstRow="1" w:lastColumn="0" w:lastRow="0" w:noHBand="0" w:noVBand="1" w:val="04A0"/>
      </w:tblPr>
      <w:tblGrid>
        <w:gridCol w:w="1800"/>
        <w:gridCol w:w="7560"/>
      </w:tblGrid>
      <w:tr>
        <w:trPr>
          <w:tblHeader w:val="true"/>
          <w:cantSplit/>
        </w:trPr>
        <w:tc>
          <w:tcPr>
            <w:tcW w:type="dxa" w:w="1800"/>
            <w:shd w:fill="1A2A4A"/>
            <w:vAlign w:val="top"/>
            <w:tcMar>
              <w:top w:w="75" w:type="dxa"/>
              <w:start w:w="100" w:type="dxa"/>
              <w:bottom w:w="75" w:type="dxa"/>
              <w:end w:w="100" w:type="dxa"/>
            </w:tcMar>
          </w:tcPr>
          <w:p>
            <w:pPr>
              <w:spacing w:after="0"/>
            </w:pPr>
            <w:r>
              <w:rPr>
                <w:rFonts w:ascii="Arial" w:hAnsi="Arial"/>
                <w:b/>
                <w:color w:val="FFFFFF"/>
                <w:sz w:val="16"/>
              </w:rPr>
              <w:t>Element</w:t>
            </w:r>
          </w:p>
        </w:tc>
        <w:tc>
          <w:tcPr>
            <w:tcW w:type="dxa" w:w="7560"/>
            <w:shd w:fill="1A2A4A"/>
            <w:vAlign w:val="top"/>
            <w:tcMar>
              <w:top w:w="75" w:type="dxa"/>
              <w:start w:w="100" w:type="dxa"/>
              <w:bottom w:w="75" w:type="dxa"/>
              <w:end w:w="100" w:type="dxa"/>
            </w:tcMar>
          </w:tcPr>
          <w:p>
            <w:pPr>
              <w:spacing w:after="0"/>
            </w:pPr>
            <w:r>
              <w:rPr>
                <w:rFonts w:ascii="Arial" w:hAnsi="Arial"/>
                <w:b/>
                <w:color w:val="FFFFFF"/>
                <w:sz w:val="16"/>
              </w:rPr>
              <w:t>Approved copy</w:t>
            </w:r>
          </w:p>
        </w:tc>
      </w:tr>
      <w:tr>
        <w:trPr>
          <w:cantSplit/>
        </w:trPr>
        <w:tc>
          <w:tcPr>
            <w:tcW w:type="dxa" w:w="1800"/>
            <w:vAlign w:val="top"/>
            <w:tcMar>
              <w:top w:w="75" w:type="dxa"/>
              <w:start w:w="100" w:type="dxa"/>
              <w:bottom w:w="75" w:type="dxa"/>
              <w:end w:w="100" w:type="dxa"/>
            </w:tcMar>
          </w:tcPr>
          <w:p>
            <w:pPr>
              <w:spacing w:after="0" w:line="240" w:lineRule="auto"/>
            </w:pPr>
            <w:r>
              <w:rPr>
                <w:rFonts w:ascii="Arial" w:hAnsi="Arial"/>
                <w:color w:val="1A1A1A"/>
                <w:sz w:val="16"/>
              </w:rPr>
              <w:t>Headline</w:t>
            </w:r>
          </w:p>
        </w:tc>
        <w:tc>
          <w:tcPr>
            <w:tcW w:type="dxa" w:w="7560"/>
            <w:vAlign w:val="top"/>
            <w:tcMar>
              <w:top w:w="75" w:type="dxa"/>
              <w:start w:w="100" w:type="dxa"/>
              <w:bottom w:w="75" w:type="dxa"/>
              <w:end w:w="100" w:type="dxa"/>
            </w:tcMar>
          </w:tcPr>
          <w:p>
            <w:pPr>
              <w:spacing w:after="0" w:line="240" w:lineRule="auto"/>
            </w:pPr>
            <w:r>
              <w:rPr>
                <w:rFonts w:ascii="Arial" w:hAnsi="Arial"/>
                <w:color w:val="1A1A1A"/>
                <w:sz w:val="16"/>
              </w:rPr>
              <w:t>Start the Right Conversation</w:t>
            </w:r>
          </w:p>
        </w:tc>
      </w:tr>
      <w:tr>
        <w:trPr>
          <w:cantSplit/>
        </w:trPr>
        <w:tc>
          <w:tcPr>
            <w:tcW w:type="dxa" w:w="1800"/>
            <w:shd w:fill="F3F6FA"/>
            <w:vAlign w:val="top"/>
            <w:tcMar>
              <w:top w:w="75" w:type="dxa"/>
              <w:start w:w="100" w:type="dxa"/>
              <w:bottom w:w="75" w:type="dxa"/>
              <w:end w:w="100" w:type="dxa"/>
            </w:tcMar>
          </w:tcPr>
          <w:p>
            <w:pPr>
              <w:spacing w:after="0" w:line="240" w:lineRule="auto"/>
            </w:pPr>
            <w:r>
              <w:rPr>
                <w:rFonts w:ascii="Arial" w:hAnsi="Arial"/>
                <w:color w:val="1A1A1A"/>
                <w:sz w:val="16"/>
              </w:rPr>
              <w:t>Intro</w:t>
            </w:r>
          </w:p>
        </w:tc>
        <w:tc>
          <w:tcPr>
            <w:tcW w:type="dxa" w:w="7560"/>
            <w:shd w:fill="F3F6FA"/>
            <w:vAlign w:val="top"/>
            <w:tcMar>
              <w:top w:w="75" w:type="dxa"/>
              <w:start w:w="100" w:type="dxa"/>
              <w:bottom w:w="75" w:type="dxa"/>
              <w:end w:w="100" w:type="dxa"/>
            </w:tcMar>
          </w:tcPr>
          <w:p>
            <w:pPr>
              <w:spacing w:after="0" w:line="240" w:lineRule="auto"/>
            </w:pPr>
            <w:r>
              <w:rPr>
                <w:rFonts w:ascii="Arial" w:hAnsi="Arial"/>
                <w:color w:val="1A1A1A"/>
                <w:sz w:val="16"/>
              </w:rPr>
              <w:t>Use the secure form for product support, privacy requests, research collaboration or business enquiries. Do not send urgent medical information.</w:t>
            </w:r>
          </w:p>
        </w:tc>
      </w:tr>
      <w:tr>
        <w:trPr>
          <w:cantSplit/>
        </w:trPr>
        <w:tc>
          <w:tcPr>
            <w:tcW w:type="dxa" w:w="1800"/>
            <w:vAlign w:val="top"/>
            <w:tcMar>
              <w:top w:w="75" w:type="dxa"/>
              <w:start w:w="100" w:type="dxa"/>
              <w:bottom w:w="75" w:type="dxa"/>
              <w:end w:w="100" w:type="dxa"/>
            </w:tcMar>
          </w:tcPr>
          <w:p>
            <w:pPr>
              <w:spacing w:after="0" w:line="240" w:lineRule="auto"/>
            </w:pPr>
            <w:r>
              <w:rPr>
                <w:rFonts w:ascii="Arial" w:hAnsi="Arial"/>
                <w:color w:val="1A1A1A"/>
                <w:sz w:val="16"/>
              </w:rPr>
              <w:t>CTA</w:t>
            </w:r>
          </w:p>
        </w:tc>
        <w:tc>
          <w:tcPr>
            <w:tcW w:type="dxa" w:w="7560"/>
            <w:vAlign w:val="top"/>
            <w:tcMar>
              <w:top w:w="75" w:type="dxa"/>
              <w:start w:w="100" w:type="dxa"/>
              <w:bottom w:w="75" w:type="dxa"/>
              <w:end w:w="100" w:type="dxa"/>
            </w:tcMar>
          </w:tcPr>
          <w:p>
            <w:pPr>
              <w:spacing w:after="0" w:line="240" w:lineRule="auto"/>
            </w:pPr>
            <w:r>
              <w:rPr>
                <w:rFonts w:ascii="Arial" w:hAnsi="Arial"/>
                <w:color w:val="1A1A1A"/>
                <w:sz w:val="16"/>
              </w:rPr>
              <w:t>Send Enquiry</w:t>
            </w:r>
          </w:p>
        </w:tc>
      </w:tr>
    </w:tbl>
    <w:p>
      <w:pPr>
        <w:spacing w:after="0"/>
      </w:pPr>
    </w:p>
    <w:p>
      <w:pPr>
        <w:pStyle w:val="ListBullet"/>
        <w:spacing w:after="40"/>
      </w:pPr>
      <w:r>
        <w:t>Fields: enquiry type, name, email, message, consent checkbox.</w:t>
      </w:r>
    </w:p>
    <w:p>
      <w:pPr>
        <w:pStyle w:val="ListBullet"/>
        <w:spacing w:after="40"/>
      </w:pPr>
      <w:r>
        <w:t>Message limit: 2,000 characters.</w:t>
      </w:r>
    </w:p>
    <w:p>
      <w:pPr>
        <w:pStyle w:val="ListBullet"/>
        <w:spacing w:after="40"/>
      </w:pPr>
      <w:r>
        <w:t>Confirmation: “Thank you. Your enquiry has been received. We will respond through the contact details you provided.”</w:t>
      </w:r>
    </w:p>
    <w:p>
      <w:pPr>
        <w:pStyle w:val="ListBullet"/>
        <w:spacing w:after="40"/>
      </w:pPr>
      <w:r>
        <w:t>Emergency notice: “This form is not monitored for emergencies. Contact local emergency services if you may be in immediate danger.”</w:t>
      </w:r>
    </w:p>
    <w:p>
      <w:pPr>
        <w:pStyle w:val="Heading2"/>
      </w:pPr>
      <w:r>
        <w:t>/blog — Insights</w:t>
      </w:r>
    </w:p>
    <w:tbl>
      <w:tblPr>
        <w:tblStyle w:val="TableGrid"/>
        <w:tblW w:type="dxa" w:w="9360"/>
        <w:jc w:val="center"/>
        <w:tblLayout w:type="fixed"/>
        <w:tblLook w:firstColumn="1" w:firstRow="1" w:lastColumn="0" w:lastRow="0" w:noHBand="0" w:noVBand="1" w:val="04A0"/>
      </w:tblPr>
      <w:tblGrid>
        <w:gridCol w:w="1800"/>
        <w:gridCol w:w="7560"/>
      </w:tblGrid>
      <w:tr>
        <w:trPr>
          <w:tblHeader w:val="true"/>
          <w:cantSplit/>
        </w:trPr>
        <w:tc>
          <w:tcPr>
            <w:tcW w:type="dxa" w:w="1800"/>
            <w:shd w:fill="1A2A4A"/>
            <w:vAlign w:val="top"/>
            <w:tcMar>
              <w:top w:w="75" w:type="dxa"/>
              <w:start w:w="100" w:type="dxa"/>
              <w:bottom w:w="75" w:type="dxa"/>
              <w:end w:w="100" w:type="dxa"/>
            </w:tcMar>
          </w:tcPr>
          <w:p>
            <w:pPr>
              <w:spacing w:after="0"/>
            </w:pPr>
            <w:r>
              <w:rPr>
                <w:rFonts w:ascii="Arial" w:hAnsi="Arial"/>
                <w:b/>
                <w:color w:val="FFFFFF"/>
                <w:sz w:val="16"/>
              </w:rPr>
              <w:t>Element</w:t>
            </w:r>
          </w:p>
        </w:tc>
        <w:tc>
          <w:tcPr>
            <w:tcW w:type="dxa" w:w="7560"/>
            <w:shd w:fill="1A2A4A"/>
            <w:vAlign w:val="top"/>
            <w:tcMar>
              <w:top w:w="75" w:type="dxa"/>
              <w:start w:w="100" w:type="dxa"/>
              <w:bottom w:w="75" w:type="dxa"/>
              <w:end w:w="100" w:type="dxa"/>
            </w:tcMar>
          </w:tcPr>
          <w:p>
            <w:pPr>
              <w:spacing w:after="0"/>
            </w:pPr>
            <w:r>
              <w:rPr>
                <w:rFonts w:ascii="Arial" w:hAnsi="Arial"/>
                <w:b/>
                <w:color w:val="FFFFFF"/>
                <w:sz w:val="16"/>
              </w:rPr>
              <w:t>Approved copy</w:t>
            </w:r>
          </w:p>
        </w:tc>
      </w:tr>
      <w:tr>
        <w:trPr>
          <w:cantSplit/>
        </w:trPr>
        <w:tc>
          <w:tcPr>
            <w:tcW w:type="dxa" w:w="1800"/>
            <w:vAlign w:val="top"/>
            <w:tcMar>
              <w:top w:w="75" w:type="dxa"/>
              <w:start w:w="100" w:type="dxa"/>
              <w:bottom w:w="75" w:type="dxa"/>
              <w:end w:w="100" w:type="dxa"/>
            </w:tcMar>
          </w:tcPr>
          <w:p>
            <w:pPr>
              <w:spacing w:after="0" w:line="240" w:lineRule="auto"/>
            </w:pPr>
            <w:r>
              <w:rPr>
                <w:rFonts w:ascii="Arial" w:hAnsi="Arial"/>
                <w:color w:val="1A1A1A"/>
                <w:sz w:val="16"/>
              </w:rPr>
              <w:t>Headline</w:t>
            </w:r>
          </w:p>
        </w:tc>
        <w:tc>
          <w:tcPr>
            <w:tcW w:type="dxa" w:w="7560"/>
            <w:vAlign w:val="top"/>
            <w:tcMar>
              <w:top w:w="75" w:type="dxa"/>
              <w:start w:w="100" w:type="dxa"/>
              <w:bottom w:w="75" w:type="dxa"/>
              <w:end w:w="100" w:type="dxa"/>
            </w:tcMar>
          </w:tcPr>
          <w:p>
            <w:pPr>
              <w:spacing w:after="0" w:line="240" w:lineRule="auto"/>
            </w:pPr>
            <w:r>
              <w:rPr>
                <w:rFonts w:ascii="Arial" w:hAnsi="Arial"/>
                <w:color w:val="1A1A1A"/>
                <w:sz w:val="16"/>
              </w:rPr>
              <w:t>Medicine Before Symptoms™ — Insights</w:t>
            </w:r>
          </w:p>
        </w:tc>
      </w:tr>
      <w:tr>
        <w:trPr>
          <w:cantSplit/>
        </w:trPr>
        <w:tc>
          <w:tcPr>
            <w:tcW w:type="dxa" w:w="1800"/>
            <w:shd w:fill="F3F6FA"/>
            <w:vAlign w:val="top"/>
            <w:tcMar>
              <w:top w:w="75" w:type="dxa"/>
              <w:start w:w="100" w:type="dxa"/>
              <w:bottom w:w="75" w:type="dxa"/>
              <w:end w:w="100" w:type="dxa"/>
            </w:tcMar>
          </w:tcPr>
          <w:p>
            <w:pPr>
              <w:spacing w:after="0" w:line="240" w:lineRule="auto"/>
            </w:pPr>
            <w:r>
              <w:rPr>
                <w:rFonts w:ascii="Arial" w:hAnsi="Arial"/>
                <w:color w:val="1A1A1A"/>
                <w:sz w:val="16"/>
              </w:rPr>
              <w:t>Intro</w:t>
            </w:r>
          </w:p>
        </w:tc>
        <w:tc>
          <w:tcPr>
            <w:tcW w:type="dxa" w:w="7560"/>
            <w:shd w:fill="F3F6FA"/>
            <w:vAlign w:val="top"/>
            <w:tcMar>
              <w:top w:w="75" w:type="dxa"/>
              <w:start w:w="100" w:type="dxa"/>
              <w:bottom w:w="75" w:type="dxa"/>
              <w:end w:w="100" w:type="dxa"/>
            </w:tcMar>
          </w:tcPr>
          <w:p>
            <w:pPr>
              <w:spacing w:after="0" w:line="240" w:lineRule="auto"/>
            </w:pPr>
            <w:r>
              <w:rPr>
                <w:rFonts w:ascii="Arial" w:hAnsi="Arial"/>
                <w:color w:val="1A1A1A"/>
                <w:sz w:val="16"/>
              </w:rPr>
              <w:t>Educational articles about metabolism, hunger, sleep, circadian biology, stress, behaviour and responsible health technology.</w:t>
            </w:r>
          </w:p>
        </w:tc>
      </w:tr>
      <w:tr>
        <w:trPr>
          <w:cantSplit/>
        </w:trPr>
        <w:tc>
          <w:tcPr>
            <w:tcW w:type="dxa" w:w="1800"/>
            <w:vAlign w:val="top"/>
            <w:tcMar>
              <w:top w:w="75" w:type="dxa"/>
              <w:start w:w="100" w:type="dxa"/>
              <w:bottom w:w="75" w:type="dxa"/>
              <w:end w:w="100" w:type="dxa"/>
            </w:tcMar>
          </w:tcPr>
          <w:p>
            <w:pPr>
              <w:spacing w:after="0" w:line="240" w:lineRule="auto"/>
            </w:pPr>
            <w:r>
              <w:rPr>
                <w:rFonts w:ascii="Arial" w:hAnsi="Arial"/>
                <w:color w:val="1A1A1A"/>
                <w:sz w:val="16"/>
              </w:rPr>
              <w:t>CTA</w:t>
            </w:r>
          </w:p>
        </w:tc>
        <w:tc>
          <w:tcPr>
            <w:tcW w:type="dxa" w:w="7560"/>
            <w:vAlign w:val="top"/>
            <w:tcMar>
              <w:top w:w="75" w:type="dxa"/>
              <w:start w:w="100" w:type="dxa"/>
              <w:bottom w:w="75" w:type="dxa"/>
              <w:end w:w="100" w:type="dxa"/>
            </w:tcMar>
          </w:tcPr>
          <w:p>
            <w:pPr>
              <w:spacing w:after="0" w:line="240" w:lineRule="auto"/>
            </w:pPr>
            <w:r>
              <w:rPr>
                <w:rFonts w:ascii="Arial" w:hAnsi="Arial"/>
                <w:color w:val="1A1A1A"/>
                <w:sz w:val="16"/>
              </w:rPr>
              <w:t>Explore Insights</w:t>
            </w:r>
          </w:p>
        </w:tc>
      </w:tr>
    </w:tbl>
    <w:p>
      <w:pPr>
        <w:spacing w:after="0"/>
      </w:pPr>
    </w:p>
    <w:p>
      <w:pPr>
        <w:pStyle w:val="ListBullet"/>
        <w:spacing w:after="40"/>
      </w:pPr>
      <w:r>
        <w:t>Every article displays author, review date, sources and educational disclaimer.</w:t>
      </w:r>
    </w:p>
    <w:p>
      <w:pPr>
        <w:pStyle w:val="ListBullet"/>
        <w:spacing w:after="40"/>
      </w:pPr>
      <w:r>
        <w:t>No article is personalized medical advice.</w:t>
      </w:r>
    </w:p>
    <w:p>
      <w:pPr>
        <w:pStyle w:val="ListBullet"/>
        <w:spacing w:after="40"/>
      </w:pPr>
      <w:r>
        <w:t>Launch empty state: “Our first evidence-informed insights are being prepared. Please return soon.”</w:t>
      </w:r>
    </w:p>
    <w:p>
      <w:pPr>
        <w:pStyle w:val="Heading2"/>
      </w:pPr>
      <w:r>
        <w:t>/admin — Protected Administration</w:t>
      </w:r>
    </w:p>
    <w:tbl>
      <w:tblPr>
        <w:tblStyle w:val="TableGrid"/>
        <w:tblW w:type="dxa" w:w="9360"/>
        <w:jc w:val="center"/>
        <w:tblLayout w:type="fixed"/>
        <w:tblLook w:firstColumn="1" w:firstRow="1" w:lastColumn="0" w:lastRow="0" w:noHBand="0" w:noVBand="1" w:val="04A0"/>
      </w:tblPr>
      <w:tblGrid>
        <w:gridCol w:w="1800"/>
        <w:gridCol w:w="7560"/>
      </w:tblGrid>
      <w:tr>
        <w:trPr>
          <w:tblHeader w:val="true"/>
          <w:cantSplit/>
        </w:trPr>
        <w:tc>
          <w:tcPr>
            <w:tcW w:type="dxa" w:w="1800"/>
            <w:shd w:fill="1A2A4A"/>
            <w:vAlign w:val="top"/>
            <w:tcMar>
              <w:top w:w="75" w:type="dxa"/>
              <w:start w:w="100" w:type="dxa"/>
              <w:bottom w:w="75" w:type="dxa"/>
              <w:end w:w="100" w:type="dxa"/>
            </w:tcMar>
          </w:tcPr>
          <w:p>
            <w:pPr>
              <w:spacing w:after="0"/>
            </w:pPr>
            <w:r>
              <w:rPr>
                <w:rFonts w:ascii="Arial" w:hAnsi="Arial"/>
                <w:b/>
                <w:color w:val="FFFFFF"/>
                <w:sz w:val="16"/>
              </w:rPr>
              <w:t>Element</w:t>
            </w:r>
          </w:p>
        </w:tc>
        <w:tc>
          <w:tcPr>
            <w:tcW w:type="dxa" w:w="7560"/>
            <w:shd w:fill="1A2A4A"/>
            <w:vAlign w:val="top"/>
            <w:tcMar>
              <w:top w:w="75" w:type="dxa"/>
              <w:start w:w="100" w:type="dxa"/>
              <w:bottom w:w="75" w:type="dxa"/>
              <w:end w:w="100" w:type="dxa"/>
            </w:tcMar>
          </w:tcPr>
          <w:p>
            <w:pPr>
              <w:spacing w:after="0"/>
            </w:pPr>
            <w:r>
              <w:rPr>
                <w:rFonts w:ascii="Arial" w:hAnsi="Arial"/>
                <w:b/>
                <w:color w:val="FFFFFF"/>
                <w:sz w:val="16"/>
              </w:rPr>
              <w:t>Approved copy</w:t>
            </w:r>
          </w:p>
        </w:tc>
      </w:tr>
      <w:tr>
        <w:trPr>
          <w:cantSplit/>
        </w:trPr>
        <w:tc>
          <w:tcPr>
            <w:tcW w:type="dxa" w:w="1800"/>
            <w:vAlign w:val="top"/>
            <w:tcMar>
              <w:top w:w="75" w:type="dxa"/>
              <w:start w:w="100" w:type="dxa"/>
              <w:bottom w:w="75" w:type="dxa"/>
              <w:end w:w="100" w:type="dxa"/>
            </w:tcMar>
          </w:tcPr>
          <w:p>
            <w:pPr>
              <w:spacing w:after="0" w:line="240" w:lineRule="auto"/>
            </w:pPr>
            <w:r>
              <w:rPr>
                <w:rFonts w:ascii="Arial" w:hAnsi="Arial"/>
                <w:color w:val="1A1A1A"/>
                <w:sz w:val="16"/>
              </w:rPr>
              <w:t>Headline</w:t>
            </w:r>
          </w:p>
        </w:tc>
        <w:tc>
          <w:tcPr>
            <w:tcW w:type="dxa" w:w="7560"/>
            <w:vAlign w:val="top"/>
            <w:tcMar>
              <w:top w:w="75" w:type="dxa"/>
              <w:start w:w="100" w:type="dxa"/>
              <w:bottom w:w="75" w:type="dxa"/>
              <w:end w:w="100" w:type="dxa"/>
            </w:tcMar>
          </w:tcPr>
          <w:p>
            <w:pPr>
              <w:spacing w:after="0" w:line="240" w:lineRule="auto"/>
            </w:pPr>
            <w:r>
              <w:rPr>
                <w:rFonts w:ascii="Arial" w:hAnsi="Arial"/>
                <w:color w:val="1A1A1A"/>
                <w:sz w:val="16"/>
              </w:rPr>
              <w:t>ROOTS-AI™ Administration</w:t>
            </w:r>
          </w:p>
        </w:tc>
      </w:tr>
      <w:tr>
        <w:trPr>
          <w:cantSplit/>
        </w:trPr>
        <w:tc>
          <w:tcPr>
            <w:tcW w:type="dxa" w:w="1800"/>
            <w:shd w:fill="F3F6FA"/>
            <w:vAlign w:val="top"/>
            <w:tcMar>
              <w:top w:w="75" w:type="dxa"/>
              <w:start w:w="100" w:type="dxa"/>
              <w:bottom w:w="75" w:type="dxa"/>
              <w:end w:w="100" w:type="dxa"/>
            </w:tcMar>
          </w:tcPr>
          <w:p>
            <w:pPr>
              <w:spacing w:after="0" w:line="240" w:lineRule="auto"/>
            </w:pPr>
            <w:r>
              <w:rPr>
                <w:rFonts w:ascii="Arial" w:hAnsi="Arial"/>
                <w:color w:val="1A1A1A"/>
                <w:sz w:val="16"/>
              </w:rPr>
              <w:t>Intro</w:t>
            </w:r>
          </w:p>
        </w:tc>
        <w:tc>
          <w:tcPr>
            <w:tcW w:type="dxa" w:w="7560"/>
            <w:shd w:fill="F3F6FA"/>
            <w:vAlign w:val="top"/>
            <w:tcMar>
              <w:top w:w="75" w:type="dxa"/>
              <w:start w:w="100" w:type="dxa"/>
              <w:bottom w:w="75" w:type="dxa"/>
              <w:end w:w="100" w:type="dxa"/>
            </w:tcMar>
          </w:tcPr>
          <w:p>
            <w:pPr>
              <w:spacing w:after="0" w:line="240" w:lineRule="auto"/>
            </w:pPr>
            <w:r>
              <w:rPr>
                <w:rFonts w:ascii="Arial" w:hAnsi="Arial"/>
                <w:color w:val="1A1A1A"/>
                <w:sz w:val="16"/>
              </w:rPr>
              <w:t>Authorized operations only. All access and material actions are logged.</w:t>
            </w:r>
          </w:p>
        </w:tc>
      </w:tr>
      <w:tr>
        <w:trPr>
          <w:cantSplit/>
        </w:trPr>
        <w:tc>
          <w:tcPr>
            <w:tcW w:type="dxa" w:w="1800"/>
            <w:vAlign w:val="top"/>
            <w:tcMar>
              <w:top w:w="75" w:type="dxa"/>
              <w:start w:w="100" w:type="dxa"/>
              <w:bottom w:w="75" w:type="dxa"/>
              <w:end w:w="100" w:type="dxa"/>
            </w:tcMar>
          </w:tcPr>
          <w:p>
            <w:pPr>
              <w:spacing w:after="0" w:line="240" w:lineRule="auto"/>
            </w:pPr>
            <w:r>
              <w:rPr>
                <w:rFonts w:ascii="Arial" w:hAnsi="Arial"/>
                <w:color w:val="1A1A1A"/>
                <w:sz w:val="16"/>
              </w:rPr>
              <w:t>CTA</w:t>
            </w:r>
          </w:p>
        </w:tc>
        <w:tc>
          <w:tcPr>
            <w:tcW w:type="dxa" w:w="7560"/>
            <w:vAlign w:val="top"/>
            <w:tcMar>
              <w:top w:w="75" w:type="dxa"/>
              <w:start w:w="100" w:type="dxa"/>
              <w:bottom w:w="75" w:type="dxa"/>
              <w:end w:w="100" w:type="dxa"/>
            </w:tcMar>
          </w:tcPr>
          <w:p>
            <w:pPr>
              <w:spacing w:after="0" w:line="240" w:lineRule="auto"/>
            </w:pPr>
            <w:r>
              <w:rPr>
                <w:rFonts w:ascii="Arial" w:hAnsi="Arial"/>
                <w:color w:val="1A1A1A"/>
                <w:sz w:val="16"/>
              </w:rPr>
              <w:t>Sign In</w:t>
            </w:r>
          </w:p>
        </w:tc>
      </w:tr>
    </w:tbl>
    <w:p>
      <w:pPr>
        <w:spacing w:after="0"/>
      </w:pPr>
    </w:p>
    <w:p>
      <w:pPr>
        <w:pStyle w:val="ListBullet"/>
        <w:spacing w:after="40"/>
      </w:pPr>
      <w:r>
        <w:t>Navigation: Participants • Assessments • Reports • Configuration • Audit • Research Exports • System Status.</w:t>
      </w:r>
    </w:p>
    <w:p>
      <w:pPr>
        <w:pStyle w:val="ListBullet"/>
        <w:spacing w:after="40"/>
      </w:pPr>
      <w:r>
        <w:t>Configuration states: Draft • Reviewed • Published • Retired.</w:t>
      </w:r>
    </w:p>
    <w:p>
      <w:pPr>
        <w:pStyle w:val="ListBullet"/>
        <w:spacing w:after="40"/>
      </w:pPr>
      <w:r>
        <w:t>Publish warning: “Publishing creates an immutable version for new reports. Historical reports will not be recalculated.”</w:t>
      </w:r>
    </w:p>
    <w:p>
      <w:pPr>
        <w:pStyle w:val="ListBullet"/>
        <w:spacing w:after="40"/>
      </w:pPr>
      <w:r>
        <w:t>Export warning: “Research export requires an approved purpose, role and separate research consent.”</w:t>
      </w:r>
    </w:p>
    <w:p>
      <w:pPr>
        <w:pStyle w:val="Heading1"/>
      </w:pPr>
      <w:r>
        <w:t>4. Privacy Notice — /privacy</w:t>
      </w:r>
    </w:p>
    <w:p>
      <w:pPr>
        <w:pStyle w:val="Heading2"/>
      </w:pPr>
      <w:r>
        <w:t>Who we are</w:t>
      </w:r>
    </w:p>
    <w:p>
      <w:r>
        <w:t>ROOTS AI HEALTH SYSTEMS, Inc. (“ROOTS-AI™”, “we”, “us”) provides an educational biological assessment and reporting service. This notice explains how we handle personal data when you use the Phase 1 web platform.</w:t>
      </w:r>
    </w:p>
    <w:p>
      <w:pPr>
        <w:pStyle w:val="Heading2"/>
      </w:pPr>
      <w:r>
        <w:t>Data we collect</w:t>
      </w:r>
    </w:p>
    <w:p>
      <w:r>
        <w:t>Account and contact information; assessment answers; physical measurements you provide; consent records; generated scores and reports; device, security and audit information; support enquiries; and limited public-site analytics where consent is required. We do not intentionally collect emergency information through the assessment.</w:t>
      </w:r>
    </w:p>
    <w:p>
      <w:pPr>
        <w:pStyle w:val="Heading2"/>
      </w:pPr>
      <w:r>
        <w:t>Why we use it</w:t>
      </w:r>
    </w:p>
    <w:p>
      <w:r>
        <w:t>To provide, secure and improve the service; save and resume assessments; generate and deliver reports; respond to enquiries; meet legal and security obligations; and conduct separately consented research or pilot analysis.</w:t>
      </w:r>
    </w:p>
    <w:p>
      <w:pPr>
        <w:pStyle w:val="Heading2"/>
      </w:pPr>
      <w:r>
        <w:t>Sensitive data</w:t>
      </w:r>
    </w:p>
    <w:p>
      <w:r>
        <w:t>Assessment answers and identifiable wellness information may be sensitive personal data. We process them only for stated purposes and with appropriate consent or other lawful authority required by applicable law.</w:t>
      </w:r>
    </w:p>
    <w:p>
      <w:pPr>
        <w:pStyle w:val="Heading2"/>
      </w:pPr>
      <w:r>
        <w:t>Research</w:t>
      </w:r>
    </w:p>
    <w:p>
      <w:r>
        <w:t>Research participation is optional and requires separate explicit consent. Service access is not conditioned on research consent. Approved research exports are minimized and pseudonymized or de-identified; direct identifiers, authentication data and report narratives are excluded.</w:t>
      </w:r>
    </w:p>
    <w:p>
      <w:pPr>
        <w:pStyle w:val="Heading2"/>
      </w:pPr>
      <w:r>
        <w:t>Providers and transfers</w:t>
      </w:r>
    </w:p>
    <w:p>
      <w:r>
        <w:t>We may use approved hosting, authentication, email, AI-language and security providers under written safeguards. Identifiable assessment data is not sent to an AI provider unless the approved configuration, agreements and minimization controls permit it. Cross-border transfers are assessed and governed under applicable transfer requirements, including documented review of the destination, recipient safeguards and other legally required transfer conditions before deployment.</w:t>
      </w:r>
    </w:p>
    <w:p>
      <w:pPr>
        <w:pStyle w:val="Heading2"/>
      </w:pPr>
      <w:r>
        <w:t>AI use</w:t>
      </w:r>
    </w:p>
    <w:p>
      <w:r>
        <w:t>Deterministic rules calculate scores and classifications. AI may assist with approved explanatory wording using minimized structured inputs. AI does not diagnose, prescribe or change scores.</w:t>
      </w:r>
    </w:p>
    <w:p>
      <w:pPr>
        <w:pStyle w:val="Heading2"/>
      </w:pPr>
      <w:r>
        <w:t>Retention</w:t>
      </w:r>
    </w:p>
    <w:p>
      <w:r>
        <w:t>Assessment, report, consent, audit and security records are retained according to the approved retention schedule and legal needs. Data is deleted or de-identified when no longer required, subject to security backups and legal obligations.</w:t>
      </w:r>
    </w:p>
    <w:p>
      <w:pPr>
        <w:pStyle w:val="Heading2"/>
      </w:pPr>
      <w:r>
        <w:t>Security</w:t>
      </w:r>
    </w:p>
    <w:p>
      <w:r>
        <w:t>We use access controls, MFA for privileged roles, encryption in transit and at rest where supported, private report storage, audit logging, backups and security testing. ROOTS-AI™ maintains a documented personal-data-breach response process and, where applicable, will notify the Personal Data Protection Commissioner and affected data subjects in the manner and time required by law. Where applicable, a Data Protection Officer is appointed and notified to the Commissioner in accordance with current requirements. No system can guarantee absolute security.</w:t>
      </w:r>
    </w:p>
    <w:p>
      <w:pPr>
        <w:pStyle w:val="Heading2"/>
      </w:pPr>
      <w:r>
        <w:t>Your choices and rights</w:t>
      </w:r>
    </w:p>
    <w:p>
      <w:r>
        <w:t>Depending on applicable law, you may request access, correction, deletion, restriction, withdrawal of consent, information about processing or a copy of relevant data. Withdrawal does not affect earlier lawful processing and may limit service functions that require the data.</w:t>
      </w:r>
    </w:p>
    <w:p>
      <w:pPr>
        <w:pStyle w:val="Heading2"/>
      </w:pPr>
      <w:r>
        <w:t>Cookies and analytics</w:t>
      </w:r>
    </w:p>
    <w:p>
      <w:r>
        <w:t>Essential technologies support authentication and security. Optional public-site analytics are used only where permitted and consented. Assessment, report, authentication and admin routes do not use advertising pixels, session replay or behavioural advertising.</w:t>
      </w:r>
    </w:p>
    <w:p>
      <w:pPr>
        <w:pStyle w:val="Heading2"/>
      </w:pPr>
      <w:r>
        <w:t>Children</w:t>
      </w:r>
    </w:p>
    <w:p>
      <w:r>
        <w:t>Production launch is intended for adults aged 18 or older. Participation below 18 is not enabled unless ROOTS-AI™ approves and implements a jurisdiction-specific consent and guardian workflow.</w:t>
      </w:r>
    </w:p>
    <w:p>
      <w:pPr>
        <w:pStyle w:val="Heading2"/>
      </w:pPr>
      <w:r>
        <w:t>Contact</w:t>
      </w:r>
    </w:p>
    <w:p>
      <w:r>
        <w:t>Submit privacy questions or rights requests through the secure Contact page and choose “Privacy”. We may verify identity before fulfilling a request.</w:t>
      </w:r>
    </w:p>
    <w:p>
      <w:pPr>
        <w:pStyle w:val="Heading2"/>
      </w:pPr>
      <w:r>
        <w:t>Updates</w:t>
      </w:r>
    </w:p>
    <w:p>
      <w:r>
        <w:t>We may update this notice when the service or law changes. The page displays the effective date and version; material changes are communicated where required.</w:t>
      </w:r>
    </w:p>
    <w:p>
      <w:pPr>
        <w:pStyle w:val="Callout"/>
      </w:pPr>
      <w:r>
        <w:t>Effective date: 21 July 2026 • Version: 1.0.1. This notice is designed with reference to Malaysia’s Personal Data Protection Act 2010, the Personal Data Protection (Amendment) Act 2024, applicable commencement instruments, and current official guidance and circulars, including data-breach notification, Data Protection Officer and cross-border transfer requirements. It does not represent certification of compliance.</w:t>
      </w:r>
    </w:p>
    <w:p>
      <w:pPr>
        <w:pStyle w:val="Heading1"/>
      </w:pPr>
      <w:r>
        <w:t>5. Terms of Service — /terms</w:t>
      </w:r>
    </w:p>
    <w:p>
      <w:pPr>
        <w:pStyle w:val="Heading2"/>
      </w:pPr>
      <w:r>
        <w:t>Agreement and eligibility</w:t>
      </w:r>
    </w:p>
    <w:p>
      <w:r>
        <w:t>By accessing ROOTS-AI™, you agree to these Terms and the Privacy Notice. You must be at least 18 years old for the production launch unless a separately approved minor workflow applies. Do not use the service if you cannot lawfully agree.</w:t>
      </w:r>
    </w:p>
    <w:p>
      <w:pPr>
        <w:pStyle w:val="Heading2"/>
      </w:pPr>
      <w:r>
        <w:t>Educational service</w:t>
      </w:r>
    </w:p>
    <w:p>
      <w:r>
        <w:t>ROOTS-AI™ provides educational wellness information from self-reported answers. It is not a medical device, healthcare provider, diagnostic service, clinical assessment, prognosis or emergency service.</w:t>
      </w:r>
    </w:p>
    <w:p>
      <w:pPr>
        <w:pStyle w:val="Heading2"/>
      </w:pPr>
      <w:r>
        <w:t>No medical reliance</w:t>
      </w:r>
    </w:p>
    <w:p>
      <w:r>
        <w:t>Do not use ROOTS-AI™ to diagnose, treat or prevent disease, make medication decisions, delay professional care or respond to an emergency. Seek qualified professional advice for medical concerns.</w:t>
      </w:r>
    </w:p>
    <w:p>
      <w:pPr>
        <w:pStyle w:val="Heading2"/>
      </w:pPr>
      <w:r>
        <w:t>Your information</w:t>
      </w:r>
    </w:p>
    <w:p>
      <w:r>
        <w:t>Provide information you are authorized to submit and that reasonably reflects your experience. You are responsible for reviewing your submitted answers and protecting access to your email and Magic Link.</w:t>
      </w:r>
    </w:p>
    <w:p>
      <w:pPr>
        <w:pStyle w:val="Heading2"/>
      </w:pPr>
      <w:r>
        <w:t>Reports and scores</w:t>
      </w:r>
    </w:p>
    <w:p>
      <w:r>
        <w:t>Scores are proprietary questionnaire indicators. They are not clinically validated probabilities of disease, future outcomes or treatment response. Reports may contain AI-assisted wording governed by deterministic outputs and fixed safety rules.</w:t>
      </w:r>
    </w:p>
    <w:p>
      <w:pPr>
        <w:pStyle w:val="Heading2"/>
      </w:pPr>
      <w:r>
        <w:t>Acceptable use</w:t>
      </w:r>
    </w:p>
    <w:p>
      <w:r>
        <w:t>Do not bypass security, access another person’s data, scrape the service, introduce malware, reverse engineer confidential scoring logic, misuse reports for employment or insurance decisions, or represent output as a diagnosis.</w:t>
      </w:r>
    </w:p>
    <w:p>
      <w:pPr>
        <w:pStyle w:val="Heading2"/>
      </w:pPr>
      <w:r>
        <w:t>Intellectual property</w:t>
      </w:r>
    </w:p>
    <w:p>
      <w:r>
        <w:t>ROOTS-AI™ software, content, scoring methods, prompts, designs and trademarks belong to ROOTS AI HEALTH SYSTEMS, Inc. or its licensors. Personal use of your own report is permitted; no other licence is granted.</w:t>
      </w:r>
    </w:p>
    <w:p>
      <w:pPr>
        <w:pStyle w:val="Heading2"/>
      </w:pPr>
      <w:r>
        <w:t>Availability and beta</w:t>
      </w:r>
    </w:p>
    <w:p>
      <w:r>
        <w:t>The service may change, pause or contain beta limitations. We may correct errors, suspend unsafe activity and preserve historical report versions. Future capabilities marked Coming Soon are not part of the current service.</w:t>
      </w:r>
    </w:p>
    <w:p>
      <w:pPr>
        <w:pStyle w:val="Heading2"/>
      </w:pPr>
      <w:r>
        <w:t>Disclaimers</w:t>
      </w:r>
    </w:p>
    <w:p>
      <w:r>
        <w:t>To the extent permitted by law, the service is provided without a guarantee of uninterrupted availability, fitness for a clinical purpose or a particular health or weight outcome. Nothing excludes rights that cannot lawfully be excluded.</w:t>
      </w:r>
    </w:p>
    <w:p>
      <w:pPr>
        <w:pStyle w:val="Heading2"/>
      </w:pPr>
      <w:r>
        <w:t>Limitation</w:t>
      </w:r>
    </w:p>
    <w:p>
      <w:r>
        <w:t>To the extent permitted by law, ROOTS-AI™ is not liable for decisions made by treating educational output as medical advice, indirect loss or loss caused by unauthorized account access outside our reasonable control. Applicable consumer rights remain unaffected.</w:t>
      </w:r>
    </w:p>
    <w:p>
      <w:pPr>
        <w:pStyle w:val="Heading2"/>
      </w:pPr>
      <w:r>
        <w:t>Suspension and termination</w:t>
      </w:r>
    </w:p>
    <w:p>
      <w:r>
        <w:t>You may stop using the service. We may suspend access for security, unlawful use or material breach. Data handling after termination follows the Privacy Notice and retention schedule.</w:t>
      </w:r>
    </w:p>
    <w:p>
      <w:pPr>
        <w:pStyle w:val="Heading2"/>
      </w:pPr>
      <w:r>
        <w:t>Governing framework</w:t>
      </w:r>
    </w:p>
    <w:p>
      <w:r>
        <w:t>The governing-law and forum text for production is a jurisdiction-controlled deployment variable and must be legally approved for each launch market before that market is enabled. Until that approved jurisdiction-specific text is configured, this clause must not be presented as a final governing-law selection. Mandatory consumer and data-protection rights continue to apply.</w:t>
      </w:r>
    </w:p>
    <w:p>
      <w:pPr>
        <w:pStyle w:val="Heading2"/>
      </w:pPr>
      <w:r>
        <w:t>Contact and changes</w:t>
      </w:r>
    </w:p>
    <w:p>
      <w:r>
        <w:t>Questions may be submitted through the Contact page. The current version and effective date appear on this page. Continued use after a notified change constitutes acceptance where permitted by law.</w:t>
      </w:r>
    </w:p>
    <w:p>
      <w:pPr>
        <w:pStyle w:val="Callout"/>
      </w:pPr>
      <w:r>
        <w:t>Effective date: 21 July 2026 • Version: 1.0.1. Final production deployment requires jurisdiction-specific legal review and approval, including the governing-law/forum block, before each launch market is enabled.</w:t>
      </w:r>
    </w:p>
    <w:p>
      <w:pPr>
        <w:pStyle w:val="Heading1"/>
      </w:pPr>
      <w:r>
        <w:t>6. Cookie Notice — /cookies</w:t>
      </w:r>
    </w:p>
    <w:tbl>
      <w:tblPr>
        <w:tblStyle w:val="TableGrid"/>
        <w:tblW w:type="dxa" w:w="9360"/>
        <w:jc w:val="center"/>
        <w:tblLayout w:type="fixed"/>
        <w:tblLook w:firstColumn="1" w:firstRow="1" w:lastColumn="0" w:lastRow="0" w:noHBand="0" w:noVBand="1" w:val="04A0"/>
      </w:tblPr>
      <w:tblGrid>
        <w:gridCol w:w="1900"/>
        <w:gridCol w:w="4300"/>
        <w:gridCol w:w="3160"/>
      </w:tblGrid>
      <w:tr>
        <w:trPr>
          <w:tblHeader w:val="true"/>
          <w:cantSplit/>
        </w:trPr>
        <w:tc>
          <w:tcPr>
            <w:tcW w:type="dxa" w:w="1900"/>
            <w:shd w:fill="1A2A4A"/>
            <w:vAlign w:val="top"/>
            <w:tcMar>
              <w:top w:w="75" w:type="dxa"/>
              <w:start w:w="100" w:type="dxa"/>
              <w:bottom w:w="75" w:type="dxa"/>
              <w:end w:w="100" w:type="dxa"/>
            </w:tcMar>
          </w:tcPr>
          <w:p>
            <w:pPr>
              <w:spacing w:after="0"/>
            </w:pPr>
            <w:r>
              <w:rPr>
                <w:rFonts w:ascii="Arial" w:hAnsi="Arial"/>
                <w:b/>
                <w:color w:val="FFFFFF"/>
                <w:sz w:val="16"/>
              </w:rPr>
              <w:t>Category</w:t>
            </w:r>
          </w:p>
        </w:tc>
        <w:tc>
          <w:tcPr>
            <w:tcW w:type="dxa" w:w="4300"/>
            <w:shd w:fill="1A2A4A"/>
            <w:vAlign w:val="top"/>
            <w:tcMar>
              <w:top w:w="75" w:type="dxa"/>
              <w:start w:w="100" w:type="dxa"/>
              <w:bottom w:w="75" w:type="dxa"/>
              <w:end w:w="100" w:type="dxa"/>
            </w:tcMar>
          </w:tcPr>
          <w:p>
            <w:pPr>
              <w:spacing w:after="0"/>
            </w:pPr>
            <w:r>
              <w:rPr>
                <w:rFonts w:ascii="Arial" w:hAnsi="Arial"/>
                <w:b/>
                <w:color w:val="FFFFFF"/>
                <w:sz w:val="16"/>
              </w:rPr>
              <w:t>Phase 1 treatment</w:t>
            </w:r>
          </w:p>
        </w:tc>
        <w:tc>
          <w:tcPr>
            <w:tcW w:type="dxa" w:w="3160"/>
            <w:shd w:fill="1A2A4A"/>
            <w:vAlign w:val="top"/>
            <w:tcMar>
              <w:top w:w="75" w:type="dxa"/>
              <w:start w:w="100" w:type="dxa"/>
              <w:bottom w:w="75" w:type="dxa"/>
              <w:end w:w="100" w:type="dxa"/>
            </w:tcMar>
          </w:tcPr>
          <w:p>
            <w:pPr>
              <w:spacing w:after="0"/>
            </w:pPr>
            <w:r>
              <w:rPr>
                <w:rFonts w:ascii="Arial" w:hAnsi="Arial"/>
                <w:b/>
                <w:color w:val="FFFFFF"/>
                <w:sz w:val="16"/>
              </w:rPr>
              <w:t>Consent/control</w:t>
            </w:r>
          </w:p>
        </w:tc>
      </w:tr>
      <w:tr>
        <w:trPr>
          <w:cantSplit/>
        </w:trPr>
        <w:tc>
          <w:tcPr>
            <w:tcW w:type="dxa" w:w="1900"/>
            <w:vAlign w:val="top"/>
            <w:tcMar>
              <w:top w:w="75" w:type="dxa"/>
              <w:start w:w="100" w:type="dxa"/>
              <w:bottom w:w="75" w:type="dxa"/>
              <w:end w:w="100" w:type="dxa"/>
            </w:tcMar>
          </w:tcPr>
          <w:p>
            <w:pPr>
              <w:spacing w:after="0" w:line="240" w:lineRule="auto"/>
            </w:pPr>
            <w:r>
              <w:rPr>
                <w:rFonts w:ascii="Arial" w:hAnsi="Arial"/>
                <w:color w:val="1A1A1A"/>
                <w:sz w:val="16"/>
              </w:rPr>
              <w:t>Strictly necessary</w:t>
            </w:r>
          </w:p>
        </w:tc>
        <w:tc>
          <w:tcPr>
            <w:tcW w:type="dxa" w:w="4300"/>
            <w:vAlign w:val="top"/>
            <w:tcMar>
              <w:top w:w="75" w:type="dxa"/>
              <w:start w:w="100" w:type="dxa"/>
              <w:bottom w:w="75" w:type="dxa"/>
              <w:end w:w="100" w:type="dxa"/>
            </w:tcMar>
          </w:tcPr>
          <w:p>
            <w:pPr>
              <w:spacing w:after="0" w:line="240" w:lineRule="auto"/>
            </w:pPr>
            <w:r>
              <w:rPr>
                <w:rFonts w:ascii="Arial" w:hAnsi="Arial"/>
                <w:color w:val="1A1A1A"/>
                <w:sz w:val="16"/>
              </w:rPr>
              <w:t>Authentication, secure sessions, CSRF protection, load balancing and preference storage</w:t>
            </w:r>
          </w:p>
        </w:tc>
        <w:tc>
          <w:tcPr>
            <w:tcW w:type="dxa" w:w="3160"/>
            <w:vAlign w:val="top"/>
            <w:tcMar>
              <w:top w:w="75" w:type="dxa"/>
              <w:start w:w="100" w:type="dxa"/>
              <w:bottom w:w="75" w:type="dxa"/>
              <w:end w:w="100" w:type="dxa"/>
            </w:tcMar>
          </w:tcPr>
          <w:p>
            <w:pPr>
              <w:spacing w:after="0" w:line="240" w:lineRule="auto"/>
            </w:pPr>
            <w:r>
              <w:rPr>
                <w:rFonts w:ascii="Arial" w:hAnsi="Arial"/>
                <w:color w:val="1A1A1A"/>
                <w:sz w:val="16"/>
              </w:rPr>
              <w:t>Always active where necessary for service delivery and security.</w:t>
            </w:r>
          </w:p>
        </w:tc>
      </w:tr>
      <w:tr>
        <w:trPr>
          <w:cantSplit/>
        </w:trPr>
        <w:tc>
          <w:tcPr>
            <w:tcW w:type="dxa" w:w="1900"/>
            <w:shd w:fill="F3F6FA"/>
            <w:vAlign w:val="top"/>
            <w:tcMar>
              <w:top w:w="75" w:type="dxa"/>
              <w:start w:w="100" w:type="dxa"/>
              <w:bottom w:w="75" w:type="dxa"/>
              <w:end w:w="100" w:type="dxa"/>
            </w:tcMar>
          </w:tcPr>
          <w:p>
            <w:pPr>
              <w:spacing w:after="0" w:line="240" w:lineRule="auto"/>
            </w:pPr>
            <w:r>
              <w:rPr>
                <w:rFonts w:ascii="Arial" w:hAnsi="Arial"/>
                <w:color w:val="1A1A1A"/>
                <w:sz w:val="16"/>
              </w:rPr>
              <w:t>Public-site analytics</w:t>
            </w:r>
          </w:p>
        </w:tc>
        <w:tc>
          <w:tcPr>
            <w:tcW w:type="dxa" w:w="4300"/>
            <w:shd w:fill="F3F6FA"/>
            <w:vAlign w:val="top"/>
            <w:tcMar>
              <w:top w:w="75" w:type="dxa"/>
              <w:start w:w="100" w:type="dxa"/>
              <w:bottom w:w="75" w:type="dxa"/>
              <w:end w:w="100" w:type="dxa"/>
            </w:tcMar>
          </w:tcPr>
          <w:p>
            <w:pPr>
              <w:spacing w:after="0" w:line="240" w:lineRule="auto"/>
            </w:pPr>
            <w:r>
              <w:rPr>
                <w:rFonts w:ascii="Arial" w:hAnsi="Arial"/>
                <w:color w:val="1A1A1A"/>
                <w:sz w:val="16"/>
              </w:rPr>
              <w:t>Aggregate page and conversion measurement on public pages only</w:t>
            </w:r>
          </w:p>
        </w:tc>
        <w:tc>
          <w:tcPr>
            <w:tcW w:type="dxa" w:w="3160"/>
            <w:shd w:fill="F3F6FA"/>
            <w:vAlign w:val="top"/>
            <w:tcMar>
              <w:top w:w="75" w:type="dxa"/>
              <w:start w:w="100" w:type="dxa"/>
              <w:bottom w:w="75" w:type="dxa"/>
              <w:end w:w="100" w:type="dxa"/>
            </w:tcMar>
          </w:tcPr>
          <w:p>
            <w:pPr>
              <w:spacing w:after="0" w:line="240" w:lineRule="auto"/>
            </w:pPr>
            <w:r>
              <w:rPr>
                <w:rFonts w:ascii="Arial" w:hAnsi="Arial"/>
                <w:color w:val="1A1A1A"/>
                <w:sz w:val="16"/>
              </w:rPr>
              <w:t>Disabled until required consent; withdraw through cookie controls.</w:t>
            </w:r>
          </w:p>
        </w:tc>
      </w:tr>
      <w:tr>
        <w:trPr>
          <w:cantSplit/>
        </w:trPr>
        <w:tc>
          <w:tcPr>
            <w:tcW w:type="dxa" w:w="1900"/>
            <w:vAlign w:val="top"/>
            <w:tcMar>
              <w:top w:w="75" w:type="dxa"/>
              <w:start w:w="100" w:type="dxa"/>
              <w:bottom w:w="75" w:type="dxa"/>
              <w:end w:w="100" w:type="dxa"/>
            </w:tcMar>
          </w:tcPr>
          <w:p>
            <w:pPr>
              <w:spacing w:after="0" w:line="240" w:lineRule="auto"/>
            </w:pPr>
            <w:r>
              <w:rPr>
                <w:rFonts w:ascii="Arial" w:hAnsi="Arial"/>
                <w:color w:val="1A1A1A"/>
                <w:sz w:val="16"/>
              </w:rPr>
              <w:t>Advertising</w:t>
            </w:r>
          </w:p>
        </w:tc>
        <w:tc>
          <w:tcPr>
            <w:tcW w:type="dxa" w:w="4300"/>
            <w:vAlign w:val="top"/>
            <w:tcMar>
              <w:top w:w="75" w:type="dxa"/>
              <w:start w:w="100" w:type="dxa"/>
              <w:bottom w:w="75" w:type="dxa"/>
              <w:end w:w="100" w:type="dxa"/>
            </w:tcMar>
          </w:tcPr>
          <w:p>
            <w:pPr>
              <w:spacing w:after="0" w:line="240" w:lineRule="auto"/>
            </w:pPr>
            <w:r>
              <w:rPr>
                <w:rFonts w:ascii="Arial" w:hAnsi="Arial"/>
                <w:color w:val="1A1A1A"/>
                <w:sz w:val="16"/>
              </w:rPr>
              <w:t>No behavioural advertising or retargeting in Phase 1</w:t>
            </w:r>
          </w:p>
        </w:tc>
        <w:tc>
          <w:tcPr>
            <w:tcW w:type="dxa" w:w="3160"/>
            <w:vAlign w:val="top"/>
            <w:tcMar>
              <w:top w:w="75" w:type="dxa"/>
              <w:start w:w="100" w:type="dxa"/>
              <w:bottom w:w="75" w:type="dxa"/>
              <w:end w:w="100" w:type="dxa"/>
            </w:tcMar>
          </w:tcPr>
          <w:p>
            <w:pPr>
              <w:spacing w:after="0" w:line="240" w:lineRule="auto"/>
            </w:pPr>
            <w:r>
              <w:rPr>
                <w:rFonts w:ascii="Arial" w:hAnsi="Arial"/>
                <w:color w:val="1A1A1A"/>
                <w:sz w:val="16"/>
              </w:rPr>
              <w:t>Not used.</w:t>
            </w:r>
          </w:p>
        </w:tc>
      </w:tr>
      <w:tr>
        <w:trPr>
          <w:cantSplit/>
        </w:trPr>
        <w:tc>
          <w:tcPr>
            <w:tcW w:type="dxa" w:w="1900"/>
            <w:shd w:fill="F3F6FA"/>
            <w:vAlign w:val="top"/>
            <w:tcMar>
              <w:top w:w="75" w:type="dxa"/>
              <w:start w:w="100" w:type="dxa"/>
              <w:bottom w:w="75" w:type="dxa"/>
              <w:end w:w="100" w:type="dxa"/>
            </w:tcMar>
          </w:tcPr>
          <w:p>
            <w:pPr>
              <w:spacing w:after="0" w:line="240" w:lineRule="auto"/>
            </w:pPr>
            <w:r>
              <w:rPr>
                <w:rFonts w:ascii="Arial" w:hAnsi="Arial"/>
                <w:color w:val="1A1A1A"/>
                <w:sz w:val="16"/>
              </w:rPr>
              <w:t>Session replay</w:t>
            </w:r>
          </w:p>
        </w:tc>
        <w:tc>
          <w:tcPr>
            <w:tcW w:type="dxa" w:w="4300"/>
            <w:shd w:fill="F3F6FA"/>
            <w:vAlign w:val="top"/>
            <w:tcMar>
              <w:top w:w="75" w:type="dxa"/>
              <w:start w:w="100" w:type="dxa"/>
              <w:bottom w:w="75" w:type="dxa"/>
              <w:end w:w="100" w:type="dxa"/>
            </w:tcMar>
          </w:tcPr>
          <w:p>
            <w:pPr>
              <w:spacing w:after="0" w:line="240" w:lineRule="auto"/>
            </w:pPr>
            <w:r>
              <w:rPr>
                <w:rFonts w:ascii="Arial" w:hAnsi="Arial"/>
                <w:color w:val="1A1A1A"/>
                <w:sz w:val="16"/>
              </w:rPr>
              <w:t>Prohibited on assessment, report, authentication and admin routes</w:t>
            </w:r>
          </w:p>
        </w:tc>
        <w:tc>
          <w:tcPr>
            <w:tcW w:type="dxa" w:w="3160"/>
            <w:shd w:fill="F3F6FA"/>
            <w:vAlign w:val="top"/>
            <w:tcMar>
              <w:top w:w="75" w:type="dxa"/>
              <w:start w:w="100" w:type="dxa"/>
              <w:bottom w:w="75" w:type="dxa"/>
              <w:end w:w="100" w:type="dxa"/>
            </w:tcMar>
          </w:tcPr>
          <w:p>
            <w:pPr>
              <w:spacing w:after="0" w:line="240" w:lineRule="auto"/>
            </w:pPr>
            <w:r>
              <w:rPr>
                <w:rFonts w:ascii="Arial" w:hAnsi="Arial"/>
                <w:color w:val="1A1A1A"/>
                <w:sz w:val="16"/>
              </w:rPr>
              <w:t>Not used on protected routes.</w:t>
            </w:r>
          </w:p>
        </w:tc>
      </w:tr>
      <w:tr>
        <w:trPr>
          <w:cantSplit/>
        </w:trPr>
        <w:tc>
          <w:tcPr>
            <w:tcW w:type="dxa" w:w="1900"/>
            <w:vAlign w:val="top"/>
            <w:tcMar>
              <w:top w:w="75" w:type="dxa"/>
              <w:start w:w="100" w:type="dxa"/>
              <w:bottom w:w="75" w:type="dxa"/>
              <w:end w:w="100" w:type="dxa"/>
            </w:tcMar>
          </w:tcPr>
          <w:p>
            <w:pPr>
              <w:spacing w:after="0" w:line="240" w:lineRule="auto"/>
            </w:pPr>
            <w:r>
              <w:rPr>
                <w:rFonts w:ascii="Arial" w:hAnsi="Arial"/>
                <w:color w:val="1A1A1A"/>
                <w:sz w:val="16"/>
              </w:rPr>
              <w:t>Health data</w:t>
            </w:r>
          </w:p>
        </w:tc>
        <w:tc>
          <w:tcPr>
            <w:tcW w:type="dxa" w:w="4300"/>
            <w:vAlign w:val="top"/>
            <w:tcMar>
              <w:top w:w="75" w:type="dxa"/>
              <w:start w:w="100" w:type="dxa"/>
              <w:bottom w:w="75" w:type="dxa"/>
              <w:end w:w="100" w:type="dxa"/>
            </w:tcMar>
          </w:tcPr>
          <w:p>
            <w:pPr>
              <w:spacing w:after="0" w:line="240" w:lineRule="auto"/>
            </w:pPr>
            <w:r>
              <w:rPr>
                <w:rFonts w:ascii="Arial" w:hAnsi="Arial"/>
                <w:color w:val="1A1A1A"/>
                <w:sz w:val="16"/>
              </w:rPr>
              <w:t>Never placed in analytics, advertising or replay payloads</w:t>
            </w:r>
          </w:p>
        </w:tc>
        <w:tc>
          <w:tcPr>
            <w:tcW w:type="dxa" w:w="3160"/>
            <w:vAlign w:val="top"/>
            <w:tcMar>
              <w:top w:w="75" w:type="dxa"/>
              <w:start w:w="100" w:type="dxa"/>
              <w:bottom w:w="75" w:type="dxa"/>
              <w:end w:w="100" w:type="dxa"/>
            </w:tcMar>
          </w:tcPr>
          <w:p>
            <w:pPr>
              <w:spacing w:after="0" w:line="240" w:lineRule="auto"/>
            </w:pPr>
            <w:r>
              <w:rPr>
                <w:rFonts w:ascii="Arial" w:hAnsi="Arial"/>
                <w:color w:val="1A1A1A"/>
                <w:sz w:val="16"/>
              </w:rPr>
              <w:t>Mandatory technical control.</w:t>
            </w:r>
          </w:p>
        </w:tc>
      </w:tr>
    </w:tbl>
    <w:p>
      <w:pPr>
        <w:spacing w:after="0"/>
      </w:pPr>
    </w:p>
    <w:p>
      <w:r>
        <w:t>Cookie banner copy: “We use essential technologies to keep ROOTS-AI™ secure. With your permission, we may use limited analytics on public pages. We do not use advertising pixels or session replay on assessment, report, sign-in or admin pages.” Buttons: “Accept optional analytics” • “Reject optional analytics” • “Manage choices”.</w:t>
      </w:r>
    </w:p>
    <w:p>
      <w:pPr>
        <w:pStyle w:val="Heading1"/>
      </w:pPr>
      <w:r>
        <w:t>7. Medical Disclaimer — /medical-disclaimer</w:t>
      </w:r>
    </w:p>
    <w:p>
      <w:r>
        <w:t>ROOTS-AI™ provides educational wellness information based primarily on self-reported answers. It is not a medical device, doctor, healthcare provider, diagnostic test, clinical risk assessment, prognosis or treatment service. It does not establish a clinician-patient relationship and does not replace medical history, examination, laboratory testing or professional judgment. Do not start, stop or change medication, supplements, diet, exercise or treatment because of a ROOTS-AI™ report without appropriate professional advice. Questionnaire scores are proprietary indicators and are not validated probabilities of disease or future outcomes. Persistent, severe, sudden or worsening symptoms require appropriate professional evaluation. If you believe you may be in immediate danger, contact local emergency services.</w:t>
      </w:r>
    </w:p>
    <w:p>
      <w:pPr>
        <w:pStyle w:val="Heading1"/>
      </w:pPr>
      <w:r>
        <w:t>8. AI Disclaimer — /ai-disclaimer</w:t>
      </w:r>
    </w:p>
    <w:p>
      <w:r>
        <w:t>ROOTS-AI™ uses the approved C-02 v1.0.1 deterministic rules to calculate questionnaire scores, classifications, driver outputs, data-quality indicators and eligible content. C-03 v1.0.1 governs report structure, null states and approved explanation objects. An AI language model may assist only in expressing approved information clearly. The model is not permitted to calculate or change scores, classifications, drivers or null states; diagnose disease; prescribe treatment; interpret laboratory results; or invent participant facts. AI-assisted text can be incomplete or imperfect; fixed validation, logging and fallback rules are applied. Review the underlying answers and limitations, and consult a qualified professional for medical decisions.</w:t>
      </w:r>
    </w:p>
    <w:p>
      <w:pPr>
        <w:pStyle w:val="Heading1"/>
      </w:pPr>
      <w:r>
        <w:t>9. Consent and System Messages</w:t>
      </w:r>
    </w:p>
    <w:tbl>
      <w:tblPr>
        <w:tblStyle w:val="TableGrid"/>
        <w:tblW w:type="dxa" w:w="9360"/>
        <w:jc w:val="center"/>
        <w:tblLayout w:type="fixed"/>
        <w:tblLook w:firstColumn="1" w:firstRow="1" w:lastColumn="0" w:lastRow="0" w:noHBand="0" w:noVBand="1" w:val="04A0"/>
      </w:tblPr>
      <w:tblGrid>
        <w:gridCol w:w="1900"/>
        <w:gridCol w:w="7460"/>
      </w:tblGrid>
      <w:tr>
        <w:trPr>
          <w:tblHeader w:val="true"/>
          <w:cantSplit/>
        </w:trPr>
        <w:tc>
          <w:tcPr>
            <w:tcW w:type="dxa" w:w="1900"/>
            <w:shd w:fill="1A2A4A"/>
            <w:vAlign w:val="top"/>
            <w:tcMar>
              <w:top w:w="75" w:type="dxa"/>
              <w:start w:w="100" w:type="dxa"/>
              <w:bottom w:w="75" w:type="dxa"/>
              <w:end w:w="100" w:type="dxa"/>
            </w:tcMar>
          </w:tcPr>
          <w:p>
            <w:pPr>
              <w:spacing w:after="0"/>
            </w:pPr>
            <w:r>
              <w:rPr>
                <w:rFonts w:ascii="Arial" w:hAnsi="Arial"/>
                <w:b/>
                <w:color w:val="FFFFFF"/>
                <w:sz w:val="16"/>
              </w:rPr>
              <w:t>ID</w:t>
            </w:r>
          </w:p>
        </w:tc>
        <w:tc>
          <w:tcPr>
            <w:tcW w:type="dxa" w:w="7460"/>
            <w:shd w:fill="1A2A4A"/>
            <w:vAlign w:val="top"/>
            <w:tcMar>
              <w:top w:w="75" w:type="dxa"/>
              <w:start w:w="100" w:type="dxa"/>
              <w:bottom w:w="75" w:type="dxa"/>
              <w:end w:w="100" w:type="dxa"/>
            </w:tcMar>
          </w:tcPr>
          <w:p>
            <w:pPr>
              <w:spacing w:after="0"/>
            </w:pPr>
            <w:r>
              <w:rPr>
                <w:rFonts w:ascii="Arial" w:hAnsi="Arial"/>
                <w:b/>
                <w:color w:val="FFFFFF"/>
                <w:sz w:val="16"/>
              </w:rPr>
              <w:t>Approved production copy</w:t>
            </w:r>
          </w:p>
        </w:tc>
      </w:tr>
      <w:tr>
        <w:trPr>
          <w:cantSplit/>
        </w:trPr>
        <w:tc>
          <w:tcPr>
            <w:tcW w:type="dxa" w:w="1900"/>
            <w:vAlign w:val="top"/>
            <w:tcMar>
              <w:top w:w="75" w:type="dxa"/>
              <w:start w:w="100" w:type="dxa"/>
              <w:bottom w:w="75" w:type="dxa"/>
              <w:end w:w="100" w:type="dxa"/>
            </w:tcMar>
          </w:tcPr>
          <w:p>
            <w:pPr>
              <w:spacing w:after="0" w:line="240" w:lineRule="auto"/>
            </w:pPr>
            <w:r>
              <w:rPr>
                <w:rFonts w:ascii="Arial" w:hAnsi="Arial"/>
                <w:color w:val="1A1A1A"/>
                <w:sz w:val="16"/>
              </w:rPr>
              <w:t>CONSENT-SERVICE</w:t>
            </w:r>
          </w:p>
        </w:tc>
        <w:tc>
          <w:tcPr>
            <w:tcW w:type="dxa" w:w="7460"/>
            <w:vAlign w:val="top"/>
            <w:tcMar>
              <w:top w:w="75" w:type="dxa"/>
              <w:start w:w="100" w:type="dxa"/>
              <w:bottom w:w="75" w:type="dxa"/>
              <w:end w:w="100" w:type="dxa"/>
            </w:tcMar>
          </w:tcPr>
          <w:p>
            <w:pPr>
              <w:spacing w:after="0" w:line="240" w:lineRule="auto"/>
            </w:pPr>
            <w:r>
              <w:rPr>
                <w:rFonts w:ascii="Arial" w:hAnsi="Arial"/>
                <w:color w:val="1A1A1A"/>
                <w:sz w:val="16"/>
              </w:rPr>
              <w:t>I agree to the Terms of Service and acknowledge the Privacy Notice and Medical and AI Disclaimers. I understand that ROOTS-AI™ is educational and not a diagnosis or medical service.</w:t>
            </w:r>
          </w:p>
        </w:tc>
      </w:tr>
      <w:tr>
        <w:trPr>
          <w:cantSplit/>
        </w:trPr>
        <w:tc>
          <w:tcPr>
            <w:tcW w:type="dxa" w:w="1900"/>
            <w:shd w:fill="F3F6FA"/>
            <w:vAlign w:val="top"/>
            <w:tcMar>
              <w:top w:w="75" w:type="dxa"/>
              <w:start w:w="100" w:type="dxa"/>
              <w:bottom w:w="75" w:type="dxa"/>
              <w:end w:w="100" w:type="dxa"/>
            </w:tcMar>
          </w:tcPr>
          <w:p>
            <w:pPr>
              <w:spacing w:after="0" w:line="240" w:lineRule="auto"/>
            </w:pPr>
            <w:r>
              <w:rPr>
                <w:rFonts w:ascii="Arial" w:hAnsi="Arial"/>
                <w:color w:val="1A1A1A"/>
                <w:sz w:val="16"/>
              </w:rPr>
              <w:t>CONSENT-RESEARCH</w:t>
            </w:r>
          </w:p>
        </w:tc>
        <w:tc>
          <w:tcPr>
            <w:tcW w:type="dxa" w:w="7460"/>
            <w:shd w:fill="F3F6FA"/>
            <w:vAlign w:val="top"/>
            <w:tcMar>
              <w:top w:w="75" w:type="dxa"/>
              <w:start w:w="100" w:type="dxa"/>
              <w:bottom w:w="75" w:type="dxa"/>
              <w:end w:w="100" w:type="dxa"/>
            </w:tcMar>
          </w:tcPr>
          <w:p>
            <w:pPr>
              <w:spacing w:after="0" w:line="240" w:lineRule="auto"/>
            </w:pPr>
            <w:r>
              <w:rPr>
                <w:rFonts w:ascii="Arial" w:hAnsi="Arial"/>
                <w:color w:val="1A1A1A"/>
                <w:sz w:val="16"/>
              </w:rPr>
              <w:t>Optional: I consent to the use of approved, minimized and pseudonymized assessment data for the research purpose described in the Pilot Information Sheet. I understand that I may decline without losing service access and may withdraw according to the Privacy Notice.</w:t>
            </w:r>
          </w:p>
        </w:tc>
      </w:tr>
      <w:tr>
        <w:trPr>
          <w:cantSplit/>
        </w:trPr>
        <w:tc>
          <w:tcPr>
            <w:tcW w:type="dxa" w:w="1900"/>
            <w:vAlign w:val="top"/>
            <w:tcMar>
              <w:top w:w="75" w:type="dxa"/>
              <w:start w:w="100" w:type="dxa"/>
              <w:bottom w:w="75" w:type="dxa"/>
              <w:end w:w="100" w:type="dxa"/>
            </w:tcMar>
          </w:tcPr>
          <w:p>
            <w:pPr>
              <w:spacing w:after="0" w:line="240" w:lineRule="auto"/>
            </w:pPr>
            <w:r>
              <w:rPr>
                <w:rFonts w:ascii="Arial" w:hAnsi="Arial"/>
                <w:color w:val="1A1A1A"/>
                <w:sz w:val="16"/>
              </w:rPr>
              <w:t>SAVE</w:t>
            </w:r>
          </w:p>
        </w:tc>
        <w:tc>
          <w:tcPr>
            <w:tcW w:type="dxa" w:w="7460"/>
            <w:vAlign w:val="top"/>
            <w:tcMar>
              <w:top w:w="75" w:type="dxa"/>
              <w:start w:w="100" w:type="dxa"/>
              <w:bottom w:w="75" w:type="dxa"/>
              <w:end w:w="100" w:type="dxa"/>
            </w:tcMar>
          </w:tcPr>
          <w:p>
            <w:pPr>
              <w:spacing w:after="0" w:line="240" w:lineRule="auto"/>
            </w:pPr>
            <w:r>
              <w:rPr>
                <w:rFonts w:ascii="Arial" w:hAnsi="Arial"/>
                <w:color w:val="1A1A1A"/>
                <w:sz w:val="16"/>
              </w:rPr>
              <w:t>Saved</w:t>
            </w:r>
          </w:p>
        </w:tc>
      </w:tr>
      <w:tr>
        <w:trPr>
          <w:cantSplit/>
        </w:trPr>
        <w:tc>
          <w:tcPr>
            <w:tcW w:type="dxa" w:w="1900"/>
            <w:shd w:fill="F3F6FA"/>
            <w:vAlign w:val="top"/>
            <w:tcMar>
              <w:top w:w="75" w:type="dxa"/>
              <w:start w:w="100" w:type="dxa"/>
              <w:bottom w:w="75" w:type="dxa"/>
              <w:end w:w="100" w:type="dxa"/>
            </w:tcMar>
          </w:tcPr>
          <w:p>
            <w:pPr>
              <w:spacing w:after="0" w:line="240" w:lineRule="auto"/>
            </w:pPr>
            <w:r>
              <w:rPr>
                <w:rFonts w:ascii="Arial" w:hAnsi="Arial"/>
                <w:color w:val="1A1A1A"/>
                <w:sz w:val="16"/>
              </w:rPr>
              <w:t>SAVE-FAIL</w:t>
            </w:r>
          </w:p>
        </w:tc>
        <w:tc>
          <w:tcPr>
            <w:tcW w:type="dxa" w:w="7460"/>
            <w:shd w:fill="F3F6FA"/>
            <w:vAlign w:val="top"/>
            <w:tcMar>
              <w:top w:w="75" w:type="dxa"/>
              <w:start w:w="100" w:type="dxa"/>
              <w:bottom w:w="75" w:type="dxa"/>
              <w:end w:w="100" w:type="dxa"/>
            </w:tcMar>
          </w:tcPr>
          <w:p>
            <w:pPr>
              <w:spacing w:after="0" w:line="240" w:lineRule="auto"/>
            </w:pPr>
            <w:r>
              <w:rPr>
                <w:rFonts w:ascii="Arial" w:hAnsi="Arial"/>
                <w:color w:val="1A1A1A"/>
                <w:sz w:val="16"/>
              </w:rPr>
              <w:t>We could not save this answer. Check your connection and try again. Your current entry remains on this device until you leave or refresh.</w:t>
            </w:r>
          </w:p>
        </w:tc>
      </w:tr>
      <w:tr>
        <w:trPr>
          <w:cantSplit/>
        </w:trPr>
        <w:tc>
          <w:tcPr>
            <w:tcW w:type="dxa" w:w="1900"/>
            <w:vAlign w:val="top"/>
            <w:tcMar>
              <w:top w:w="75" w:type="dxa"/>
              <w:start w:w="100" w:type="dxa"/>
              <w:bottom w:w="75" w:type="dxa"/>
              <w:end w:w="100" w:type="dxa"/>
            </w:tcMar>
          </w:tcPr>
          <w:p>
            <w:pPr>
              <w:spacing w:after="0" w:line="240" w:lineRule="auto"/>
            </w:pPr>
            <w:r>
              <w:rPr>
                <w:rFonts w:ascii="Arial" w:hAnsi="Arial"/>
                <w:color w:val="1A1A1A"/>
                <w:sz w:val="16"/>
              </w:rPr>
              <w:t>SESSION-EXPIRED</w:t>
            </w:r>
          </w:p>
        </w:tc>
        <w:tc>
          <w:tcPr>
            <w:tcW w:type="dxa" w:w="7460"/>
            <w:vAlign w:val="top"/>
            <w:tcMar>
              <w:top w:w="75" w:type="dxa"/>
              <w:start w:w="100" w:type="dxa"/>
              <w:bottom w:w="75" w:type="dxa"/>
              <w:end w:w="100" w:type="dxa"/>
            </w:tcMar>
          </w:tcPr>
          <w:p>
            <w:pPr>
              <w:spacing w:after="0" w:line="240" w:lineRule="auto"/>
            </w:pPr>
            <w:r>
              <w:rPr>
                <w:rFonts w:ascii="Arial" w:hAnsi="Arial"/>
                <w:color w:val="1A1A1A"/>
                <w:sz w:val="16"/>
              </w:rPr>
              <w:t>For your security, this session has expired. Request a new secure link to continue.</w:t>
            </w:r>
          </w:p>
        </w:tc>
      </w:tr>
      <w:tr>
        <w:trPr>
          <w:cantSplit/>
        </w:trPr>
        <w:tc>
          <w:tcPr>
            <w:tcW w:type="dxa" w:w="1900"/>
            <w:shd w:fill="F3F6FA"/>
            <w:vAlign w:val="top"/>
            <w:tcMar>
              <w:top w:w="75" w:type="dxa"/>
              <w:start w:w="100" w:type="dxa"/>
              <w:bottom w:w="75" w:type="dxa"/>
              <w:end w:w="100" w:type="dxa"/>
            </w:tcMar>
          </w:tcPr>
          <w:p>
            <w:pPr>
              <w:spacing w:after="0" w:line="240" w:lineRule="auto"/>
            </w:pPr>
            <w:r>
              <w:rPr>
                <w:rFonts w:ascii="Arial" w:hAnsi="Arial"/>
                <w:color w:val="1A1A1A"/>
                <w:sz w:val="16"/>
              </w:rPr>
              <w:t>REPORT-GENERATING</w:t>
            </w:r>
          </w:p>
        </w:tc>
        <w:tc>
          <w:tcPr>
            <w:tcW w:type="dxa" w:w="7460"/>
            <w:shd w:fill="F3F6FA"/>
            <w:vAlign w:val="top"/>
            <w:tcMar>
              <w:top w:w="75" w:type="dxa"/>
              <w:start w:w="100" w:type="dxa"/>
              <w:bottom w:w="75" w:type="dxa"/>
              <w:end w:w="100" w:type="dxa"/>
            </w:tcMar>
          </w:tcPr>
          <w:p>
            <w:pPr>
              <w:spacing w:after="0" w:line="240" w:lineRule="auto"/>
            </w:pPr>
            <w:r>
              <w:rPr>
                <w:rFonts w:ascii="Arial" w:hAnsi="Arial"/>
                <w:color w:val="1A1A1A"/>
                <w:sz w:val="16"/>
              </w:rPr>
              <w:t>Your report is being prepared. Scores are calculated first; governed explanatory content follows.</w:t>
            </w:r>
          </w:p>
        </w:tc>
      </w:tr>
      <w:tr>
        <w:trPr>
          <w:cantSplit/>
        </w:trPr>
        <w:tc>
          <w:tcPr>
            <w:tcW w:type="dxa" w:w="1900"/>
            <w:vAlign w:val="top"/>
            <w:tcMar>
              <w:top w:w="75" w:type="dxa"/>
              <w:start w:w="100" w:type="dxa"/>
              <w:bottom w:w="75" w:type="dxa"/>
              <w:end w:w="100" w:type="dxa"/>
            </w:tcMar>
          </w:tcPr>
          <w:p>
            <w:pPr>
              <w:spacing w:after="0" w:line="240" w:lineRule="auto"/>
            </w:pPr>
            <w:r>
              <w:rPr>
                <w:rFonts w:ascii="Arial" w:hAnsi="Arial"/>
                <w:color w:val="1A1A1A"/>
                <w:sz w:val="16"/>
              </w:rPr>
              <w:t>REPORT-FAIL</w:t>
            </w:r>
          </w:p>
        </w:tc>
        <w:tc>
          <w:tcPr>
            <w:tcW w:type="dxa" w:w="7460"/>
            <w:vAlign w:val="top"/>
            <w:tcMar>
              <w:top w:w="75" w:type="dxa"/>
              <w:start w:w="100" w:type="dxa"/>
              <w:bottom w:w="75" w:type="dxa"/>
              <w:end w:w="100" w:type="dxa"/>
            </w:tcMar>
          </w:tcPr>
          <w:p>
            <w:pPr>
              <w:spacing w:after="0" w:line="240" w:lineRule="auto"/>
            </w:pPr>
            <w:r>
              <w:rPr>
                <w:rFonts w:ascii="Arial" w:hAnsi="Arial"/>
                <w:color w:val="1A1A1A"/>
                <w:sz w:val="16"/>
              </w:rPr>
              <w:t>Your answers were submitted safely, but the report could not be completed. Try again later or contact support through the Contact page.</w:t>
            </w:r>
          </w:p>
        </w:tc>
      </w:tr>
      <w:tr>
        <w:trPr>
          <w:cantSplit/>
        </w:trPr>
        <w:tc>
          <w:tcPr>
            <w:tcW w:type="dxa" w:w="1900"/>
            <w:shd w:fill="F3F6FA"/>
            <w:vAlign w:val="top"/>
            <w:tcMar>
              <w:top w:w="75" w:type="dxa"/>
              <w:start w:w="100" w:type="dxa"/>
              <w:bottom w:w="75" w:type="dxa"/>
              <w:end w:w="100" w:type="dxa"/>
            </w:tcMar>
          </w:tcPr>
          <w:p>
            <w:pPr>
              <w:spacing w:after="0" w:line="240" w:lineRule="auto"/>
            </w:pPr>
            <w:r>
              <w:rPr>
                <w:rFonts w:ascii="Arial" w:hAnsi="Arial"/>
                <w:color w:val="1A1A1A"/>
                <w:sz w:val="16"/>
              </w:rPr>
              <w:t>NULL-DOMAIN</w:t>
            </w:r>
          </w:p>
        </w:tc>
        <w:tc>
          <w:tcPr>
            <w:tcW w:type="dxa" w:w="7460"/>
            <w:shd w:fill="F3F6FA"/>
            <w:vAlign w:val="top"/>
            <w:tcMar>
              <w:top w:w="75" w:type="dxa"/>
              <w:start w:w="100" w:type="dxa"/>
              <w:bottom w:w="75" w:type="dxa"/>
              <w:end w:w="100" w:type="dxa"/>
            </w:tcMar>
          </w:tcPr>
          <w:p>
            <w:pPr>
              <w:spacing w:after="0" w:line="240" w:lineRule="auto"/>
            </w:pPr>
            <w:r>
              <w:rPr>
                <w:rFonts w:ascii="Arial" w:hAnsi="Arial"/>
                <w:color w:val="1A1A1A"/>
                <w:sz w:val="16"/>
              </w:rPr>
              <w:t>Not enough information was available to calculate this domain. No missing answer was replaced or guessed.</w:t>
            </w:r>
          </w:p>
        </w:tc>
      </w:tr>
      <w:tr>
        <w:trPr>
          <w:cantSplit/>
        </w:trPr>
        <w:tc>
          <w:tcPr>
            <w:tcW w:type="dxa" w:w="1900"/>
            <w:vAlign w:val="top"/>
            <w:tcMar>
              <w:top w:w="75" w:type="dxa"/>
              <w:start w:w="100" w:type="dxa"/>
              <w:bottom w:w="75" w:type="dxa"/>
              <w:end w:w="100" w:type="dxa"/>
            </w:tcMar>
          </w:tcPr>
          <w:p>
            <w:pPr>
              <w:spacing w:after="0" w:line="240" w:lineRule="auto"/>
            </w:pPr>
            <w:r>
              <w:rPr>
                <w:rFonts w:ascii="Arial" w:hAnsi="Arial"/>
                <w:color w:val="1A1A1A"/>
                <w:sz w:val="16"/>
              </w:rPr>
              <w:t>DELETE-CONFIRM</w:t>
            </w:r>
          </w:p>
        </w:tc>
        <w:tc>
          <w:tcPr>
            <w:tcW w:type="dxa" w:w="7460"/>
            <w:vAlign w:val="top"/>
            <w:tcMar>
              <w:top w:w="75" w:type="dxa"/>
              <w:start w:w="100" w:type="dxa"/>
              <w:bottom w:w="75" w:type="dxa"/>
              <w:end w:w="100" w:type="dxa"/>
            </w:tcMar>
          </w:tcPr>
          <w:p>
            <w:pPr>
              <w:spacing w:after="0" w:line="240" w:lineRule="auto"/>
            </w:pPr>
            <w:r>
              <w:rPr>
                <w:rFonts w:ascii="Arial" w:hAnsi="Arial"/>
                <w:color w:val="1A1A1A"/>
                <w:sz w:val="16"/>
              </w:rPr>
              <w:t>This request may permanently remove eligible service data after identity verification and applicable retention checks. Historical audit records may be retained where legally required.</w:t>
            </w:r>
          </w:p>
        </w:tc>
      </w:tr>
    </w:tbl>
    <w:p>
      <w:pPr>
        <w:spacing w:after="0"/>
      </w:pPr>
    </w:p>
    <w:p>
      <w:pPr>
        <w:pStyle w:val="Heading1"/>
      </w:pPr>
      <w:r>
        <w:t>10. SEO and Metadata</w:t>
      </w:r>
    </w:p>
    <w:tbl>
      <w:tblPr>
        <w:tblStyle w:val="TableGrid"/>
        <w:tblW w:type="dxa" w:w="9360"/>
        <w:jc w:val="center"/>
        <w:tblLayout w:type="fixed"/>
        <w:tblLook w:firstColumn="1" w:firstRow="1" w:lastColumn="0" w:lastRow="0" w:noHBand="0" w:noVBand="1" w:val="04A0"/>
      </w:tblPr>
      <w:tblGrid>
        <w:gridCol w:w="1800"/>
        <w:gridCol w:w="3000"/>
        <w:gridCol w:w="4560"/>
      </w:tblGrid>
      <w:tr>
        <w:trPr>
          <w:tblHeader w:val="true"/>
          <w:cantSplit/>
        </w:trPr>
        <w:tc>
          <w:tcPr>
            <w:tcW w:type="dxa" w:w="1800"/>
            <w:shd w:fill="1A2A4A"/>
            <w:vAlign w:val="top"/>
            <w:tcMar>
              <w:top w:w="75" w:type="dxa"/>
              <w:start w:w="100" w:type="dxa"/>
              <w:bottom w:w="75" w:type="dxa"/>
              <w:end w:w="100" w:type="dxa"/>
            </w:tcMar>
          </w:tcPr>
          <w:p>
            <w:pPr>
              <w:spacing w:after="0"/>
            </w:pPr>
            <w:r>
              <w:rPr>
                <w:rFonts w:ascii="Arial" w:hAnsi="Arial"/>
                <w:b/>
                <w:color w:val="FFFFFF"/>
                <w:sz w:val="16"/>
              </w:rPr>
              <w:t>Route</w:t>
            </w:r>
          </w:p>
        </w:tc>
        <w:tc>
          <w:tcPr>
            <w:tcW w:type="dxa" w:w="3000"/>
            <w:shd w:fill="1A2A4A"/>
            <w:vAlign w:val="top"/>
            <w:tcMar>
              <w:top w:w="75" w:type="dxa"/>
              <w:start w:w="100" w:type="dxa"/>
              <w:bottom w:w="75" w:type="dxa"/>
              <w:end w:w="100" w:type="dxa"/>
            </w:tcMar>
          </w:tcPr>
          <w:p>
            <w:pPr>
              <w:spacing w:after="0"/>
            </w:pPr>
            <w:r>
              <w:rPr>
                <w:rFonts w:ascii="Arial" w:hAnsi="Arial"/>
                <w:b/>
                <w:color w:val="FFFFFF"/>
                <w:sz w:val="16"/>
              </w:rPr>
              <w:t>Title</w:t>
            </w:r>
          </w:p>
        </w:tc>
        <w:tc>
          <w:tcPr>
            <w:tcW w:type="dxa" w:w="4560"/>
            <w:shd w:fill="1A2A4A"/>
            <w:vAlign w:val="top"/>
            <w:tcMar>
              <w:top w:w="75" w:type="dxa"/>
              <w:start w:w="100" w:type="dxa"/>
              <w:bottom w:w="75" w:type="dxa"/>
              <w:end w:w="100" w:type="dxa"/>
            </w:tcMar>
          </w:tcPr>
          <w:p>
            <w:pPr>
              <w:spacing w:after="0"/>
            </w:pPr>
            <w:r>
              <w:rPr>
                <w:rFonts w:ascii="Arial" w:hAnsi="Arial"/>
                <w:b/>
                <w:color w:val="FFFFFF"/>
                <w:sz w:val="16"/>
              </w:rPr>
              <w:t>Description</w:t>
            </w:r>
          </w:p>
        </w:tc>
      </w:tr>
      <w:tr>
        <w:trPr>
          <w:cantSplit/>
        </w:trPr>
        <w:tc>
          <w:tcPr>
            <w:tcW w:type="dxa" w:w="1800"/>
            <w:vAlign w:val="top"/>
            <w:tcMar>
              <w:top w:w="75" w:type="dxa"/>
              <w:start w:w="100" w:type="dxa"/>
              <w:bottom w:w="75" w:type="dxa"/>
              <w:end w:w="100" w:type="dxa"/>
            </w:tcMar>
          </w:tcPr>
          <w:p>
            <w:pPr>
              <w:spacing w:after="0" w:line="240" w:lineRule="auto"/>
            </w:pPr>
            <w:r>
              <w:rPr>
                <w:rFonts w:ascii="Arial" w:hAnsi="Arial"/>
                <w:color w:val="1A1A1A"/>
                <w:sz w:val="16"/>
              </w:rPr>
              <w:t>/</w:t>
            </w:r>
          </w:p>
        </w:tc>
        <w:tc>
          <w:tcPr>
            <w:tcW w:type="dxa" w:w="3000"/>
            <w:vAlign w:val="top"/>
            <w:tcMar>
              <w:top w:w="75" w:type="dxa"/>
              <w:start w:w="100" w:type="dxa"/>
              <w:bottom w:w="75" w:type="dxa"/>
              <w:end w:w="100" w:type="dxa"/>
            </w:tcMar>
          </w:tcPr>
          <w:p>
            <w:pPr>
              <w:spacing w:after="0" w:line="240" w:lineRule="auto"/>
            </w:pPr>
            <w:r>
              <w:rPr>
                <w:rFonts w:ascii="Arial" w:hAnsi="Arial"/>
                <w:color w:val="1A1A1A"/>
                <w:sz w:val="16"/>
              </w:rPr>
              <w:t>ROOTS-AI™ — Decode the Biology Before You Fight the Weight</w:t>
            </w:r>
          </w:p>
        </w:tc>
        <w:tc>
          <w:tcPr>
            <w:tcW w:type="dxa" w:w="4560"/>
            <w:vAlign w:val="top"/>
            <w:tcMar>
              <w:top w:w="75" w:type="dxa"/>
              <w:start w:w="100" w:type="dxa"/>
              <w:bottom w:w="75" w:type="dxa"/>
              <w:end w:w="100" w:type="dxa"/>
            </w:tcMar>
          </w:tcPr>
          <w:p>
            <w:pPr>
              <w:spacing w:after="0" w:line="240" w:lineRule="auto"/>
            </w:pPr>
            <w:r>
              <w:rPr>
                <w:rFonts w:ascii="Arial" w:hAnsi="Arial"/>
                <w:color w:val="1A1A1A"/>
                <w:sz w:val="16"/>
              </w:rPr>
              <w:t>A governed biological assessment and educational report across seven connected domains.</w:t>
            </w:r>
          </w:p>
        </w:tc>
      </w:tr>
      <w:tr>
        <w:trPr>
          <w:cantSplit/>
        </w:trPr>
        <w:tc>
          <w:tcPr>
            <w:tcW w:type="dxa" w:w="1800"/>
            <w:shd w:fill="F3F6FA"/>
            <w:vAlign w:val="top"/>
            <w:tcMar>
              <w:top w:w="75" w:type="dxa"/>
              <w:start w:w="100" w:type="dxa"/>
              <w:bottom w:w="75" w:type="dxa"/>
              <w:end w:w="100" w:type="dxa"/>
            </w:tcMar>
          </w:tcPr>
          <w:p>
            <w:pPr>
              <w:spacing w:after="0" w:line="240" w:lineRule="auto"/>
            </w:pPr>
            <w:r>
              <w:rPr>
                <w:rFonts w:ascii="Arial" w:hAnsi="Arial"/>
                <w:color w:val="1A1A1A"/>
                <w:sz w:val="16"/>
              </w:rPr>
              <w:t>/assessment</w:t>
            </w:r>
          </w:p>
        </w:tc>
        <w:tc>
          <w:tcPr>
            <w:tcW w:type="dxa" w:w="3000"/>
            <w:shd w:fill="F3F6FA"/>
            <w:vAlign w:val="top"/>
            <w:tcMar>
              <w:top w:w="75" w:type="dxa"/>
              <w:start w:w="100" w:type="dxa"/>
              <w:bottom w:w="75" w:type="dxa"/>
              <w:end w:w="100" w:type="dxa"/>
            </w:tcMar>
          </w:tcPr>
          <w:p>
            <w:pPr>
              <w:spacing w:after="0" w:line="240" w:lineRule="auto"/>
            </w:pPr>
            <w:r>
              <w:rPr>
                <w:rFonts w:ascii="Arial" w:hAnsi="Arial"/>
                <w:color w:val="1A1A1A"/>
                <w:sz w:val="16"/>
              </w:rPr>
              <w:t>ROOTS Biological Assessment™</w:t>
            </w:r>
          </w:p>
        </w:tc>
        <w:tc>
          <w:tcPr>
            <w:tcW w:type="dxa" w:w="4560"/>
            <w:shd w:fill="F3F6FA"/>
            <w:vAlign w:val="top"/>
            <w:tcMar>
              <w:top w:w="75" w:type="dxa"/>
              <w:start w:w="100" w:type="dxa"/>
              <w:bottom w:w="75" w:type="dxa"/>
              <w:end w:w="100" w:type="dxa"/>
            </w:tcMar>
          </w:tcPr>
          <w:p>
            <w:pPr>
              <w:spacing w:after="0" w:line="240" w:lineRule="auto"/>
            </w:pPr>
            <w:r>
              <w:rPr>
                <w:rFonts w:ascii="Arial" w:hAnsi="Arial"/>
                <w:color w:val="1A1A1A"/>
                <w:sz w:val="16"/>
              </w:rPr>
              <w:t>Complete 73 questions across 13 modules and receive a transparent educational report.</w:t>
            </w:r>
          </w:p>
        </w:tc>
      </w:tr>
      <w:tr>
        <w:trPr>
          <w:cantSplit/>
        </w:trPr>
        <w:tc>
          <w:tcPr>
            <w:tcW w:type="dxa" w:w="1800"/>
            <w:vAlign w:val="top"/>
            <w:tcMar>
              <w:top w:w="75" w:type="dxa"/>
              <w:start w:w="100" w:type="dxa"/>
              <w:bottom w:w="75" w:type="dxa"/>
              <w:end w:w="100" w:type="dxa"/>
            </w:tcMar>
          </w:tcPr>
          <w:p>
            <w:pPr>
              <w:spacing w:after="0" w:line="240" w:lineRule="auto"/>
            </w:pPr>
            <w:r>
              <w:rPr>
                <w:rFonts w:ascii="Arial" w:hAnsi="Arial"/>
                <w:color w:val="1A1A1A"/>
                <w:sz w:val="16"/>
              </w:rPr>
              <w:t>/example-report</w:t>
            </w:r>
          </w:p>
        </w:tc>
        <w:tc>
          <w:tcPr>
            <w:tcW w:type="dxa" w:w="3000"/>
            <w:vAlign w:val="top"/>
            <w:tcMar>
              <w:top w:w="75" w:type="dxa"/>
              <w:start w:w="100" w:type="dxa"/>
              <w:bottom w:w="75" w:type="dxa"/>
              <w:end w:w="100" w:type="dxa"/>
            </w:tcMar>
          </w:tcPr>
          <w:p>
            <w:pPr>
              <w:spacing w:after="0" w:line="240" w:lineRule="auto"/>
            </w:pPr>
            <w:r>
              <w:rPr>
                <w:rFonts w:ascii="Arial" w:hAnsi="Arial"/>
                <w:color w:val="1A1A1A"/>
                <w:sz w:val="16"/>
              </w:rPr>
              <w:t>ROOTS-AI™ Example Biological Report</w:t>
            </w:r>
          </w:p>
        </w:tc>
        <w:tc>
          <w:tcPr>
            <w:tcW w:type="dxa" w:w="4560"/>
            <w:vAlign w:val="top"/>
            <w:tcMar>
              <w:top w:w="75" w:type="dxa"/>
              <w:start w:w="100" w:type="dxa"/>
              <w:bottom w:w="75" w:type="dxa"/>
              <w:end w:w="100" w:type="dxa"/>
            </w:tcMar>
          </w:tcPr>
          <w:p>
            <w:pPr>
              <w:spacing w:after="0" w:line="240" w:lineRule="auto"/>
            </w:pPr>
            <w:r>
              <w:rPr>
                <w:rFonts w:ascii="Arial" w:hAnsi="Arial"/>
                <w:color w:val="1A1A1A"/>
                <w:sz w:val="16"/>
              </w:rPr>
              <w:t>Explore the 19-section structure using fictional sample data.</w:t>
            </w:r>
          </w:p>
        </w:tc>
      </w:tr>
      <w:tr>
        <w:trPr>
          <w:cantSplit/>
        </w:trPr>
        <w:tc>
          <w:tcPr>
            <w:tcW w:type="dxa" w:w="1800"/>
            <w:shd w:fill="F3F6FA"/>
            <w:vAlign w:val="top"/>
            <w:tcMar>
              <w:top w:w="75" w:type="dxa"/>
              <w:start w:w="100" w:type="dxa"/>
              <w:bottom w:w="75" w:type="dxa"/>
              <w:end w:w="100" w:type="dxa"/>
            </w:tcMar>
          </w:tcPr>
          <w:p>
            <w:pPr>
              <w:spacing w:after="0" w:line="240" w:lineRule="auto"/>
            </w:pPr>
            <w:r>
              <w:rPr>
                <w:rFonts w:ascii="Arial" w:hAnsi="Arial"/>
                <w:color w:val="1A1A1A"/>
                <w:sz w:val="16"/>
              </w:rPr>
              <w:t>/how-it-works</w:t>
            </w:r>
          </w:p>
        </w:tc>
        <w:tc>
          <w:tcPr>
            <w:tcW w:type="dxa" w:w="3000"/>
            <w:shd w:fill="F3F6FA"/>
            <w:vAlign w:val="top"/>
            <w:tcMar>
              <w:top w:w="75" w:type="dxa"/>
              <w:start w:w="100" w:type="dxa"/>
              <w:bottom w:w="75" w:type="dxa"/>
              <w:end w:w="100" w:type="dxa"/>
            </w:tcMar>
          </w:tcPr>
          <w:p>
            <w:pPr>
              <w:spacing w:after="0" w:line="240" w:lineRule="auto"/>
            </w:pPr>
            <w:r>
              <w:rPr>
                <w:rFonts w:ascii="Arial" w:hAnsi="Arial"/>
                <w:color w:val="1A1A1A"/>
                <w:sz w:val="16"/>
              </w:rPr>
              <w:t>How ROOTS-AI™ Works</w:t>
            </w:r>
          </w:p>
        </w:tc>
        <w:tc>
          <w:tcPr>
            <w:tcW w:type="dxa" w:w="4560"/>
            <w:shd w:fill="F3F6FA"/>
            <w:vAlign w:val="top"/>
            <w:tcMar>
              <w:top w:w="75" w:type="dxa"/>
              <w:start w:w="100" w:type="dxa"/>
              <w:bottom w:w="75" w:type="dxa"/>
              <w:end w:w="100" w:type="dxa"/>
            </w:tcMar>
          </w:tcPr>
          <w:p>
            <w:pPr>
              <w:spacing w:after="0" w:line="240" w:lineRule="auto"/>
            </w:pPr>
            <w:r>
              <w:rPr>
                <w:rFonts w:ascii="Arial" w:hAnsi="Arial"/>
                <w:color w:val="1A1A1A"/>
                <w:sz w:val="16"/>
              </w:rPr>
              <w:t>See how deterministic scoring and governed AI-assisted explanations create your report.</w:t>
            </w:r>
          </w:p>
        </w:tc>
      </w:tr>
      <w:tr>
        <w:trPr>
          <w:cantSplit/>
        </w:trPr>
        <w:tc>
          <w:tcPr>
            <w:tcW w:type="dxa" w:w="1800"/>
            <w:vAlign w:val="top"/>
            <w:tcMar>
              <w:top w:w="75" w:type="dxa"/>
              <w:start w:w="100" w:type="dxa"/>
              <w:bottom w:w="75" w:type="dxa"/>
              <w:end w:w="100" w:type="dxa"/>
            </w:tcMar>
          </w:tcPr>
          <w:p>
            <w:pPr>
              <w:spacing w:after="0" w:line="240" w:lineRule="auto"/>
            </w:pPr>
            <w:r>
              <w:rPr>
                <w:rFonts w:ascii="Arial" w:hAnsi="Arial"/>
                <w:color w:val="1A1A1A"/>
                <w:sz w:val="16"/>
              </w:rPr>
              <w:t>/platform</w:t>
            </w:r>
          </w:p>
        </w:tc>
        <w:tc>
          <w:tcPr>
            <w:tcW w:type="dxa" w:w="3000"/>
            <w:vAlign w:val="top"/>
            <w:tcMar>
              <w:top w:w="75" w:type="dxa"/>
              <w:start w:w="100" w:type="dxa"/>
              <w:bottom w:w="75" w:type="dxa"/>
              <w:end w:w="100" w:type="dxa"/>
            </w:tcMar>
          </w:tcPr>
          <w:p>
            <w:pPr>
              <w:spacing w:after="0" w:line="240" w:lineRule="auto"/>
            </w:pPr>
            <w:r>
              <w:rPr>
                <w:rFonts w:ascii="Arial" w:hAnsi="Arial"/>
                <w:color w:val="1A1A1A"/>
                <w:sz w:val="16"/>
              </w:rPr>
              <w:t>ROOTS-AI™ Platform</w:t>
            </w:r>
          </w:p>
        </w:tc>
        <w:tc>
          <w:tcPr>
            <w:tcW w:type="dxa" w:w="4560"/>
            <w:vAlign w:val="top"/>
            <w:tcMar>
              <w:top w:w="75" w:type="dxa"/>
              <w:start w:w="100" w:type="dxa"/>
              <w:bottom w:w="75" w:type="dxa"/>
              <w:end w:w="100" w:type="dxa"/>
            </w:tcMar>
          </w:tcPr>
          <w:p>
            <w:pPr>
              <w:spacing w:after="0" w:line="240" w:lineRule="auto"/>
            </w:pPr>
            <w:r>
              <w:rPr>
                <w:rFonts w:ascii="Arial" w:hAnsi="Arial"/>
                <w:color w:val="1A1A1A"/>
                <w:sz w:val="16"/>
              </w:rPr>
              <w:t>Assessment and governed reporting now; deeper biological layers coming later.</w:t>
            </w:r>
          </w:p>
        </w:tc>
      </w:tr>
      <w:tr>
        <w:trPr>
          <w:cantSplit/>
        </w:trPr>
        <w:tc>
          <w:tcPr>
            <w:tcW w:type="dxa" w:w="1800"/>
            <w:shd w:fill="F3F6FA"/>
            <w:vAlign w:val="top"/>
            <w:tcMar>
              <w:top w:w="75" w:type="dxa"/>
              <w:start w:w="100" w:type="dxa"/>
              <w:bottom w:w="75" w:type="dxa"/>
              <w:end w:w="100" w:type="dxa"/>
            </w:tcMar>
          </w:tcPr>
          <w:p>
            <w:pPr>
              <w:spacing w:after="0" w:line="240" w:lineRule="auto"/>
            </w:pPr>
            <w:r>
              <w:rPr>
                <w:rFonts w:ascii="Arial" w:hAnsi="Arial"/>
                <w:color w:val="1A1A1A"/>
                <w:sz w:val="16"/>
              </w:rPr>
              <w:t>/research</w:t>
            </w:r>
          </w:p>
        </w:tc>
        <w:tc>
          <w:tcPr>
            <w:tcW w:type="dxa" w:w="3000"/>
            <w:shd w:fill="F3F6FA"/>
            <w:vAlign w:val="top"/>
            <w:tcMar>
              <w:top w:w="75" w:type="dxa"/>
              <w:start w:w="100" w:type="dxa"/>
              <w:bottom w:w="75" w:type="dxa"/>
              <w:end w:w="100" w:type="dxa"/>
            </w:tcMar>
          </w:tcPr>
          <w:p>
            <w:pPr>
              <w:spacing w:after="0" w:line="240" w:lineRule="auto"/>
            </w:pPr>
            <w:r>
              <w:rPr>
                <w:rFonts w:ascii="Arial" w:hAnsi="Arial"/>
                <w:color w:val="1A1A1A"/>
                <w:sz w:val="16"/>
              </w:rPr>
              <w:t>ROOTS-AI™ Research</w:t>
            </w:r>
          </w:p>
        </w:tc>
        <w:tc>
          <w:tcPr>
            <w:tcW w:type="dxa" w:w="4560"/>
            <w:shd w:fill="F3F6FA"/>
            <w:vAlign w:val="top"/>
            <w:tcMar>
              <w:top w:w="75" w:type="dxa"/>
              <w:start w:w="100" w:type="dxa"/>
              <w:bottom w:w="75" w:type="dxa"/>
              <w:end w:w="100" w:type="dxa"/>
            </w:tcMar>
          </w:tcPr>
          <w:p>
            <w:pPr>
              <w:spacing w:after="0" w:line="240" w:lineRule="auto"/>
            </w:pPr>
            <w:r>
              <w:rPr>
                <w:rFonts w:ascii="Arial" w:hAnsi="Arial"/>
                <w:color w:val="1A1A1A"/>
                <w:sz w:val="16"/>
              </w:rPr>
              <w:t>Learn about ethical pilots, separate research consent and minimized data use.</w:t>
            </w:r>
          </w:p>
        </w:tc>
      </w:tr>
      <w:tr>
        <w:trPr>
          <w:cantSplit/>
        </w:trPr>
        <w:tc>
          <w:tcPr>
            <w:tcW w:type="dxa" w:w="1800"/>
            <w:vAlign w:val="top"/>
            <w:tcMar>
              <w:top w:w="75" w:type="dxa"/>
              <w:start w:w="100" w:type="dxa"/>
              <w:bottom w:w="75" w:type="dxa"/>
              <w:end w:w="100" w:type="dxa"/>
            </w:tcMar>
          </w:tcPr>
          <w:p>
            <w:pPr>
              <w:spacing w:after="0" w:line="240" w:lineRule="auto"/>
            </w:pPr>
            <w:r>
              <w:rPr>
                <w:rFonts w:ascii="Arial" w:hAnsi="Arial"/>
                <w:color w:val="1A1A1A"/>
                <w:sz w:val="16"/>
              </w:rPr>
              <w:t>/about</w:t>
            </w:r>
          </w:p>
        </w:tc>
        <w:tc>
          <w:tcPr>
            <w:tcW w:type="dxa" w:w="3000"/>
            <w:vAlign w:val="top"/>
            <w:tcMar>
              <w:top w:w="75" w:type="dxa"/>
              <w:start w:w="100" w:type="dxa"/>
              <w:bottom w:w="75" w:type="dxa"/>
              <w:end w:w="100" w:type="dxa"/>
            </w:tcMar>
          </w:tcPr>
          <w:p>
            <w:pPr>
              <w:spacing w:after="0" w:line="240" w:lineRule="auto"/>
            </w:pPr>
            <w:r>
              <w:rPr>
                <w:rFonts w:ascii="Arial" w:hAnsi="Arial"/>
                <w:color w:val="1A1A1A"/>
                <w:sz w:val="16"/>
              </w:rPr>
              <w:t>About ROOTS-AI™</w:t>
            </w:r>
          </w:p>
        </w:tc>
        <w:tc>
          <w:tcPr>
            <w:tcW w:type="dxa" w:w="4560"/>
            <w:vAlign w:val="top"/>
            <w:tcMar>
              <w:top w:w="75" w:type="dxa"/>
              <w:start w:w="100" w:type="dxa"/>
              <w:bottom w:w="75" w:type="dxa"/>
              <w:end w:w="100" w:type="dxa"/>
            </w:tcMar>
          </w:tcPr>
          <w:p>
            <w:pPr>
              <w:spacing w:after="0" w:line="240" w:lineRule="auto"/>
            </w:pPr>
            <w:r>
              <w:rPr>
                <w:rFonts w:ascii="Arial" w:hAnsi="Arial"/>
                <w:color w:val="1A1A1A"/>
                <w:sz w:val="16"/>
              </w:rPr>
              <w:t>Medicine Before Symptoms™ — structured biological intelligence with visible limitations.</w:t>
            </w:r>
          </w:p>
        </w:tc>
      </w:tr>
    </w:tbl>
    <w:p>
      <w:pPr>
        <w:spacing w:after="0"/>
      </w:pPr>
    </w:p>
    <w:p>
      <w:pPr>
        <w:pStyle w:val="Heading1"/>
      </w:pPr>
      <w:r>
        <w:t>11. Official Legal Reference Links</w:t>
      </w:r>
    </w:p>
    <w:p>
      <w:pPr>
        <w:pStyle w:val="ListBullet"/>
        <w:spacing w:after="40"/>
      </w:pPr>
      <w:r>
        <w:t>Malaysia Personal Data Protection Act 2010: https://www.pdp.gov.my/ppdpv1/en/akta/pdp-act-2010-en/</w:t>
      </w:r>
    </w:p>
    <w:p>
      <w:pPr>
        <w:pStyle w:val="ListBullet"/>
        <w:spacing w:after="40"/>
      </w:pPr>
      <w:r>
        <w:t>Personal Data Protection (Amendment) Act 2024: https://www.pdp.gov.my/ppdpv1/en/akta/personal-data-protection-amendment-act-2024/</w:t>
      </w:r>
    </w:p>
    <w:p>
      <w:pPr>
        <w:pStyle w:val="ListBullet"/>
        <w:spacing w:after="40"/>
      </w:pPr>
      <w:r>
        <w:t>Data Breach Notification Guideline: https://www.pdp.gov.my/ppdpv1/wp-content/uploads/2025/08/GP_DBN_ENG.pdf</w:t>
      </w:r>
    </w:p>
    <w:p>
      <w:pPr>
        <w:pStyle w:val="ListBullet"/>
        <w:spacing w:after="40"/>
      </w:pPr>
      <w:r>
        <w:t>Cross-Border Personal Data Transfer Guideline: https://www.pdp.gov.my/ppdpv1/wp-content/uploads/2025/08/GP_CBPDT_EN-1.pdf</w:t>
      </w:r>
    </w:p>
    <w:p>
      <w:pPr>
        <w:pStyle w:val="ListBullet"/>
      </w:pPr>
      <w:r>
        <w:t>Data Protection Officer Guideline/Circular: official Personal Data Protection Commissioner guidance and circulars current at deployment.</w:t>
      </w:r>
    </w:p>
    <w:p>
      <w:pPr>
        <w:pStyle w:val="ListBullet"/>
      </w:pPr>
      <w:r>
        <w:t>Data Protection Impact Assessment, Data Protection by Design and Automated Decision-Making/Profiling guidance: official Personal Data Protection Commissioner guidance current at deployment.</w:t>
      </w:r>
    </w:p>
    <w:sectPr w:rsidR="00FC693F" w:rsidRPr="0006063C" w:rsidSect="00034616">
      <w:headerReference w:type="default" r:id="rId9"/>
      <w:footerReference w:type="default" r:id="rId10"/>
      <w:pgSz w:w="12240" w:h="15840"/>
      <w:pgMar w:top="1123" w:right="1123" w:bottom="1080"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B7280"/>
        <w:sz w:val="16"/>
      </w:rPr>
      <w:t xml:space="preserve">CONFIDENTIAL — C-04  |  </w:t>
    </w:r>
    <w:r>
      <w:rPr>
        <w:rFonts w:ascii="Arial" w:hAnsi="Arial"/>
        <w:color w:val="6B7280"/>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A2A4A"/>
        <w:sz w:val="17"/>
      </w:rPr>
      <w:t>ROOTS-AI™ | C-04 Website Content &amp; Legal Copy Pack v1.0.0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color w:val="1A1A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1A2A4A"/>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2A4060"/>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2A406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40"/>
      <w:ind w:left="173" w:right="173"/>
      <w:shd w:fill="FFF2CC"/>
    </w:pPr>
    <w:rPr>
      <w:rFonts w:ascii="Arial" w:hAnsi="Arial"/>
      <w:b/>
      <w:color w:val="1A2A4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ROOTS-AI C-04 Website Content &amp; Legal Copy Pack v1.0.1 CORRECTED</dc:title>
  <dc:subject>Controlled final website content and legal copy baseline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