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Air India — Business Performance Analysis</w:t>
      </w:r>
    </w:p>
    <w:p>
      <w:pPr>
        <w:pBdr>
          <w:bottom w:val="single" w:color="0D7377" w:sz="6" w:space="1"/>
        </w:pBdr>
        <w:spacing w:before="0" w:after="16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Post-Privatisation Profitability Study  |  FY2023-24  |  Benchmarked vs IndiGo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160"/>
        <w:gridCol w:w="4800"/>
      </w:tblGrid>
      <w:tr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Objective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Analyse Air India's post-privatisation financials, identify the profitability gap vs IndiGo, and develop actionable recommendations.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Approach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Issue tree → Annual report data extraction → Unit economics benchmarking (CASK, RASK, Yield/RPK) → Excel model with scenario analysis.</w:t>
            </w:r>
          </w:p>
        </w:tc>
      </w:tr>
    </w:tbl>
    <w:p>
      <w:pPr>
        <w:spacing w:before="0" w:after="5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p>
      <w:pPr>
        <w:pBdr>
          <w:bottom w:val="single" w:color="0D7377" w:sz="6" w:space="1"/>
        </w:pBdr>
        <w:spacing w:before="80" w:after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BENCHMARK — AIR INDIA VS INDIGO (FY2023-24)</w:t>
      </w:r>
    </w:p>
    <w:p>
      <w:pPr>
        <w:spacing w:before="0" w:after="24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3660"/>
      </w:tblGrid>
      <w:tr>
        <w:tc>
          <w:tcPr>
            <w:tcW w:type="dxa" w:w="27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Air India</w:t>
            </w:r>
          </w:p>
        </w:tc>
        <w:tc>
          <w:tcPr>
            <w:tcW w:type="dxa" w:w="15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IndiGo</w:t>
            </w:r>
          </w:p>
        </w:tc>
        <w:tc>
          <w:tcPr>
            <w:tcW w:type="dxa" w:w="366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 / Insight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CASK (₹ / ASK)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₹ 6.10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₹ 4.38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AI costs 39% more per seat-km — core gap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Yield per RPK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₹ 5.71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₹ 5.08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AI earns 12% more — intl strength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Load Factor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86.1%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85.9%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Nearly identical — strong demand both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Operating Margin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−11.1%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+8.3%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19.4 pt gap — transformation still needed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Airport Fees % Cost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11.6%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7.3%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AI pays 4.3 pts more — ops too spread out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Net Profit / (Loss)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(₹44,441 Mn)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₹81,675 Mn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6"/>
                <w:szCs w:val="16"/>
              </w:rPr>
              <w:t xml:space="preserve">IndiGo profitable; AI loss narrowing fast</w:t>
            </w:r>
          </w:p>
        </w:tc>
      </w:tr>
    </w:tbl>
    <w:p>
      <w:pPr>
        <w:spacing w:before="0" w:after="5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p>
      <w:pPr>
        <w:pBdr>
          <w:bottom w:val="single" w:color="0D7377" w:sz="6" w:space="1"/>
        </w:pBdr>
        <w:spacing w:before="80" w:after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KEY FINDINGS</w:t>
      </w:r>
    </w:p>
    <w:p>
      <w:pPr>
        <w:spacing w:before="0" w:after="2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Loss reducing sharply: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Net loss down 61% YoY — from ₹1,13,879 Mn to ₹44,441 Mn. Transformation is working.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CASK is the core problem: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At ₹6.10 vs IndiGo's ₹4.38, Air India costs 39% more per seat-km — ageing fleet is main driver.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International yield is a strength: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Yield/RPK ₹5.71 exceeds IndiGo's ₹5.08 — international network is an underutilised advantage.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Airport charges too high: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11.6% of costs vs IndiGo's 7.3% — thin ops across too many airports inflate per-flight charges.</w:t>
      </w:r>
    </w:p>
    <w:p>
      <w:pPr>
        <w:pStyle w:val="ListParagraph"/>
        <w:numPr>
          <w:ilvl w:val="0"/>
          <w:numId w:val="2"/>
        </w:numPr>
        <w:spacing w:before="24" w:after="24"/>
      </w:pPr>
      <w:r>
        <w:rPr>
          <w:rFonts w:ascii="Arial" w:cs="Arial" w:eastAsia="Arial" w:hAnsi="Arial"/>
          <w:b/>
          <w:bCs/>
          <w:color w:val="333333"/>
          <w:sz w:val="16"/>
          <w:szCs w:val="16"/>
        </w:rPr>
        <w:t xml:space="preserve">Revenue growing faster than costs: </w:t>
      </w:r>
      <w:r>
        <w:rPr>
          <w:rFonts w:ascii="Arial" w:cs="Arial" w:eastAsia="Arial" w:hAnsi="Arial"/>
          <w:color w:val="333333"/>
          <w:sz w:val="16"/>
          <w:szCs w:val="16"/>
        </w:rPr>
        <w:t xml:space="preserve">Revenue +24% YoY vs costs +22% — positive direction but absolute cost base still too high.</w:t>
      </w:r>
    </w:p>
    <w:p>
      <w:pPr>
        <w:spacing w:before="0" w:after="5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p>
      <w:pPr>
        <w:pBdr>
          <w:bottom w:val="single" w:color="0D7377" w:sz="6" w:space="1"/>
        </w:pBdr>
        <w:spacing w:before="80" w:after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RECOMMENDATIONS</w:t>
      </w:r>
    </w:p>
    <w:p>
      <w:pPr>
        <w:spacing w:before="0" w:after="24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1  </w:t>
      </w: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Accelerate Fleet Modernisation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200"/>
        <w:gridCol w:w="3080"/>
      </w:tblGrid>
      <w:tr>
        <w:tc>
          <w:tcPr>
            <w:tcW w:type="dxa" w:w="30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30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Outcome</w:t>
            </w:r>
          </w:p>
        </w:tc>
      </w:tr>
      <w:tr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Deploy A320neo on high-frequency domestic routes (Delhi–Mumbai, Delhi–Bengaluru) first within the existing 470-aircraft order.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CASK ₹6.10 vs IndiGo ₹4.38 — 39% gap. Each A320neo burns 15% less fuel. Fuel = ₹1,58,534 Mn (35% of total costs).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Reduce CASK from ₹6.10 to below ₹5.00 by FY2027, narrowing cost gap with IndiGo from 39% to under 15%.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2  </w:t>
      </w: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Double Down on International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200"/>
        <w:gridCol w:w="3080"/>
      </w:tblGrid>
      <w:tr>
        <w:tc>
          <w:tcPr>
            <w:tcW w:type="dxa" w:w="30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30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Outcome</w:t>
            </w:r>
          </w:p>
        </w:tc>
      </w:tr>
      <w:tr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Reallocate widebody capacity from thin domestic routes to US, UK, Australia, and Southeast Asia where AI has a structural yield advantage.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Yield/RPK ₹5.71 vs IndiGo ₹5.08 — AI earns 12% more per km. Domestic price competition vs IndiGo is unwinnable at current CASK.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Grow international revenue to 60%+ of total passenger revenue by FY2027, improving blended yield across the network.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3  </w:t>
      </w: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Consolidate Around 3 Primary Hubs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200"/>
        <w:gridCol w:w="3080"/>
      </w:tblGrid>
      <w:tr>
        <w:tc>
          <w:tcPr>
            <w:tcW w:type="dxa" w:w="30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3080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Outcome</w:t>
            </w:r>
          </w:p>
        </w:tc>
      </w:tr>
      <w:tr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Focus operations at Delhi, Mumbai, Bengaluru. Replace thin tier-2 routes with hub connections. Negotiate volume discounts at hubs.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Airport fees 11.6% of AI costs vs IndiGo 7.3% — a 4.3 pt gap worth ~₹19,000 Mn annually from thin multi-airport operations.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Reduce airport fees from 11.6% to below 9% of costs by FY2026, freeing ₹12,000–15,000 Mn for reinvestment.</w:t>
            </w:r>
          </w:p>
        </w:tc>
      </w:tr>
    </w:tbl>
    <w:p>
      <w:pPr>
        <w:spacing w:before="0" w:after="4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/>
      </w:r>
    </w:p>
    <w:p>
      <w:pPr>
        <w:pBdr>
          <w:top w:val="single" w:color="CCCCCC" w:sz="4" w:space="1"/>
        </w:pBdr>
        <w:spacing w:before="30" w:after="0"/>
      </w:pPr>
      <w:r>
        <w:rPr>
          <w:rFonts w:ascii="Arial" w:cs="Arial" w:eastAsia="Arial" w:hAnsi="Arial"/>
          <w:b/>
          <w:bCs/>
          <w:color w:val="666666"/>
          <w:sz w:val="14"/>
          <w:szCs w:val="14"/>
        </w:rPr>
        <w:t xml:space="preserve">Data: </w:t>
      </w:r>
      <w:r>
        <w:rPr>
          <w:rFonts w:ascii="Arial" w:cs="Arial" w:eastAsia="Arial" w:hAnsi="Arial"/>
          <w:color w:val="666666"/>
          <w:sz w:val="14"/>
          <w:szCs w:val="14"/>
        </w:rPr>
        <w:t xml:space="preserve">Air India Annual Report FY2023-24  |  InterGlobe Aviation Annual Report FY2023-24  |  DGCA Traffic Statistics  |  Tools: Microsoft Excel</w:t>
      </w:r>
    </w:p>
    <w:sectPr>
      <w:pgSz w:w="12240" w:h="15840" w:orient="portrait"/>
      <w:pgMar w:top="580" w:right="720" w:bottom="5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  <w:rPr>
        <w:rFonts w:ascii="Arial" w:cs="Arial" w:eastAsia="Arial" w:hAnsi="Arial"/>
        <w:color w:val="0D7377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2026-03-29T14:28:26.915Z</dcterms:created>
  <dcterms:modified xsi:type="dcterms:W3CDTF">2026-03-29T14:28:26.916Z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