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Ambassador Ahmed Sule</w:t>
      </w:r>
    </w:p>
    <w:p>
      <w:pPr>
        <w:pStyle w:val="Subtitle"/>
      </w:pPr>
      <w:r>
        <w:t>Diplomatic leadership and international cooperation</w:t>
      </w:r>
    </w:p>
    <w:p>
      <w:pPr>
        <w:pStyle w:val="Heading1"/>
      </w:pPr>
      <w:r>
        <w:t>Executive Profile</w:t>
      </w:r>
    </w:p>
    <w:p>
      <w:r>
        <w:t>Ambassador Ahmed Sule is a senior career diplomat with experience in foreign policy, economic diplomacy and high-level international engagement. His career encompasses ministerial advisory responsibilities, overseas assignments and participation in major bilateral and multilateral forums. He brings an understanding of how governments work, how international relationships develop and how diplomatic engagement can support national and economic priorities.</w:t>
      </w:r>
    </w:p>
    <w:p>
      <w:r>
        <w:t>This experience provides a substantive foundation for ASGC’s focus on diplomacy, trade and investment. It informs an approach centred on identifying shared interests, building institutional relationships and creating opportunities for purposeful cooperation between public institutions, business and international partners.</w:t>
      </w:r>
    </w:p>
    <w:p>
      <w:pPr>
        <w:pStyle w:val="Heading2"/>
      </w:pPr>
      <w:r>
        <w:t>Senior leadership and public service</w:t>
      </w:r>
    </w:p>
    <w:p>
      <w:r>
        <w:t>His appointments have included Special Assistant on Diplomacy and Foreign Relations to the Honourable Minister of Foreign Affairs; Personal Assistant to the Honourable Minister of State for Foreign Affairs; and Director of Protocol to the Office of the First Lady of the Federal Republic of Nigeria.</w:t>
      </w:r>
    </w:p>
    <w:p>
      <w:r>
        <w:t>He has also served as Director of the Middle East and Gulf Division, Deputy Director for Industry, Trade and Investment, and Assistant Director for European Affairs. His diplomatic progression has encompassed the ranks of Third Secretary, Second Secretary, First Secretary, Counsellor, Senior Counsellor and Minister Counsellor.</w:t>
      </w:r>
    </w:p>
    <w:p>
      <w:pPr>
        <w:pStyle w:val="Heading2"/>
      </w:pPr>
      <w:r>
        <w:t>Overseas service</w:t>
      </w:r>
    </w:p>
    <w:p>
      <w:r>
        <w:t>His postings and international assignments have included Riyadh, Saudi Arabia; New Delhi, India; Dhaka, Bangladesh; Kathmandu, Nepal; Colombo, Sri Lanka; Ottawa, Canada; London, United Kingdom; and the Permanent Mission of Nigeria to the United Nations in New York, United States of America.</w:t>
      </w:r>
    </w:p>
    <w:p>
      <w:pPr>
        <w:pStyle w:val="Heading2"/>
      </w:pPr>
      <w:r>
        <w:t>Professional scope</w:t>
      </w:r>
    </w:p>
    <w:p>
      <w:r>
        <w:t>His work combines policy development and implementation with international negotiations, government relations and stakeholder engagement. Responsibilities in protocol administration, public diplomacy and crisis management complement his experience across regional portfolios and international institutions.</w:t>
      </w:r>
    </w:p>
    <w:p>
      <w:r>
        <w:br w:type="page"/>
      </w:r>
    </w:p>
    <w:p>
      <w:pPr>
        <w:pStyle w:val="Title"/>
      </w:pPr>
      <w:r>
        <w:t>Economic and Multilateral Diplomacy</w:t>
      </w:r>
    </w:p>
    <w:p>
      <w:pPr>
        <w:pStyle w:val="Heading2"/>
      </w:pPr>
      <w:r>
        <w:t>Investment promotion and bilateral outcomes</w:t>
      </w:r>
    </w:p>
    <w:p>
      <w:r>
        <w:t>During the G20 Summit in New Delhi, Ambassador Sule helped facilitate investment pledges valued at approximately US$14 billion across priority sectors through diplomatic engagement, strategic liaison and investment promotion. He also helped facilitate the State Visit of President Bola Ahmed Tinubu, GCFR, to Qatar, contributing to the diplomatic work surrounding the signing of eight bilateral agreements and Memoranda of Understanding in Doha.</w:t>
      </w:r>
    </w:p>
    <w:p>
      <w:r>
        <w:t>He supported Nigeria’s international legal and diplomatic engagement in the P&amp;ID matter as part of the wider efforts associated with the Federal Government’s successful defence before the Commercial Court in London.</w:t>
      </w:r>
    </w:p>
    <w:p>
      <w:pPr>
        <w:pStyle w:val="Heading2"/>
      </w:pPr>
      <w:r>
        <w:t>Bilateral commissions and commercial engagement</w:t>
      </w:r>
    </w:p>
    <w:p>
      <w:r>
        <w:t>In 2001, he served on the Nigerian delegation to the South Africa–Nigeria Bi-National Commission’s Foreign Affairs and Cooperation Working Group consultations in Pretoria. In 2012, he coordinated the Minister of Foreign Affairs’ official visit to Ottawa for the signing ceremony of the Canada–Nigeria Bi-National Commission. He subsequently participated in the Canada–Nigeria Investment Conference, Canada–Nigeria Synergy 2020, held in Toronto in May 2013.</w:t>
      </w:r>
    </w:p>
    <w:p>
      <w:pPr>
        <w:pStyle w:val="Heading2"/>
      </w:pPr>
      <w:r>
        <w:t>United Nations and international security</w:t>
      </w:r>
    </w:p>
    <w:p>
      <w:r>
        <w:t>He served as a delegate to the United Nations General Assembly sessions of 1998, 1999 and 2000, and to the United Nations Millennium Summit in September 2000. His security-related engagements included participation in the UN Disarmament Commission’s substantive sessions in 1998, 1999 and 2000, and service as a delegate to the 2000 Review Conference of the Treaty on the Non-Proliferation of Nuclear Weapons in New York.</w:t>
      </w:r>
    </w:p>
    <w:p>
      <w:pPr>
        <w:pStyle w:val="Heading2"/>
      </w:pPr>
      <w:r>
        <w:t>South South and Islamic multilateral cooperation</w:t>
      </w:r>
    </w:p>
    <w:p>
      <w:r>
        <w:t>His engagements included the Second South Summit of the Group of 77 and China in Doha in 2005; the 21st session of the Standing Committee for Economic and Commercial Cooperation in Istanbul that year; and the 31st Annual Meeting of the Board of Governors of the Islamic Development Bank in Kuwait City in 2006.</w:t>
      </w:r>
    </w:p>
    <w:p>
      <w:r>
        <w:t>He also participated in the Islamic Conference of Foreign Ministers in Sana’a in 2005 and Baku in 2006, and attended the Extraordinary Islamic Summit in Makkah in 2005. These engagements complemented his responsibilities in Middle East and Gulf affairs.</w:t>
      </w:r>
    </w:p>
    <w:p>
      <w:r>
        <w:br w:type="page"/>
      </w:r>
    </w:p>
    <w:p>
      <w:pPr>
        <w:pStyle w:val="Title"/>
      </w:pPr>
      <w:r>
        <w:t>International Engagement and Education</w:t>
      </w:r>
    </w:p>
    <w:p>
      <w:pPr>
        <w:pStyle w:val="Heading2"/>
      </w:pPr>
      <w:r>
        <w:t>Presidential and summit diplomacy</w:t>
      </w:r>
    </w:p>
    <w:p>
      <w:r>
        <w:t>In his protocol capacity, Ambassador Sule accompanied the President and First Lady on major international engagements, including the World Economic Forum in Davos in 2008, the Commonwealth Heads of Government Meeting in Kampala in 2007, the Africa–EU Summit in Lisbon in 2007 and the African Union Summit in Addis Ababa in 2008. His assignments also encompassed official visits to the United States, the United Kingdom, China and South Africa.</w:t>
      </w:r>
    </w:p>
    <w:p>
      <w:pPr>
        <w:pStyle w:val="Heading2"/>
      </w:pPr>
      <w:r>
        <w:t>Parliamentary and diaspora engagement</w:t>
      </w:r>
    </w:p>
    <w:p>
      <w:r>
        <w:t>He coordinated Senate President David Mark’s participation in the 127th Assembly of the Inter-Parliamentary Union in Quebec City in 2012. In the same year, he arranged a Toronto town hall meeting between Deputy Senate President Ike Ekweremadu and members of the Nigerian diaspora, linking senior public leadership with Nigerians overseas.</w:t>
      </w:r>
    </w:p>
    <w:p>
      <w:pPr>
        <w:pStyle w:val="Heading2"/>
      </w:pPr>
      <w:r>
        <w:t>Peace and development cooperation</w:t>
      </w:r>
    </w:p>
    <w:p>
      <w:r>
        <w:t>He coordinated the First Lady’s participation in the African First Ladies Peace Mission Conference in Brazzaville in 2008, where she was elected President of the organisation. His development-related responsibilities included arranging a workshop with UNFPA on maternal and infant mortality and supporting the First Lady’s participation in the UNESCO African regional conference on literacy in Bamako in 2007.</w:t>
      </w:r>
    </w:p>
    <w:p>
      <w:pPr>
        <w:pStyle w:val="Heading2"/>
      </w:pPr>
      <w:r>
        <w:t>Education and professional training</w:t>
      </w:r>
    </w:p>
    <w:p>
      <w:r>
        <w:t>Ambassador Sule attended Kofar Naisa Primary School, Rumfa College, Bayero University, Kano, and the Foreign Service Academy, Lagos. He also undertook UNITAR training at United Nations Headquarters in New York, conducted by Seton Hall University, New Jersey, United States of America.</w:t>
      </w:r>
    </w:p>
    <w:p>
      <w:pPr>
        <w:pStyle w:val="Heading2"/>
      </w:pPr>
      <w:r>
        <w:t>Professional enquiries</w:t>
      </w:r>
    </w:p>
    <w:p>
      <w:r>
        <w:t>Abuja, Nigeria</w:t>
        <w:br/>
        <w:t>Email: ahmedsule64@gmail.com</w:t>
        <w:br/>
        <w:t>Telephone: +234 805 757 6575</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Cambria" w:hAnsi="Cambr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Ambassador Ahmed Sule ASGC Executive Profile</dc:title>
  <dc:subject/>
  <dc:creator>Ambassador Ahmed Sule</dc:creator>
  <cp:keywords/>
  <dc:description>generated by python-docx</dc:description>
  <cp:lastModifiedBy/>
  <cp:revision>1</cp:revision>
  <dcterms:created xsi:type="dcterms:W3CDTF">2013-12-23T23:15:00Z</dcterms:created>
  <dcterms:modified xsi:type="dcterms:W3CDTF">2013-12-23T23:15:00Z</dcterms:modified>
  <cp:category/>
</cp:coreProperties>
</file>