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A1628"/>
            <w:tcW w:w="1984" w:type="dxa"/>
            <w:tcMar>
              <w:top w:w="100" w:type="dxa"/>
              <w:bottom w:w="100" w:type="dxa"/>
              <w:left w:w="140" w:type="dxa"/>
              <w:right w:w="80" w:type="dxa"/>
            </w:tcMar>
            <w:tcBorders>
              <w:top w:val="none" w:sz="0" w:space="0" w:color="0A1628"/>
              <w:left w:val="none" w:sz="0" w:space="0" w:color="0A1628"/>
              <w:bottom w:val="none" w:sz="0" w:space="0" w:color="0A1628"/>
              <w:right w:val="none" w:sz="0" w:space="0" w:color="0A1628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5691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mpany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569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shd w:val="clear" w:color="auto" w:fill="0A1628"/>
            <w:tcW w:w="7654" w:type="dxa"/>
            <w:tcMar>
              <w:top w:w="100" w:type="dxa"/>
              <w:bottom w:w="100" w:type="dxa"/>
              <w:left w:w="80" w:type="dxa"/>
              <w:right w:w="140" w:type="dxa"/>
            </w:tcMar>
            <w:tcBorders>
              <w:top w:val="none" w:sz="0" w:space="0" w:color="0A1628"/>
              <w:left w:val="none" w:sz="0" w:space="0" w:color="0A1628"/>
              <w:bottom w:val="none" w:sz="0" w:space="0" w:color="0A1628"/>
              <w:right w:val="none" w:sz="0" w:space="0" w:color="0A1628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36"/>
              </w:rPr>
              <w:t>ALSHUMOOKH</w:t>
            </w:r>
            <w:r>
              <w:rPr>
                <w:rFonts w:ascii="Calibri" w:hAnsi="Calibri"/>
                <w:b w:val="0"/>
                <w:color w:val="FFFFFF"/>
                <w:sz w:val="22"/>
              </w:rPr>
              <w:t xml:space="preserve"> GLOBAL BANKING FINANCE &amp; CREDIT</w:t>
            </w:r>
          </w:p>
          <w:p>
            <w:pPr>
              <w:jc w:val="left"/>
            </w:pPr>
            <w:r>
              <w:rPr>
                <w:rFonts w:ascii="Calibri" w:hAnsi="Calibri"/>
                <w:color w:val="EDD98A"/>
                <w:sz w:val="16"/>
              </w:rPr>
              <w:t>https://api.alshumookh-pay.com   |   ceo@alshumookhgroup.ae   |   Lic. 887065</w:t>
            </w:r>
          </w:p>
          <w:p>
            <w:r>
              <w:rPr>
                <w:rFonts w:ascii="Calibri" w:hAnsi="Calibri"/>
                <w:color w:val="C5CDD8"/>
                <w:sz w:val="15"/>
              </w:rPr>
              <w:t>API World Tower, Office 2103/2104, Shaikh Zayed Road, Dubai, UAE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C9A84C"/>
            <w:tcW w:w="9639" w:type="dxa"/>
            <w:tcBorders>
              <w:top w:val="none" w:sz="0" w:space="0" w:color="C9A84C"/>
              <w:left w:val="none" w:sz="0" w:space="0" w:color="C9A84C"/>
              <w:bottom w:val="none" w:sz="0" w:space="0" w:color="C9A84C"/>
              <w:right w:val="none" w:sz="0" w:space="0" w:color="C9A84C"/>
            </w:tcBorders>
          </w:tcPr>
          <w:p>
            <w:pPr>
              <w:spacing w:before="20" w:after="20"/>
            </w:pPr>
          </w:p>
        </w:tc>
      </w:tr>
    </w:tbl>
    <w:p>
      <w:pPr>
        <w:spacing w:before="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W w:w="56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7"/>
              </w:rPr>
              <w:t>Ref: ALSH-2026-SENDER-ASSURANCE-001</w:t>
            </w:r>
          </w:p>
        </w:tc>
        <w:tc>
          <w:tcPr>
            <w:tcW w:type="dxa" w:w="4819"/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4A5D70"/>
                <w:sz w:val="17"/>
              </w:rPr>
              <w:t>Date: May 12, 2026</w:t>
            </w:r>
          </w:p>
        </w:tc>
      </w:tr>
    </w:tbl>
    <w:p>
      <w:pPr>
        <w:spacing w:before="0" w:after="160"/>
      </w:pPr>
    </w:p>
    <w:p>
      <w:pPr>
        <w:pBdr>
          <w:bottom w:val="single" w:sz="6" w:space="1" w:color="C9A84C"/>
        </w:pBd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A1628"/>
            <w:tcW w:w="9639" w:type="dx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9A84C"/>
              <w:left w:val="single" w:sz="20" w:space="0" w:color="C9A84C"/>
              <w:bottom w:val="single" w:sz="6" w:space="0" w:color="C9A84C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22"/>
              </w:rPr>
              <w:t>SUBJECT:  Technical &amp; Security Assurance Package — API Integration Counterparty Notice</w:t>
            </w:r>
          </w:p>
        </w:tc>
      </w:tr>
    </w:tbl>
    <w:p>
      <w:pPr>
        <w:spacing w:before="0" w:after="200"/>
      </w:pPr>
    </w:p>
    <w:p>
      <w:pPr>
        <w:jc w:val="left"/>
        <w:spacing w:before="0" w:after="100"/>
      </w:pPr>
      <w:r>
        <w:rPr>
          <w:rFonts w:ascii="Calibri" w:hAnsi="Calibri"/>
          <w:b/>
          <w:i w:val="0"/>
          <w:color w:val="1C2A38"/>
          <w:sz w:val="22"/>
        </w:rPr>
        <w:t>Dear Valued Partner,</w:t>
      </w:r>
    </w:p>
    <w:p>
      <w:pPr>
        <w:jc w:val="left"/>
        <w:spacing w:before="0" w:after="80"/>
      </w:pPr>
      <w:r>
        <w:rPr>
          <w:rFonts w:ascii="Calibri" w:hAnsi="Calibri"/>
          <w:b w:val="0"/>
          <w:i w:val="0"/>
          <w:color w:val="1C2A38"/>
          <w:sz w:val="21"/>
        </w:rPr>
        <w:t>We are pleased to present this formal Technical and Security Assurance Package on behalf of Alshumookh Global Banking Financing and Credit, in connection with our proposed API-to-API settlement integration. This letter, together with the attached documentation, is intended to provide you with complete transparency regarding our platform's technical architecture, active security controls, and compliance roadmap.</w:t>
      </w:r>
    </w:p>
    <w:p>
      <w:pPr>
        <w:jc w:val="left"/>
        <w:spacing w:before="0" w:after="120"/>
      </w:pPr>
      <w:r>
        <w:rPr>
          <w:rFonts w:ascii="Calibri" w:hAnsi="Calibri"/>
          <w:b w:val="0"/>
          <w:i w:val="0"/>
          <w:color w:val="1C2A38"/>
          <w:sz w:val="21"/>
        </w:rPr>
        <w:t>Our platform is fully operational on a dedicated production domain and has been designed from the ground up to meet institutional-grade API integration requirements. The following sections address each area of technical and operational assurance in detail.</w:t>
      </w:r>
    </w:p>
    <w:p>
      <w:pPr>
        <w:pBdr>
          <w:bottom w:val="single" w:sz="6" w:space="1" w:color="C9A84C"/>
        </w:pBdr>
        <w:spacing w:before="0" w:after="80"/>
      </w:pPr>
    </w:p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C9A84C"/>
            <w:tcW w:w="680" w:type="dxa"/>
            <w:tcMar>
              <w:top w:w="70" w:type="dxa"/>
              <w:bottom w:w="70" w:type="dxa"/>
              <w:left w:w="80" w:type="dxa"/>
              <w:right w:w="60" w:type="dxa"/>
            </w:tcMar>
            <w:tcBorders>
              <w:top w:val="none" w:sz="0" w:space="0" w:color="0A1628"/>
              <w:left w:val="none" w:sz="0" w:space="0" w:color="0A1628"/>
              <w:bottom w:val="none" w:sz="0" w:space="0" w:color="0A1628"/>
              <w:right w:val="none" w:sz="0" w:space="0" w:color="0A162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0A1628"/>
                <w:sz w:val="22"/>
              </w:rPr>
              <w:t>01</w:t>
            </w:r>
          </w:p>
        </w:tc>
        <w:tc>
          <w:tcPr>
            <w:tcW w:type="dxa" w:w="4819"/>
            <w:shd w:val="clear" w:color="auto" w:fill="0A1628"/>
            <w:tcW w:w="8958" w:type="dxa"/>
            <w:tcMar>
              <w:top w:w="70" w:type="dxa"/>
              <w:bottom w:w="70" w:type="dxa"/>
              <w:left w:w="120" w:type="dxa"/>
              <w:right w:w="80" w:type="dxa"/>
            </w:tcMar>
            <w:tcBorders>
              <w:top w:val="none" w:sz="0" w:space="0" w:color="0A1628"/>
              <w:left w:val="none" w:sz="0" w:space="0" w:color="0A1628"/>
              <w:bottom w:val="none" w:sz="0" w:space="0" w:color="0A1628"/>
              <w:right w:val="none" w:sz="0" w:space="0" w:color="0A162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22"/>
              </w:rPr>
              <w:t>PLATFORM STATUS &amp; PRODUCTION ENVIRONMENT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EF3FA"/>
            <w:tcW w:w="2551" w:type="dxa"/>
            <w:tcMar>
              <w:top w:w="55" w:type="dxa"/>
              <w:bottom w:w="55" w:type="dxa"/>
              <w:left w:w="100" w:type="dxa"/>
              <w:right w:w="80" w:type="dxa"/>
            </w:tcMar>
            <w:tcBorders>
              <w:top w:val="single" w:sz="2" w:space="0" w:color="C5CDD8"/>
              <w:left w:val="single" w:sz="6" w:space="0" w:color="C9A84C"/>
              <w:bottom w:val="single" w:sz="2" w:space="0" w:color="C5CDD8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Platform URL</w:t>
            </w:r>
          </w:p>
        </w:tc>
        <w:tc>
          <w:tcPr>
            <w:tcW w:type="dxa" w:w="4819"/>
            <w:shd w:val="clear" w:color="auto" w:fill="FFFFFF"/>
            <w:tcW w:w="7087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https://api.alshumookh-pay.com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EF3FA"/>
            <w:tcW w:w="2551" w:type="dxa"/>
            <w:tcMar>
              <w:top w:w="55" w:type="dxa"/>
              <w:bottom w:w="55" w:type="dxa"/>
              <w:left w:w="100" w:type="dxa"/>
              <w:right w:w="80" w:type="dxa"/>
            </w:tcMar>
            <w:tcBorders>
              <w:top w:val="single" w:sz="2" w:space="0" w:color="C5CDD8"/>
              <w:left w:val="single" w:sz="6" w:space="0" w:color="C9A84C"/>
              <w:bottom w:val="single" w:sz="2" w:space="0" w:color="C5CDD8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Ingest Endpoint</w:t>
            </w:r>
          </w:p>
        </w:tc>
        <w:tc>
          <w:tcPr>
            <w:tcW w:type="dxa" w:w="4819"/>
            <w:shd w:val="clear" w:color="auto" w:fill="FFFFFF"/>
            <w:tcW w:w="7087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POST  https://api.alshumookh-pay.com/api/v1/payloads/ingest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EF3FA"/>
            <w:tcW w:w="2551" w:type="dxa"/>
            <w:tcMar>
              <w:top w:w="55" w:type="dxa"/>
              <w:bottom w:w="55" w:type="dxa"/>
              <w:left w:w="100" w:type="dxa"/>
              <w:right w:w="80" w:type="dxa"/>
            </w:tcMar>
            <w:tcBorders>
              <w:top w:val="single" w:sz="2" w:space="0" w:color="C5CDD8"/>
              <w:left w:val="single" w:sz="6" w:space="0" w:color="C9A84C"/>
              <w:bottom w:val="single" w:sz="2" w:space="0" w:color="C5CDD8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Schema Endpoint</w:t>
            </w:r>
          </w:p>
        </w:tc>
        <w:tc>
          <w:tcPr>
            <w:tcW w:type="dxa" w:w="4819"/>
            <w:shd w:val="clear" w:color="auto" w:fill="FFFFFF"/>
            <w:tcW w:w="7087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GET   https://api.alshumookh-pay.com/api/v1/payloads/schema  (publicly verifiable)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EF3FA"/>
            <w:tcW w:w="2551" w:type="dxa"/>
            <w:tcMar>
              <w:top w:w="55" w:type="dxa"/>
              <w:bottom w:w="55" w:type="dxa"/>
              <w:left w:w="100" w:type="dxa"/>
              <w:right w:w="80" w:type="dxa"/>
            </w:tcMar>
            <w:tcBorders>
              <w:top w:val="single" w:sz="2" w:space="0" w:color="C5CDD8"/>
              <w:left w:val="single" w:sz="6" w:space="0" w:color="C9A84C"/>
              <w:bottom w:val="single" w:sz="2" w:space="0" w:color="C5CDD8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OAuth2 Token</w:t>
            </w:r>
          </w:p>
        </w:tc>
        <w:tc>
          <w:tcPr>
            <w:tcW w:type="dxa" w:w="4819"/>
            <w:shd w:val="clear" w:color="auto" w:fill="FFFFFF"/>
            <w:tcW w:w="7087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POST  https://api.alshumookh-pay.com/api/v1/oauth/token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EF3FA"/>
            <w:tcW w:w="2551" w:type="dxa"/>
            <w:tcMar>
              <w:top w:w="55" w:type="dxa"/>
              <w:bottom w:w="55" w:type="dxa"/>
              <w:left w:w="100" w:type="dxa"/>
              <w:right w:w="80" w:type="dxa"/>
            </w:tcMar>
            <w:tcBorders>
              <w:top w:val="single" w:sz="2" w:space="0" w:color="C5CDD8"/>
              <w:left w:val="single" w:sz="6" w:space="0" w:color="C9A84C"/>
              <w:bottom w:val="single" w:sz="2" w:space="0" w:color="C5CDD8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Receiver Wallet</w:t>
            </w:r>
          </w:p>
        </w:tc>
        <w:tc>
          <w:tcPr>
            <w:tcW w:type="dxa" w:w="4819"/>
            <w:shd w:val="clear" w:color="auto" w:fill="FFFFFF"/>
            <w:tcW w:w="7087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0xBD682cfD8382a90adfDd6745780D3D7959c4d939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EF3FA"/>
            <w:tcW w:w="2551" w:type="dxa"/>
            <w:tcMar>
              <w:top w:w="55" w:type="dxa"/>
              <w:bottom w:w="55" w:type="dxa"/>
              <w:left w:w="100" w:type="dxa"/>
              <w:right w:w="80" w:type="dxa"/>
            </w:tcMar>
            <w:tcBorders>
              <w:top w:val="single" w:sz="2" w:space="0" w:color="C5CDD8"/>
              <w:left w:val="single" w:sz="6" w:space="0" w:color="C9A84C"/>
              <w:bottom w:val="single" w:sz="2" w:space="0" w:color="C5CDD8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Network Support</w:t>
            </w:r>
          </w:p>
        </w:tc>
        <w:tc>
          <w:tcPr>
            <w:tcW w:type="dxa" w:w="4819"/>
            <w:shd w:val="clear" w:color="auto" w:fill="FFFFFF"/>
            <w:tcW w:w="7087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ERC20 (Ethereum)  |  TRC20 (Tron)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EF3FA"/>
            <w:tcW w:w="2551" w:type="dxa"/>
            <w:tcMar>
              <w:top w:w="55" w:type="dxa"/>
              <w:bottom w:w="55" w:type="dxa"/>
              <w:left w:w="100" w:type="dxa"/>
              <w:right w:w="80" w:type="dxa"/>
            </w:tcMar>
            <w:tcBorders>
              <w:top w:val="single" w:sz="2" w:space="0" w:color="C5CDD8"/>
              <w:left w:val="single" w:sz="6" w:space="0" w:color="C9A84C"/>
              <w:bottom w:val="single" w:sz="2" w:space="0" w:color="C5CDD8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On-Chain Verifier</w:t>
            </w:r>
          </w:p>
        </w:tc>
        <w:tc>
          <w:tcPr>
            <w:tcW w:type="dxa" w:w="4819"/>
            <w:shd w:val="clear" w:color="auto" w:fill="FFFFFF"/>
            <w:tcW w:w="7087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Alchemy RPC — Ethereum / Base mainnet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EF3FA"/>
            <w:tcW w:w="2551" w:type="dxa"/>
            <w:tcMar>
              <w:top w:w="55" w:type="dxa"/>
              <w:bottom w:w="55" w:type="dxa"/>
              <w:left w:w="100" w:type="dxa"/>
              <w:right w:w="80" w:type="dxa"/>
            </w:tcMar>
            <w:tcBorders>
              <w:top w:val="single" w:sz="2" w:space="0" w:color="C5CDD8"/>
              <w:left w:val="single" w:sz="6" w:space="0" w:color="C9A84C"/>
              <w:bottom w:val="single" w:sz="2" w:space="0" w:color="C5CDD8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Payment Provider</w:t>
            </w:r>
          </w:p>
        </w:tc>
        <w:tc>
          <w:tcPr>
            <w:tcW w:type="dxa" w:w="4819"/>
            <w:shd w:val="clear" w:color="auto" w:fill="FFFFFF"/>
            <w:tcW w:w="7087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MoonPay Commerce — hosted payment links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EF3FA"/>
            <w:tcW w:w="2551" w:type="dxa"/>
            <w:tcMar>
              <w:top w:w="55" w:type="dxa"/>
              <w:bottom w:w="55" w:type="dxa"/>
              <w:left w:w="100" w:type="dxa"/>
              <w:right w:w="80" w:type="dxa"/>
            </w:tcMar>
            <w:tcBorders>
              <w:top w:val="single" w:sz="2" w:space="0" w:color="C5CDD8"/>
              <w:left w:val="single" w:sz="6" w:space="0" w:color="C9A84C"/>
              <w:bottom w:val="single" w:sz="2" w:space="0" w:color="C5CDD8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Hosting</w:t>
            </w:r>
          </w:p>
        </w:tc>
        <w:tc>
          <w:tcPr>
            <w:tcW w:type="dxa" w:w="4819"/>
            <w:shd w:val="clear" w:color="auto" w:fill="FFFFFF"/>
            <w:tcW w:w="7087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Render — production deployment, health-check monitored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EF3FA"/>
            <w:tcW w:w="2551" w:type="dxa"/>
            <w:tcMar>
              <w:top w:w="55" w:type="dxa"/>
              <w:bottom w:w="55" w:type="dxa"/>
              <w:left w:w="100" w:type="dxa"/>
              <w:right w:w="80" w:type="dxa"/>
            </w:tcMar>
            <w:tcBorders>
              <w:top w:val="single" w:sz="2" w:space="0" w:color="C5CDD8"/>
              <w:left w:val="single" w:sz="6" w:space="0" w:color="C9A84C"/>
              <w:bottom w:val="single" w:sz="2" w:space="0" w:color="C5CDD8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Domain &amp; TLS</w:t>
            </w:r>
          </w:p>
        </w:tc>
        <w:tc>
          <w:tcPr>
            <w:tcW w:type="dxa" w:w="4819"/>
            <w:shd w:val="clear" w:color="auto" w:fill="FFFFFF"/>
            <w:tcW w:w="7087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HTTPS active on https://api.alshumookh-pay.com — TLS 1.3 / HSTS enforced</w:t>
            </w:r>
          </w:p>
        </w:tc>
      </w:tr>
    </w:tbl>
    <w:p>
      <w:pPr>
        <w:spacing w:before="0"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C9A84C"/>
            <w:tcW w:w="680" w:type="dxa"/>
            <w:tcMar>
              <w:top w:w="70" w:type="dxa"/>
              <w:bottom w:w="70" w:type="dxa"/>
              <w:left w:w="80" w:type="dxa"/>
              <w:right w:w="60" w:type="dxa"/>
            </w:tcMar>
            <w:tcBorders>
              <w:top w:val="none" w:sz="0" w:space="0" w:color="0A1628"/>
              <w:left w:val="none" w:sz="0" w:space="0" w:color="0A1628"/>
              <w:bottom w:val="none" w:sz="0" w:space="0" w:color="0A1628"/>
              <w:right w:val="none" w:sz="0" w:space="0" w:color="0A162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0A1628"/>
                <w:sz w:val="22"/>
              </w:rPr>
              <w:t>02</w:t>
            </w:r>
          </w:p>
        </w:tc>
        <w:tc>
          <w:tcPr>
            <w:tcW w:type="dxa" w:w="4819"/>
            <w:shd w:val="clear" w:color="auto" w:fill="0A1628"/>
            <w:tcW w:w="8958" w:type="dxa"/>
            <w:tcMar>
              <w:top w:w="70" w:type="dxa"/>
              <w:bottom w:w="70" w:type="dxa"/>
              <w:left w:w="120" w:type="dxa"/>
              <w:right w:w="80" w:type="dxa"/>
            </w:tcMar>
            <w:tcBorders>
              <w:top w:val="none" w:sz="0" w:space="0" w:color="0A1628"/>
              <w:left w:val="none" w:sz="0" w:space="0" w:color="0A1628"/>
              <w:bottom w:val="none" w:sz="0" w:space="0" w:color="0A1628"/>
              <w:right w:val="none" w:sz="0" w:space="0" w:color="0A162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22"/>
              </w:rPr>
              <w:t>ACTIVE SECURITY CONTROLS — ALL IMPLEMENTED &amp; VERIFIED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A1628"/>
            <w:tcW w:w="1984" w:type="dx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18"/>
              </w:rPr>
              <w:t>Security Control</w:t>
            </w:r>
          </w:p>
        </w:tc>
        <w:tc>
          <w:tcPr>
            <w:tcW w:type="dxa" w:w="3213"/>
            <w:shd w:val="clear" w:color="auto" w:fill="0A1628"/>
            <w:tcW w:w="5103" w:type="dx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18"/>
              </w:rPr>
              <w:t>Technical Detail</w:t>
            </w:r>
          </w:p>
        </w:tc>
        <w:tc>
          <w:tcPr>
            <w:tcW w:type="dxa" w:w="3213"/>
            <w:shd w:val="clear" w:color="auto" w:fill="0A1628"/>
            <w:tcW w:w="2551" w:type="dx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18"/>
              </w:rPr>
              <w:t>Status</w:t>
            </w:r>
          </w:p>
        </w:tc>
      </w:tr>
      <w:tr>
        <w:tc>
          <w:tcPr>
            <w:tcW w:type="dxa" w:w="3213"/>
            <w:shd w:val="clear" w:color="auto" w:fill="EEF3FA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HMAC-SHA256 Payload Signing</w:t>
            </w:r>
          </w:p>
        </w:tc>
        <w:tc>
          <w:tcPr>
            <w:tcW w:type="dxa" w:w="3213"/>
            <w:shd w:val="clear" w:color="auto" w:fill="EEF3FA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X-Signature: HMAC-SHA256(timestamp + body). Enforced per client.</w:t>
            </w:r>
          </w:p>
        </w:tc>
        <w:tc>
          <w:tcPr>
            <w:tcW w:type="dxa" w:w="3213"/>
            <w:shd w:val="clear" w:color="auto" w:fill="EEF3FA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0E4D2F"/>
                <w:sz w:val="18"/>
              </w:rPr>
              <w:t>Active</w:t>
            </w:r>
          </w:p>
        </w:tc>
      </w:tr>
      <w:tr>
        <w:tc>
          <w:tcPr>
            <w:tcW w:type="dxa" w:w="3213"/>
            <w:shd w:val="clear" w:color="auto" w:fill="FFFFFF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OAuth 2.0 Authentication</w:t>
            </w:r>
          </w:p>
        </w:tc>
        <w:tc>
          <w:tcPr>
            <w:tcW w:type="dxa" w:w="3213"/>
            <w:shd w:val="clear" w:color="auto" w:fill="FFFFFF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client_credentials grant. Bearer tokens with expiry enforced.</w:t>
            </w:r>
          </w:p>
        </w:tc>
        <w:tc>
          <w:tcPr>
            <w:tcW w:type="dxa" w:w="3213"/>
            <w:shd w:val="clear" w:color="auto" w:fill="FFFFFF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0E4D2F"/>
                <w:sz w:val="18"/>
              </w:rPr>
              <w:t>Active</w:t>
            </w:r>
          </w:p>
        </w:tc>
      </w:tr>
      <w:tr>
        <w:tc>
          <w:tcPr>
            <w:tcW w:type="dxa" w:w="3213"/>
            <w:shd w:val="clear" w:color="auto" w:fill="EEF3FA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JWT / JWS Verification</w:t>
            </w:r>
          </w:p>
        </w:tc>
        <w:tc>
          <w:tcPr>
            <w:tcW w:type="dxa" w:w="3213"/>
            <w:shd w:val="clear" w:color="auto" w:fill="EEF3FA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Detached JWS — RS256 / HS256 via PyJWT. Payload hash in claims.</w:t>
            </w:r>
          </w:p>
        </w:tc>
        <w:tc>
          <w:tcPr>
            <w:tcW w:type="dxa" w:w="3213"/>
            <w:shd w:val="clear" w:color="auto" w:fill="EEF3FA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0E4D2F"/>
                <w:sz w:val="18"/>
              </w:rPr>
              <w:t>Active</w:t>
            </w:r>
          </w:p>
        </w:tc>
      </w:tr>
      <w:tr>
        <w:tc>
          <w:tcPr>
            <w:tcW w:type="dxa" w:w="3213"/>
            <w:shd w:val="clear" w:color="auto" w:fill="FFFFFF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mTLS Certificate Support</w:t>
            </w:r>
          </w:p>
        </w:tc>
        <w:tc>
          <w:tcPr>
            <w:tcW w:type="dxa" w:w="3213"/>
            <w:shd w:val="clear" w:color="auto" w:fill="FFFFFF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X-Client-Cert-Fingerprint header verified at application layer.</w:t>
            </w:r>
          </w:p>
        </w:tc>
        <w:tc>
          <w:tcPr>
            <w:tcW w:type="dxa" w:w="3213"/>
            <w:shd w:val="clear" w:color="auto" w:fill="FFFFFF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0E4D2F"/>
                <w:sz w:val="18"/>
              </w:rPr>
              <w:t>Active</w:t>
            </w:r>
          </w:p>
        </w:tc>
      </w:tr>
      <w:tr>
        <w:tc>
          <w:tcPr>
            <w:tcW w:type="dxa" w:w="3213"/>
            <w:shd w:val="clear" w:color="auto" w:fill="EEF3FA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Signed Webhook Callbacks</w:t>
            </w:r>
          </w:p>
        </w:tc>
        <w:tc>
          <w:tcPr>
            <w:tcW w:type="dxa" w:w="3213"/>
            <w:shd w:val="clear" w:color="auto" w:fill="EEF3FA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All outbound callbacks HMAC-signed. Alchemy / MoonPay verified inbound.</w:t>
            </w:r>
          </w:p>
        </w:tc>
        <w:tc>
          <w:tcPr>
            <w:tcW w:type="dxa" w:w="3213"/>
            <w:shd w:val="clear" w:color="auto" w:fill="EEF3FA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0E4D2F"/>
                <w:sz w:val="18"/>
              </w:rPr>
              <w:t>Active</w:t>
            </w:r>
          </w:p>
        </w:tc>
      </w:tr>
      <w:tr>
        <w:tc>
          <w:tcPr>
            <w:tcW w:type="dxa" w:w="3213"/>
            <w:shd w:val="clear" w:color="auto" w:fill="FFFFFF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Reconciliation Engine</w:t>
            </w:r>
          </w:p>
        </w:tc>
        <w:tc>
          <w:tcPr>
            <w:tcW w:type="dxa" w:w="3213"/>
            <w:shd w:val="clear" w:color="auto" w:fill="FFFFFF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POST /admin/reconcile — full audit trail per payload.</w:t>
            </w:r>
          </w:p>
        </w:tc>
        <w:tc>
          <w:tcPr>
            <w:tcW w:type="dxa" w:w="3213"/>
            <w:shd w:val="clear" w:color="auto" w:fill="FFFFFF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0E4D2F"/>
                <w:sz w:val="18"/>
              </w:rPr>
              <w:t>Active</w:t>
            </w:r>
          </w:p>
        </w:tc>
      </w:tr>
      <w:tr>
        <w:tc>
          <w:tcPr>
            <w:tcW w:type="dxa" w:w="3213"/>
            <w:shd w:val="clear" w:color="auto" w:fill="EEF3FA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WAF &amp; Rate Limiting</w:t>
            </w:r>
          </w:p>
        </w:tc>
        <w:tc>
          <w:tcPr>
            <w:tcW w:type="dxa" w:w="3213"/>
            <w:shd w:val="clear" w:color="auto" w:fill="EEF3FA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IP auto-ban, user-agent classification, path-probe detection.</w:t>
            </w:r>
          </w:p>
        </w:tc>
        <w:tc>
          <w:tcPr>
            <w:tcW w:type="dxa" w:w="3213"/>
            <w:shd w:val="clear" w:color="auto" w:fill="EEF3FA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0E4D2F"/>
                <w:sz w:val="18"/>
              </w:rPr>
              <w:t>Active</w:t>
            </w:r>
          </w:p>
        </w:tc>
      </w:tr>
      <w:tr>
        <w:tc>
          <w:tcPr>
            <w:tcW w:type="dxa" w:w="3213"/>
            <w:shd w:val="clear" w:color="auto" w:fill="FFFFFF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Replay Attack Protection</w:t>
            </w:r>
          </w:p>
        </w:tc>
        <w:tc>
          <w:tcPr>
            <w:tcW w:type="dxa" w:w="3213"/>
            <w:shd w:val="clear" w:color="auto" w:fill="FFFFFF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X-Timestamp validated ±5 min. Idempotency-Key enforced.</w:t>
            </w:r>
          </w:p>
        </w:tc>
        <w:tc>
          <w:tcPr>
            <w:tcW w:type="dxa" w:w="3213"/>
            <w:shd w:val="clear" w:color="auto" w:fill="FFFFFF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0E4D2F"/>
                <w:sz w:val="18"/>
              </w:rPr>
              <w:t>Active</w:t>
            </w:r>
          </w:p>
        </w:tc>
      </w:tr>
      <w:tr>
        <w:tc>
          <w:tcPr>
            <w:tcW w:type="dxa" w:w="3213"/>
            <w:shd w:val="clear" w:color="auto" w:fill="EEF3FA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Transport Security</w:t>
            </w:r>
          </w:p>
        </w:tc>
        <w:tc>
          <w:tcPr>
            <w:tcW w:type="dxa" w:w="3213"/>
            <w:shd w:val="clear" w:color="auto" w:fill="EEF3FA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TLS 1.3, HSTS, CSP, X-Frame-Options, X-Content-Type-Options.</w:t>
            </w:r>
          </w:p>
        </w:tc>
        <w:tc>
          <w:tcPr>
            <w:tcW w:type="dxa" w:w="3213"/>
            <w:shd w:val="clear" w:color="auto" w:fill="EEF3FA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0E4D2F"/>
                <w:sz w:val="18"/>
              </w:rPr>
              <w:t>Active</w:t>
            </w:r>
          </w:p>
        </w:tc>
      </w:tr>
      <w:tr>
        <w:tc>
          <w:tcPr>
            <w:tcW w:type="dxa" w:w="3213"/>
            <w:shd w:val="clear" w:color="auto" w:fill="FFFFFF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IP Whitelist</w:t>
            </w:r>
          </w:p>
        </w:tc>
        <w:tc>
          <w:tcPr>
            <w:tcW w:type="dxa" w:w="3213"/>
            <w:shd w:val="clear" w:color="auto" w:fill="FFFFFF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Per-client allowed IP ranges enforced at gateway layer.</w:t>
            </w:r>
          </w:p>
        </w:tc>
        <w:tc>
          <w:tcPr>
            <w:tcW w:type="dxa" w:w="3213"/>
            <w:shd w:val="clear" w:color="auto" w:fill="FFFFFF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0E4D2F"/>
                <w:sz w:val="18"/>
              </w:rPr>
              <w:t>Active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C9A84C"/>
            <w:tcW w:w="680" w:type="dxa"/>
            <w:tcMar>
              <w:top w:w="70" w:type="dxa"/>
              <w:bottom w:w="70" w:type="dxa"/>
              <w:left w:w="80" w:type="dxa"/>
              <w:right w:w="60" w:type="dxa"/>
            </w:tcMar>
            <w:tcBorders>
              <w:top w:val="none" w:sz="0" w:space="0" w:color="0A1628"/>
              <w:left w:val="none" w:sz="0" w:space="0" w:color="0A1628"/>
              <w:bottom w:val="none" w:sz="0" w:space="0" w:color="0A1628"/>
              <w:right w:val="none" w:sz="0" w:space="0" w:color="0A162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0A1628"/>
                <w:sz w:val="22"/>
              </w:rPr>
              <w:t>03</w:t>
            </w:r>
          </w:p>
        </w:tc>
        <w:tc>
          <w:tcPr>
            <w:tcW w:type="dxa" w:w="4819"/>
            <w:shd w:val="clear" w:color="auto" w:fill="0A1628"/>
            <w:tcW w:w="8958" w:type="dxa"/>
            <w:tcMar>
              <w:top w:w="70" w:type="dxa"/>
              <w:bottom w:w="70" w:type="dxa"/>
              <w:left w:w="120" w:type="dxa"/>
              <w:right w:w="80" w:type="dxa"/>
            </w:tcMar>
            <w:tcBorders>
              <w:top w:val="none" w:sz="0" w:space="0" w:color="0A1628"/>
              <w:left w:val="none" w:sz="0" w:space="0" w:color="0A1628"/>
              <w:bottom w:val="none" w:sz="0" w:space="0" w:color="0A1628"/>
              <w:right w:val="none" w:sz="0" w:space="0" w:color="0A162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22"/>
              </w:rPr>
              <w:t>SENDER-FACING TECHNICAL PROOF — VERIFIABLE NOW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A1628"/>
            <w:tcW w:w="1984" w:type="dx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18"/>
              </w:rPr>
              <w:t>Proof Item</w:t>
            </w:r>
          </w:p>
        </w:tc>
        <w:tc>
          <w:tcPr>
            <w:tcW w:type="dxa" w:w="3213"/>
            <w:shd w:val="clear" w:color="auto" w:fill="0A1628"/>
            <w:tcW w:w="5103" w:type="dx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18"/>
              </w:rPr>
              <w:t>How Provided</w:t>
            </w:r>
          </w:p>
        </w:tc>
        <w:tc>
          <w:tcPr>
            <w:tcW w:type="dxa" w:w="3213"/>
            <w:shd w:val="clear" w:color="auto" w:fill="0A1628"/>
            <w:tcW w:w="2551" w:type="dx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18"/>
              </w:rPr>
              <w:t>Availability</w:t>
            </w:r>
          </w:p>
        </w:tc>
      </w:tr>
      <w:tr>
        <w:tc>
          <w:tcPr>
            <w:tcW w:type="dxa" w:w="3213"/>
            <w:shd w:val="clear" w:color="auto" w:fill="EEF3FA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Live API Schema</w:t>
            </w:r>
          </w:p>
        </w:tc>
        <w:tc>
          <w:tcPr>
            <w:tcW w:type="dxa" w:w="3213"/>
            <w:shd w:val="clear" w:color="auto" w:fill="EEF3FA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GET https://api.alshumookh-pay.com/api/v1/payloads/schema</w:t>
            </w:r>
          </w:p>
        </w:tc>
        <w:tc>
          <w:tcPr>
            <w:tcW w:type="dxa" w:w="3213"/>
            <w:shd w:val="clear" w:color="auto" w:fill="EEF3FA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0E4D2F"/>
                <w:sz w:val="18"/>
              </w:rPr>
              <w:t>Live — open in browser</w:t>
            </w:r>
          </w:p>
        </w:tc>
      </w:tr>
      <w:tr>
        <w:tc>
          <w:tcPr>
            <w:tcW w:type="dxa" w:w="3213"/>
            <w:shd w:val="clear" w:color="auto" w:fill="FFFFFF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HMAC Signed Request</w:t>
            </w:r>
          </w:p>
        </w:tc>
        <w:tc>
          <w:tcPr>
            <w:tcW w:type="dxa" w:w="3213"/>
            <w:shd w:val="clear" w:color="auto" w:fill="FFFFFF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Sample payload with computed X-Signature provided</w:t>
            </w:r>
          </w:p>
        </w:tc>
        <w:tc>
          <w:tcPr>
            <w:tcW w:type="dxa" w:w="3213"/>
            <w:shd w:val="clear" w:color="auto" w:fill="FFFFFF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Available on request</w:t>
            </w:r>
          </w:p>
        </w:tc>
      </w:tr>
      <w:tr>
        <w:tc>
          <w:tcPr>
            <w:tcW w:type="dxa" w:w="3213"/>
            <w:shd w:val="clear" w:color="auto" w:fill="EEF3FA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OAuth2 Token Flow</w:t>
            </w:r>
          </w:p>
        </w:tc>
        <w:tc>
          <w:tcPr>
            <w:tcW w:type="dxa" w:w="3213"/>
            <w:shd w:val="clear" w:color="auto" w:fill="EEF3FA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Sample client_credentials exchange with test keys</w:t>
            </w:r>
          </w:p>
        </w:tc>
        <w:tc>
          <w:tcPr>
            <w:tcW w:type="dxa" w:w="3213"/>
            <w:shd w:val="clear" w:color="auto" w:fill="EEF3FA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Available on request</w:t>
            </w:r>
          </w:p>
        </w:tc>
      </w:tr>
      <w:tr>
        <w:tc>
          <w:tcPr>
            <w:tcW w:type="dxa" w:w="3213"/>
            <w:shd w:val="clear" w:color="auto" w:fill="FFFFFF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Wallet Ownership Letter</w:t>
            </w:r>
          </w:p>
        </w:tc>
        <w:tc>
          <w:tcPr>
            <w:tcW w:type="dxa" w:w="3213"/>
            <w:shd w:val="clear" w:color="auto" w:fill="FFFFFF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Management-signed confirmation of receiver wallet</w:t>
            </w:r>
          </w:p>
        </w:tc>
        <w:tc>
          <w:tcPr>
            <w:tcW w:type="dxa" w:w="3213"/>
            <w:shd w:val="clear" w:color="auto" w:fill="FFFFFF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0E4D2F"/>
                <w:sz w:val="18"/>
              </w:rPr>
              <w:t>Confirmed below</w:t>
            </w:r>
          </w:p>
        </w:tc>
      </w:tr>
      <w:tr>
        <w:tc>
          <w:tcPr>
            <w:tcW w:type="dxa" w:w="3213"/>
            <w:shd w:val="clear" w:color="auto" w:fill="EEF3FA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Low-Value Test Transaction</w:t>
            </w:r>
          </w:p>
        </w:tc>
        <w:tc>
          <w:tcPr>
            <w:tcW w:type="dxa" w:w="3213"/>
            <w:shd w:val="clear" w:color="auto" w:fill="EEF3FA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Sender submits small payload; platform returns result</w:t>
            </w:r>
          </w:p>
        </w:tc>
        <w:tc>
          <w:tcPr>
            <w:tcW w:type="dxa" w:w="3213"/>
            <w:shd w:val="clear" w:color="auto" w:fill="EEF3FA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Recommended — see §5</w:t>
            </w:r>
          </w:p>
        </w:tc>
      </w:tr>
      <w:tr>
        <w:tc>
          <w:tcPr>
            <w:tcW w:type="dxa" w:w="3213"/>
            <w:shd w:val="clear" w:color="auto" w:fill="FFFFFF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MoonPay Payment Link</w:t>
            </w:r>
          </w:p>
        </w:tc>
        <w:tc>
          <w:tcPr>
            <w:tcW w:type="dxa" w:w="3213"/>
            <w:shd w:val="clear" w:color="auto" w:fill="FFFFFF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Demonstration of payment link creation flow</w:t>
            </w:r>
          </w:p>
        </w:tc>
        <w:tc>
          <w:tcPr>
            <w:tcW w:type="dxa" w:w="3213"/>
            <w:shd w:val="clear" w:color="auto" w:fill="FFFFFF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Available on request</w:t>
            </w:r>
          </w:p>
        </w:tc>
      </w:tr>
      <w:tr>
        <w:tc>
          <w:tcPr>
            <w:tcW w:type="dxa" w:w="3213"/>
            <w:shd w:val="clear" w:color="auto" w:fill="EEF3FA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Alchemy TX Verification</w:t>
            </w:r>
          </w:p>
        </w:tc>
        <w:tc>
          <w:tcPr>
            <w:tcW w:type="dxa" w:w="3213"/>
            <w:shd w:val="clear" w:color="auto" w:fill="EEF3FA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0E4D2F"/>
                <w:sz w:val="18"/>
              </w:rPr>
              <w:t>Live tx_hash verification result from Ethereum RPC</w:t>
            </w:r>
          </w:p>
        </w:tc>
        <w:tc>
          <w:tcPr>
            <w:tcW w:type="dxa" w:w="3213"/>
            <w:shd w:val="clear" w:color="auto" w:fill="EEF3FA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Available on request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C9A84C"/>
            <w:tcW w:w="680" w:type="dxa"/>
            <w:tcMar>
              <w:top w:w="70" w:type="dxa"/>
              <w:bottom w:w="70" w:type="dxa"/>
              <w:left w:w="80" w:type="dxa"/>
              <w:right w:w="60" w:type="dxa"/>
            </w:tcMar>
            <w:tcBorders>
              <w:top w:val="none" w:sz="0" w:space="0" w:color="0A1628"/>
              <w:left w:val="none" w:sz="0" w:space="0" w:color="0A1628"/>
              <w:bottom w:val="none" w:sz="0" w:space="0" w:color="0A1628"/>
              <w:right w:val="none" w:sz="0" w:space="0" w:color="0A162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0A1628"/>
                <w:sz w:val="22"/>
              </w:rPr>
              <w:t>04</w:t>
            </w:r>
          </w:p>
        </w:tc>
        <w:tc>
          <w:tcPr>
            <w:tcW w:type="dxa" w:w="4819"/>
            <w:shd w:val="clear" w:color="auto" w:fill="0A1628"/>
            <w:tcW w:w="8958" w:type="dxa"/>
            <w:tcMar>
              <w:top w:w="70" w:type="dxa"/>
              <w:bottom w:w="70" w:type="dxa"/>
              <w:left w:w="120" w:type="dxa"/>
              <w:right w:w="80" w:type="dxa"/>
            </w:tcMar>
            <w:tcBorders>
              <w:top w:val="none" w:sz="0" w:space="0" w:color="0A1628"/>
              <w:left w:val="none" w:sz="0" w:space="0" w:color="0A1628"/>
              <w:bottom w:val="none" w:sz="0" w:space="0" w:color="0A1628"/>
              <w:right w:val="none" w:sz="0" w:space="0" w:color="0A162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22"/>
              </w:rPr>
              <w:t>FORMAL WALLET OWNERSHIP DECLARATION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9FF"/>
            <w:tcW w:w="9639" w:type="dx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8" w:space="0" w:color="C9A84C"/>
              <w:left w:val="single" w:sz="24" w:space="0" w:color="C9A84C"/>
              <w:bottom w:val="single" w:sz="8" w:space="0" w:color="C9A84C"/>
              <w:right w:val="single" w:sz="8" w:space="0" w:color="C9A84C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C2A38"/>
                <w:sz w:val="20"/>
              </w:rPr>
              <w:t>We, Alshumookh Global Banking Financing and Credit, formally declare and confirm the following: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C2A38"/>
                <w:sz w:val="12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C2A38"/>
                <w:sz w:val="21"/>
              </w:rPr>
              <w:t>Receiver Wallet Address:   0xBD682cfD8382a90adfDd6745780D3D7959c4d939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1C2A38"/>
                <w:sz w:val="21"/>
              </w:rPr>
              <w:t>Network:   ERC-20 (Ethereum Mainnet)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C2A38"/>
                <w:sz w:val="8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C2A38"/>
                <w:sz w:val="19"/>
              </w:rPr>
              <w:t>This wallet address is the sole authorised receiving address for all settlement transactions processed through our platform. Any transfer directed to a different address has not been authorised by Alshumookh Global Banking Financing and Credit.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C2A38"/>
                <w:sz w:val="8"/>
              </w:rPr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color w:val="1C2A38"/>
                <w:sz w:val="19"/>
              </w:rPr>
              <w:t>This declaration is made by the undersigned authorised officer of the company.</w:t>
            </w:r>
          </w:p>
        </w:tc>
      </w:tr>
    </w:tbl>
    <w:p>
      <w:pPr>
        <w:spacing w:before="0"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1C2A38"/>
                <w:sz w:val="19"/>
              </w:rPr>
              <w:t>Authorised Signatory</w:t>
            </w:r>
          </w:p>
          <w:p/>
          <w:p>
            <w:pPr>
              <w:spacing w:before="560" w:after="0"/>
            </w:pPr>
            <w:r>
              <w:rPr>
                <w:color w:val="C9A84C"/>
                <w:sz w:val="20"/>
              </w:rPr>
              <w:t>_________________________________</w:t>
            </w:r>
          </w:p>
          <w:p>
            <w:r>
              <w:rPr>
                <w:rFonts w:ascii="Calibri" w:hAnsi="Calibri"/>
                <w:color w:val="1C2A38"/>
                <w:sz w:val="18"/>
              </w:rPr>
              <w:t>Ahmed Mohamed — Chief Executive Officer</w:t>
            </w:r>
          </w:p>
          <w:p>
            <w:r>
              <w:rPr>
                <w:rFonts w:ascii="Calibri" w:hAnsi="Calibri"/>
                <w:color w:val="4A5D70"/>
                <w:sz w:val="17"/>
              </w:rPr>
              <w:t>Alshumookh Global Banking Financing and Credit</w:t>
            </w:r>
          </w:p>
          <w:p>
            <w:r>
              <w:rPr>
                <w:rFonts w:ascii="Calibri" w:hAnsi="Calibri"/>
                <w:color w:val="4A5D70"/>
                <w:sz w:val="17"/>
              </w:rPr>
              <w:t>Date: May 12, 2026</w:t>
            </w:r>
          </w:p>
        </w:tc>
        <w:tc>
          <w:tcPr>
            <w:tcW w:type="dxa" w:w="4819"/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1C2A38"/>
                <w:sz w:val="19"/>
              </w:rPr>
              <w:t>Company Stamp / Seal</w:t>
            </w:r>
          </w:p>
          <w:p/>
          <w:p>
            <w:pPr>
              <w:spacing w:before="80"/>
              <w:jc w:val="center"/>
            </w:pP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/>
        </w:tc>
      </w:tr>
    </w:tbl>
    <w:p>
      <w:pPr>
        <w:spacing w:before="0" w:after="20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C9A84C"/>
            <w:tcW w:w="680" w:type="dxa"/>
            <w:tcMar>
              <w:top w:w="70" w:type="dxa"/>
              <w:bottom w:w="70" w:type="dxa"/>
              <w:left w:w="80" w:type="dxa"/>
              <w:right w:w="60" w:type="dxa"/>
            </w:tcMar>
            <w:tcBorders>
              <w:top w:val="none" w:sz="0" w:space="0" w:color="0A1628"/>
              <w:left w:val="none" w:sz="0" w:space="0" w:color="0A1628"/>
              <w:bottom w:val="none" w:sz="0" w:space="0" w:color="0A1628"/>
              <w:right w:val="none" w:sz="0" w:space="0" w:color="0A162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0A1628"/>
                <w:sz w:val="22"/>
              </w:rPr>
              <w:t>05</w:t>
            </w:r>
          </w:p>
        </w:tc>
        <w:tc>
          <w:tcPr>
            <w:tcW w:type="dxa" w:w="4819"/>
            <w:shd w:val="clear" w:color="auto" w:fill="0A1628"/>
            <w:tcW w:w="8958" w:type="dxa"/>
            <w:tcMar>
              <w:top w:w="70" w:type="dxa"/>
              <w:bottom w:w="70" w:type="dxa"/>
              <w:left w:w="120" w:type="dxa"/>
              <w:right w:w="80" w:type="dxa"/>
            </w:tcMar>
            <w:tcBorders>
              <w:top w:val="none" w:sz="0" w:space="0" w:color="0A1628"/>
              <w:left w:val="none" w:sz="0" w:space="0" w:color="0A1628"/>
              <w:bottom w:val="none" w:sz="0" w:space="0" w:color="0A1628"/>
              <w:right w:val="none" w:sz="0" w:space="0" w:color="0A162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22"/>
              </w:rPr>
              <w:t>RECOMMENDED PILOT TRANSACTION PROCEDURE</w:t>
            </w:r>
          </w:p>
        </w:tc>
      </w:tr>
    </w:tbl>
    <w:p>
      <w:pPr>
        <w:spacing w:before="0" w:after="80"/>
      </w:pPr>
    </w:p>
    <w:p>
      <w:pPr>
        <w:jc w:val="left"/>
        <w:spacing w:before="0" w:after="80"/>
      </w:pPr>
      <w:r>
        <w:rPr>
          <w:rFonts w:ascii="Calibri" w:hAnsi="Calibri"/>
          <w:b w:val="0"/>
          <w:i w:val="0"/>
          <w:color w:val="1C2A38"/>
          <w:sz w:val="20"/>
        </w:rPr>
        <w:t>We strongly recommend conducting a low-value end-to-end test transaction before proceeding with high-value settlement flows. This pilot confirms full technical integration and operational readiness on both sides.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A1628"/>
            <w:tcW w:w="1984" w:type="dx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18"/>
              </w:rPr>
              <w:t>Step</w:t>
            </w:r>
          </w:p>
        </w:tc>
        <w:tc>
          <w:tcPr>
            <w:tcW w:type="dxa" w:w="3213"/>
            <w:shd w:val="clear" w:color="auto" w:fill="0A1628"/>
            <w:tcW w:w="5103" w:type="dx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18"/>
              </w:rPr>
              <w:t>Action</w:t>
            </w:r>
          </w:p>
        </w:tc>
        <w:tc>
          <w:tcPr>
            <w:tcW w:type="dxa" w:w="3213"/>
            <w:shd w:val="clear" w:color="auto" w:fill="0A1628"/>
            <w:tcW w:w="2551" w:type="dx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18"/>
              </w:rPr>
              <w:t>Party</w:t>
            </w:r>
          </w:p>
        </w:tc>
      </w:tr>
      <w:tr>
        <w:tc>
          <w:tcPr>
            <w:tcW w:type="dxa" w:w="3213"/>
            <w:shd w:val="clear" w:color="auto" w:fill="EEF3FA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Step 1</w:t>
            </w:r>
          </w:p>
        </w:tc>
        <w:tc>
          <w:tcPr>
            <w:tcW w:type="dxa" w:w="3213"/>
            <w:shd w:val="clear" w:color="auto" w:fill="EEF3FA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Submit a test payload via POST /api/v1/payloads/ingest with a verified on-chain tx_hash</w:t>
            </w:r>
          </w:p>
        </w:tc>
        <w:tc>
          <w:tcPr>
            <w:tcW w:type="dxa" w:w="3213"/>
            <w:shd w:val="clear" w:color="auto" w:fill="EEF3FA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Sender action</w:t>
            </w:r>
          </w:p>
        </w:tc>
      </w:tr>
      <w:tr>
        <w:tc>
          <w:tcPr>
            <w:tcW w:type="dxa" w:w="3213"/>
            <w:shd w:val="clear" w:color="auto" w:fill="FFFFFF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Step 2</w:t>
            </w:r>
          </w:p>
        </w:tc>
        <w:tc>
          <w:tcPr>
            <w:tcW w:type="dxa" w:w="3213"/>
            <w:shd w:val="clear" w:color="auto" w:fill="FFFFFF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Platform validates auth, HMAC, schema, and verifies the hash on-chain via Alchemy</w:t>
            </w:r>
          </w:p>
        </w:tc>
        <w:tc>
          <w:tcPr>
            <w:tcW w:type="dxa" w:w="3213"/>
            <w:shd w:val="clear" w:color="auto" w:fill="FFFFFF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Automated</w:t>
            </w:r>
          </w:p>
        </w:tc>
      </w:tr>
      <w:tr>
        <w:tc>
          <w:tcPr>
            <w:tcW w:type="dxa" w:w="3213"/>
            <w:shd w:val="clear" w:color="auto" w:fill="EEF3FA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Step 3</w:t>
            </w:r>
          </w:p>
        </w:tc>
        <w:tc>
          <w:tcPr>
            <w:tcW w:type="dxa" w:w="3213"/>
            <w:shd w:val="clear" w:color="auto" w:fill="EEF3FA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Platform returns review/verification status response with payload ID</w:t>
            </w:r>
          </w:p>
        </w:tc>
        <w:tc>
          <w:tcPr>
            <w:tcW w:type="dxa" w:w="3213"/>
            <w:shd w:val="clear" w:color="auto" w:fill="EEF3FA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Immediate</w:t>
            </w:r>
          </w:p>
        </w:tc>
      </w:tr>
      <w:tr>
        <w:tc>
          <w:tcPr>
            <w:tcW w:type="dxa" w:w="3213"/>
            <w:shd w:val="clear" w:color="auto" w:fill="FFFFFF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Step 4</w:t>
            </w:r>
          </w:p>
        </w:tc>
        <w:tc>
          <w:tcPr>
            <w:tcW w:type="dxa" w:w="3213"/>
            <w:shd w:val="clear" w:color="auto" w:fill="FFFFFF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Sender receives HMAC-signed webhook callback confirming receipt and status</w:t>
            </w:r>
          </w:p>
        </w:tc>
        <w:tc>
          <w:tcPr>
            <w:tcW w:type="dxa" w:w="3213"/>
            <w:shd w:val="clear" w:color="auto" w:fill="FFFFFF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Automated</w:t>
            </w:r>
          </w:p>
        </w:tc>
      </w:tr>
      <w:tr>
        <w:tc>
          <w:tcPr>
            <w:tcW w:type="dxa" w:w="3213"/>
            <w:shd w:val="clear" w:color="auto" w:fill="EEF3FA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Step 5</w:t>
            </w:r>
          </w:p>
        </w:tc>
        <w:tc>
          <w:tcPr>
            <w:tcW w:type="dxa" w:w="3213"/>
            <w:shd w:val="clear" w:color="auto" w:fill="EEF3FA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Both parties review reconciliation report and confirm end-to-end success</w:t>
            </w:r>
          </w:p>
        </w:tc>
        <w:tc>
          <w:tcPr>
            <w:tcW w:type="dxa" w:w="3213"/>
            <w:shd w:val="clear" w:color="auto" w:fill="EEF3FA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Joint review</w:t>
            </w:r>
          </w:p>
        </w:tc>
      </w:tr>
      <w:tr>
        <w:tc>
          <w:tcPr>
            <w:tcW w:type="dxa" w:w="3213"/>
            <w:shd w:val="clear" w:color="auto" w:fill="FFFFFF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Step 6</w:t>
            </w:r>
          </w:p>
        </w:tc>
        <w:tc>
          <w:tcPr>
            <w:tcW w:type="dxa" w:w="3213"/>
            <w:shd w:val="clear" w:color="auto" w:fill="FFFFFF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Upon pilot success, proceed with full-scale settlement operations</w:t>
            </w:r>
          </w:p>
        </w:tc>
        <w:tc>
          <w:tcPr>
            <w:tcW w:type="dxa" w:w="3213"/>
            <w:shd w:val="clear" w:color="auto" w:fill="FFFFFF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Both parties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C9A84C"/>
            <w:tcW w:w="680" w:type="dxa"/>
            <w:tcMar>
              <w:top w:w="70" w:type="dxa"/>
              <w:bottom w:w="70" w:type="dxa"/>
              <w:left w:w="80" w:type="dxa"/>
              <w:right w:w="60" w:type="dxa"/>
            </w:tcMar>
            <w:tcBorders>
              <w:top w:val="none" w:sz="0" w:space="0" w:color="0A1628"/>
              <w:left w:val="none" w:sz="0" w:space="0" w:color="0A1628"/>
              <w:bottom w:val="none" w:sz="0" w:space="0" w:color="0A1628"/>
              <w:right w:val="none" w:sz="0" w:space="0" w:color="0A162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0A1628"/>
                <w:sz w:val="22"/>
              </w:rPr>
              <w:t>06</w:t>
            </w:r>
          </w:p>
        </w:tc>
        <w:tc>
          <w:tcPr>
            <w:tcW w:type="dxa" w:w="4819"/>
            <w:shd w:val="clear" w:color="auto" w:fill="0A1628"/>
            <w:tcW w:w="8958" w:type="dxa"/>
            <w:tcMar>
              <w:top w:w="70" w:type="dxa"/>
              <w:bottom w:w="70" w:type="dxa"/>
              <w:left w:w="120" w:type="dxa"/>
              <w:right w:w="80" w:type="dxa"/>
            </w:tcMar>
            <w:tcBorders>
              <w:top w:val="none" w:sz="0" w:space="0" w:color="0A1628"/>
              <w:left w:val="none" w:sz="0" w:space="0" w:color="0A1628"/>
              <w:bottom w:val="none" w:sz="0" w:space="0" w:color="0A1628"/>
              <w:right w:val="none" w:sz="0" w:space="0" w:color="0A162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22"/>
              </w:rPr>
              <w:t>COMPLIANCE &amp; CERTIFICATION ROADMAP</w:t>
            </w:r>
          </w:p>
        </w:tc>
      </w:tr>
    </w:tbl>
    <w:p>
      <w:pPr>
        <w:spacing w:before="0" w:after="80"/>
      </w:pPr>
    </w:p>
    <w:p>
      <w:pPr>
        <w:jc w:val="left"/>
        <w:spacing w:before="0" w:after="80"/>
      </w:pPr>
      <w:r>
        <w:rPr>
          <w:rFonts w:ascii="Calibri" w:hAnsi="Calibri"/>
          <w:b w:val="0"/>
          <w:i w:val="0"/>
          <w:color w:val="1C2A38"/>
          <w:sz w:val="20"/>
        </w:rPr>
        <w:t>The following certifications are actively being pursued. Our platform can operate and process transactions while formal third-party certifications are being obtained, consistent with standard fintech launch practice.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A1628"/>
            <w:tcW w:w="1984" w:type="dx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18"/>
              </w:rPr>
              <w:t>Certification</w:t>
            </w:r>
          </w:p>
        </w:tc>
        <w:tc>
          <w:tcPr>
            <w:tcW w:type="dxa" w:w="3213"/>
            <w:shd w:val="clear" w:color="auto" w:fill="0A1628"/>
            <w:tcW w:w="5103" w:type="dx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18"/>
              </w:rPr>
              <w:t>Purpose</w:t>
            </w:r>
          </w:p>
        </w:tc>
        <w:tc>
          <w:tcPr>
            <w:tcW w:type="dxa" w:w="3213"/>
            <w:shd w:val="clear" w:color="auto" w:fill="0A1628"/>
            <w:tcW w:w="2551" w:type="dx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18"/>
              </w:rPr>
              <w:t>Timeline</w:t>
            </w:r>
          </w:p>
        </w:tc>
      </w:tr>
      <w:tr>
        <w:tc>
          <w:tcPr>
            <w:tcW w:type="dxa" w:w="3213"/>
            <w:shd w:val="clear" w:color="auto" w:fill="EEF3FA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Penetration Test Report</w:t>
            </w:r>
          </w:p>
        </w:tc>
        <w:tc>
          <w:tcPr>
            <w:tcW w:type="dxa" w:w="3213"/>
            <w:shd w:val="clear" w:color="auto" w:fill="EEF3FA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Independent API &amp; WAF security validation</w:t>
            </w:r>
          </w:p>
        </w:tc>
        <w:tc>
          <w:tcPr>
            <w:tcW w:type="dxa" w:w="3213"/>
            <w:shd w:val="clear" w:color="auto" w:fill="EEF3FA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In progress — Week 1</w:t>
            </w:r>
          </w:p>
        </w:tc>
      </w:tr>
      <w:tr>
        <w:tc>
          <w:tcPr>
            <w:tcW w:type="dxa" w:w="3213"/>
            <w:shd w:val="clear" w:color="auto" w:fill="FFFFFF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PCI-DSS Scope Memo</w:t>
            </w:r>
          </w:p>
        </w:tc>
        <w:tc>
          <w:tcPr>
            <w:tcW w:type="dxa" w:w="3213"/>
            <w:shd w:val="clear" w:color="auto" w:fill="FFFFFF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Confirms card data handled by MoonPay only</w:t>
            </w:r>
          </w:p>
        </w:tc>
        <w:tc>
          <w:tcPr>
            <w:tcW w:type="dxa" w:w="3213"/>
            <w:shd w:val="clear" w:color="auto" w:fill="FFFFFF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Preparing — Week 2</w:t>
            </w:r>
          </w:p>
        </w:tc>
      </w:tr>
      <w:tr>
        <w:tc>
          <w:tcPr>
            <w:tcW w:type="dxa" w:w="3213"/>
            <w:shd w:val="clear" w:color="auto" w:fill="EEF3FA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AML / KYC Policy Pack</w:t>
            </w:r>
          </w:p>
        </w:tc>
        <w:tc>
          <w:tcPr>
            <w:tcW w:type="dxa" w:w="3213"/>
            <w:shd w:val="clear" w:color="auto" w:fill="EEF3FA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Onboarding, screening &amp; transaction monitoring</w:t>
            </w:r>
          </w:p>
        </w:tc>
        <w:tc>
          <w:tcPr>
            <w:tcW w:type="dxa" w:w="3213"/>
            <w:shd w:val="clear" w:color="auto" w:fill="EEF3FA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In progress — Month 1</w:t>
            </w:r>
          </w:p>
        </w:tc>
      </w:tr>
      <w:tr>
        <w:tc>
          <w:tcPr>
            <w:tcW w:type="dxa" w:w="3213"/>
            <w:shd w:val="clear" w:color="auto" w:fill="FFFFFF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SOC 2 Type I</w:t>
            </w:r>
          </w:p>
        </w:tc>
        <w:tc>
          <w:tcPr>
            <w:tcW w:type="dxa" w:w="3213"/>
            <w:shd w:val="clear" w:color="auto" w:fill="FFFFFF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Point-in-time independent security audit</w:t>
            </w:r>
          </w:p>
        </w:tc>
        <w:tc>
          <w:tcPr>
            <w:tcW w:type="dxa" w:w="3213"/>
            <w:shd w:val="clear" w:color="auto" w:fill="FFFFFF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Month 2-3</w:t>
            </w:r>
          </w:p>
        </w:tc>
      </w:tr>
      <w:tr>
        <w:tc>
          <w:tcPr>
            <w:tcW w:type="dxa" w:w="3213"/>
            <w:shd w:val="clear" w:color="auto" w:fill="EEF3FA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ISO 27001 Readiness</w:t>
            </w:r>
          </w:p>
        </w:tc>
        <w:tc>
          <w:tcPr>
            <w:tcW w:type="dxa" w:w="3213"/>
            <w:shd w:val="clear" w:color="auto" w:fill="EEF3FA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ISMS policies, risk register &amp; control mapping</w:t>
            </w:r>
          </w:p>
        </w:tc>
        <w:tc>
          <w:tcPr>
            <w:tcW w:type="dxa" w:w="3213"/>
            <w:shd w:val="clear" w:color="auto" w:fill="EEF3FA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Month 3-4</w:t>
            </w:r>
          </w:p>
        </w:tc>
      </w:tr>
      <w:tr>
        <w:tc>
          <w:tcPr>
            <w:tcW w:type="dxa" w:w="3213"/>
            <w:shd w:val="clear" w:color="auto" w:fill="FFFFFF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VASP / Regulatory Review</w:t>
            </w:r>
          </w:p>
        </w:tc>
        <w:tc>
          <w:tcPr>
            <w:tcW w:type="dxa" w:w="3213"/>
            <w:shd w:val="clear" w:color="auto" w:fill="FFFFFF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Legal classification of digital asset activity</w:t>
            </w:r>
          </w:p>
        </w:tc>
        <w:tc>
          <w:tcPr>
            <w:tcW w:type="dxa" w:w="3213"/>
            <w:shd w:val="clear" w:color="auto" w:fill="FFFFFF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Legal counsel engaged</w:t>
            </w:r>
          </w:p>
        </w:tc>
      </w:tr>
      <w:tr>
        <w:tc>
          <w:tcPr>
            <w:tcW w:type="dxa" w:w="3213"/>
            <w:shd w:val="clear" w:color="auto" w:fill="EEF3FA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SOC 2 Type II</w:t>
            </w:r>
          </w:p>
        </w:tc>
        <w:tc>
          <w:tcPr>
            <w:tcW w:type="dxa" w:w="3213"/>
            <w:shd w:val="clear" w:color="auto" w:fill="EEF3FA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Extended audit over operating period</w:t>
            </w:r>
          </w:p>
        </w:tc>
        <w:tc>
          <w:tcPr>
            <w:tcW w:type="dxa" w:w="3213"/>
            <w:shd w:val="clear" w:color="auto" w:fill="EEF3FA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Month 6-12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C9A84C"/>
            <w:tcW w:w="680" w:type="dxa"/>
            <w:tcMar>
              <w:top w:w="70" w:type="dxa"/>
              <w:bottom w:w="70" w:type="dxa"/>
              <w:left w:w="80" w:type="dxa"/>
              <w:right w:w="60" w:type="dxa"/>
            </w:tcMar>
            <w:tcBorders>
              <w:top w:val="none" w:sz="0" w:space="0" w:color="0A1628"/>
              <w:left w:val="none" w:sz="0" w:space="0" w:color="0A1628"/>
              <w:bottom w:val="none" w:sz="0" w:space="0" w:color="0A1628"/>
              <w:right w:val="none" w:sz="0" w:space="0" w:color="0A162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0A1628"/>
                <w:sz w:val="22"/>
              </w:rPr>
              <w:t>07</w:t>
            </w:r>
          </w:p>
        </w:tc>
        <w:tc>
          <w:tcPr>
            <w:tcW w:type="dxa" w:w="4819"/>
            <w:shd w:val="clear" w:color="auto" w:fill="0A1628"/>
            <w:tcW w:w="8958" w:type="dxa"/>
            <w:tcMar>
              <w:top w:w="70" w:type="dxa"/>
              <w:bottom w:w="70" w:type="dxa"/>
              <w:left w:w="120" w:type="dxa"/>
              <w:right w:w="80" w:type="dxa"/>
            </w:tcMar>
            <w:tcBorders>
              <w:top w:val="none" w:sz="0" w:space="0" w:color="0A1628"/>
              <w:left w:val="none" w:sz="0" w:space="0" w:color="0A1628"/>
              <w:bottom w:val="none" w:sz="0" w:space="0" w:color="0A1628"/>
              <w:right w:val="none" w:sz="0" w:space="0" w:color="0A162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22"/>
              </w:rPr>
              <w:t>DOCUMENTS ATTACHED TO THIS ASSURANCE PACKAGE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A1628"/>
            <w:tcW w:w="1984" w:type="dx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18"/>
              </w:rPr>
              <w:t>Document</w:t>
            </w:r>
          </w:p>
        </w:tc>
        <w:tc>
          <w:tcPr>
            <w:tcW w:type="dxa" w:w="3213"/>
            <w:shd w:val="clear" w:color="auto" w:fill="0A1628"/>
            <w:tcW w:w="5103" w:type="dx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18"/>
              </w:rPr>
              <w:t>Contents</w:t>
            </w:r>
          </w:p>
        </w:tc>
        <w:tc>
          <w:tcPr>
            <w:tcW w:type="dxa" w:w="3213"/>
            <w:shd w:val="clear" w:color="auto" w:fill="0A1628"/>
            <w:tcW w:w="2551" w:type="dxa"/>
            <w:tcMar>
              <w:top w:w="60" w:type="dxa"/>
              <w:bottom w:w="60" w:type="dxa"/>
              <w:left w:w="90" w:type="dxa"/>
              <w:right w:w="90" w:type="dxa"/>
            </w:tcMar>
            <w:tcBorders>
              <w:top w:val="single" w:sz="4" w:space="0" w:color="C9A84C"/>
              <w:left w:val="single" w:sz="2" w:space="0" w:color="C5CDD8"/>
              <w:bottom w:val="single" w:sz="4" w:space="0" w:color="C9A84C"/>
              <w:right w:val="single" w:sz="2" w:space="0" w:color="C5CDD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/>
                <w:i w:val="0"/>
                <w:color w:val="C9A84C"/>
                <w:sz w:val="18"/>
              </w:rPr>
              <w:t>Status</w:t>
            </w:r>
          </w:p>
        </w:tc>
      </w:tr>
      <w:tr>
        <w:tc>
          <w:tcPr>
            <w:tcW w:type="dxa" w:w="3213"/>
            <w:shd w:val="clear" w:color="auto" w:fill="EEF3FA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Sender Technical Integration Guide</w:t>
            </w:r>
          </w:p>
        </w:tc>
        <w:tc>
          <w:tcPr>
            <w:tcW w:type="dxa" w:w="3213"/>
            <w:shd w:val="clear" w:color="auto" w:fill="EEF3FA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Complete API specs, security architecture, JSON schema, HTTP examples, workflow diagram</w:t>
            </w:r>
          </w:p>
        </w:tc>
        <w:tc>
          <w:tcPr>
            <w:tcW w:type="dxa" w:w="3213"/>
            <w:shd w:val="clear" w:color="auto" w:fill="EEF3FA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Attached</w:t>
            </w:r>
          </w:p>
        </w:tc>
      </w:tr>
      <w:tr>
        <w:tc>
          <w:tcPr>
            <w:tcW w:type="dxa" w:w="3213"/>
            <w:shd w:val="clear" w:color="auto" w:fill="FFFFFF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Transaction Workflow Diagram</w:t>
            </w:r>
          </w:p>
        </w:tc>
        <w:tc>
          <w:tcPr>
            <w:tcW w:type="dxa" w:w="3213"/>
            <w:shd w:val="clear" w:color="auto" w:fill="FFFFFF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12-step visual flowchart from onboarding to settlement finality</w:t>
            </w:r>
          </w:p>
        </w:tc>
        <w:tc>
          <w:tcPr>
            <w:tcW w:type="dxa" w:w="3213"/>
            <w:shd w:val="clear" w:color="auto" w:fill="FFFFFF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Attached</w:t>
            </w:r>
          </w:p>
        </w:tc>
      </w:tr>
      <w:tr>
        <w:tc>
          <w:tcPr>
            <w:tcW w:type="dxa" w:w="3213"/>
            <w:shd w:val="clear" w:color="auto" w:fill="EEF3FA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Client Information Sheet (CIS)</w:t>
            </w:r>
          </w:p>
        </w:tc>
        <w:tc>
          <w:tcPr>
            <w:tcW w:type="dxa" w:w="3213"/>
            <w:shd w:val="clear" w:color="auto" w:fill="EEF3FA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Receiver details, wallet, compliance, execution procedure, and confidentiality agreement</w:t>
            </w:r>
          </w:p>
        </w:tc>
        <w:tc>
          <w:tcPr>
            <w:tcW w:type="dxa" w:w="3213"/>
            <w:shd w:val="clear" w:color="auto" w:fill="EEF3FA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Attached</w:t>
            </w:r>
          </w:p>
        </w:tc>
      </w:tr>
      <w:tr>
        <w:tc>
          <w:tcPr>
            <w:tcW w:type="dxa" w:w="3213"/>
            <w:shd w:val="clear" w:color="auto" w:fill="FFFFFF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HMAC Signed Payload Sample</w:t>
            </w:r>
          </w:p>
        </w:tc>
        <w:tc>
          <w:tcPr>
            <w:tcW w:type="dxa" w:w="3213"/>
            <w:shd w:val="clear" w:color="auto" w:fill="FFFFFF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Working example with computed X-Signature for integration testing</w:t>
            </w:r>
          </w:p>
        </w:tc>
        <w:tc>
          <w:tcPr>
            <w:tcW w:type="dxa" w:w="3213"/>
            <w:shd w:val="clear" w:color="auto" w:fill="FFFFFF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On request</w:t>
            </w:r>
          </w:p>
        </w:tc>
      </w:tr>
      <w:tr>
        <w:tc>
          <w:tcPr>
            <w:tcW w:type="dxa" w:w="3213"/>
            <w:shd w:val="clear" w:color="auto" w:fill="EEF3FA"/>
            <w:tcW w:w="1984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OAuth2 Token Exchange Sample</w:t>
            </w:r>
          </w:p>
        </w:tc>
        <w:tc>
          <w:tcPr>
            <w:tcW w:type="dxa" w:w="3213"/>
            <w:shd w:val="clear" w:color="auto" w:fill="EEF3FA"/>
            <w:tcW w:w="5103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client_credentials flow with sample response</w:t>
            </w:r>
          </w:p>
        </w:tc>
        <w:tc>
          <w:tcPr>
            <w:tcW w:type="dxa" w:w="3213"/>
            <w:shd w:val="clear" w:color="auto" w:fill="EEF3FA"/>
            <w:tcW w:w="2551" w:type="dxa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single" w:sz="2" w:space="0" w:color="C5CDD8"/>
              <w:left w:val="single" w:sz="2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On request</w:t>
            </w:r>
          </w:p>
        </w:tc>
      </w:tr>
    </w:tbl>
    <w:p>
      <w:pPr>
        <w:spacing w:before="0" w:after="160"/>
      </w:pPr>
    </w:p>
    <w:p>
      <w:pPr>
        <w:pBdr>
          <w:bottom w:val="single" w:sz="6" w:space="1" w:color="C9A84C"/>
        </w:pBdr>
        <w:spacing w:before="0" w:after="80"/>
      </w:pPr>
    </w:p>
    <w:p>
      <w:pPr>
        <w:spacing w:before="0" w:after="120"/>
      </w:pPr>
    </w:p>
    <w:p>
      <w:pPr>
        <w:jc w:val="left"/>
        <w:spacing w:before="0" w:after="80"/>
      </w:pPr>
      <w:r>
        <w:rPr>
          <w:rFonts w:ascii="Calibri" w:hAnsi="Calibri"/>
          <w:b w:val="0"/>
          <w:i w:val="0"/>
          <w:color w:val="1C2A38"/>
          <w:sz w:val="21"/>
        </w:rPr>
        <w:t>We are fully committed to a transparent, secure, and professional integration process. We welcome any technical questions, a live API demonstration, or a preliminary test transaction at your earliest convenience.</w:t>
      </w:r>
    </w:p>
    <w:p>
      <w:pPr>
        <w:jc w:val="left"/>
        <w:spacing w:before="0" w:after="60"/>
      </w:pPr>
      <w:r>
        <w:rPr>
          <w:rFonts w:ascii="Calibri" w:hAnsi="Calibri"/>
          <w:b w:val="0"/>
          <w:i w:val="0"/>
          <w:color w:val="1C2A38"/>
          <w:sz w:val="21"/>
        </w:rPr>
        <w:t>Please do not hesitate to contact us directly: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EF3FA"/>
            <w:tcW w:w="2551" w:type="dxa"/>
            <w:tcMar>
              <w:top w:w="55" w:type="dxa"/>
              <w:bottom w:w="55" w:type="dxa"/>
              <w:left w:w="100" w:type="dxa"/>
              <w:right w:w="80" w:type="dxa"/>
            </w:tcMar>
            <w:tcBorders>
              <w:top w:val="single" w:sz="2" w:space="0" w:color="C5CDD8"/>
              <w:left w:val="single" w:sz="6" w:space="0" w:color="C9A84C"/>
              <w:bottom w:val="single" w:sz="2" w:space="0" w:color="C5CDD8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Email</w:t>
            </w:r>
          </w:p>
        </w:tc>
        <w:tc>
          <w:tcPr>
            <w:tcW w:type="dxa" w:w="4819"/>
            <w:shd w:val="clear" w:color="auto" w:fill="FFFFFF"/>
            <w:tcW w:w="7087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ceo@alshumookhgroup.ae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EF3FA"/>
            <w:tcW w:w="2551" w:type="dxa"/>
            <w:tcMar>
              <w:top w:w="55" w:type="dxa"/>
              <w:bottom w:w="55" w:type="dxa"/>
              <w:left w:w="100" w:type="dxa"/>
              <w:right w:w="80" w:type="dxa"/>
            </w:tcMar>
            <w:tcBorders>
              <w:top w:val="single" w:sz="2" w:space="0" w:color="C5CDD8"/>
              <w:left w:val="single" w:sz="6" w:space="0" w:color="C9A84C"/>
              <w:bottom w:val="single" w:sz="2" w:space="0" w:color="C5CDD8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Platform</w:t>
            </w:r>
          </w:p>
        </w:tc>
        <w:tc>
          <w:tcPr>
            <w:tcW w:type="dxa" w:w="4819"/>
            <w:shd w:val="clear" w:color="auto" w:fill="FFFFFF"/>
            <w:tcW w:w="7087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https://api.alshumookh-pay.com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EF3FA"/>
            <w:tcW w:w="2551" w:type="dxa"/>
            <w:tcMar>
              <w:top w:w="55" w:type="dxa"/>
              <w:bottom w:w="55" w:type="dxa"/>
              <w:left w:w="100" w:type="dxa"/>
              <w:right w:w="80" w:type="dxa"/>
            </w:tcMar>
            <w:tcBorders>
              <w:top w:val="single" w:sz="2" w:space="0" w:color="C5CDD8"/>
              <w:left w:val="single" w:sz="6" w:space="0" w:color="C9A84C"/>
              <w:bottom w:val="single" w:sz="2" w:space="0" w:color="C5CDD8"/>
              <w:right w:val="single" w:sz="6" w:space="0" w:color="C9A84C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i w:val="0"/>
                <w:color w:val="4A5D70"/>
                <w:sz w:val="18"/>
              </w:rPr>
              <w:t>Address</w:t>
            </w:r>
          </w:p>
        </w:tc>
        <w:tc>
          <w:tcPr>
            <w:tcW w:type="dxa" w:w="4819"/>
            <w:shd w:val="clear" w:color="auto" w:fill="FFFFFF"/>
            <w:tcW w:w="7087" w:type="dxa"/>
            <w:tcMar>
              <w:top w:w="55" w:type="dxa"/>
              <w:bottom w:w="55" w:type="dxa"/>
              <w:left w:w="80" w:type="dxa"/>
              <w:right w:w="80" w:type="dxa"/>
            </w:tcMar>
            <w:tcBorders>
              <w:top w:val="single" w:sz="2" w:space="0" w:color="C5CDD8"/>
              <w:left w:val="none" w:sz="0" w:space="0" w:color="C5CDD8"/>
              <w:bottom w:val="single" w:sz="2" w:space="0" w:color="C5CDD8"/>
              <w:right w:val="single" w:sz="2" w:space="0" w:color="C5CDD8"/>
            </w:tcBorders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 w:val="0"/>
                <w:i w:val="0"/>
                <w:color w:val="1C2A38"/>
                <w:sz w:val="18"/>
              </w:rPr>
              <w:t>API World Tower, Office 2103/2104, Shaikh Zayed Road, Dubai, UAE</w:t>
            </w:r>
          </w:p>
        </w:tc>
      </w:tr>
    </w:tbl>
    <w:p>
      <w:pPr>
        <w:spacing w:before="0" w:after="120"/>
      </w:pPr>
    </w:p>
    <w:p>
      <w:pPr>
        <w:jc w:val="left"/>
        <w:spacing w:before="0" w:after="60"/>
      </w:pPr>
      <w:r>
        <w:rPr>
          <w:rFonts w:ascii="Calibri" w:hAnsi="Calibri"/>
          <w:b w:val="0"/>
          <w:i w:val="0"/>
          <w:color w:val="1C2A38"/>
          <w:sz w:val="21"/>
        </w:rPr>
        <w:t>Yours sincerely,</w:t>
      </w:r>
    </w:p>
    <w:p>
      <w:pPr>
        <w:spacing w:before="0" w:after="400"/>
      </w:pPr>
    </w:p>
    <w:p>
      <w:pPr>
        <w:jc w:val="left"/>
        <w:spacing w:before="0" w:after="20"/>
      </w:pPr>
      <w:r>
        <w:rPr>
          <w:rFonts w:ascii="Calibri" w:hAnsi="Calibri"/>
          <w:b/>
          <w:i w:val="0"/>
          <w:color w:val="1C2A38"/>
          <w:sz w:val="22"/>
        </w:rPr>
        <w:t>Ahmed Mohamed</w:t>
      </w:r>
    </w:p>
    <w:p>
      <w:pPr>
        <w:jc w:val="left"/>
        <w:spacing w:before="0" w:after="20"/>
      </w:pPr>
      <w:r>
        <w:rPr>
          <w:rFonts w:ascii="Calibri" w:hAnsi="Calibri"/>
          <w:b w:val="0"/>
          <w:i w:val="0"/>
          <w:color w:val="4A5D70"/>
          <w:sz w:val="20"/>
        </w:rPr>
        <w:t>Chief Executive Officer</w:t>
      </w:r>
    </w:p>
    <w:p>
      <w:pPr>
        <w:jc w:val="left"/>
        <w:spacing w:before="0" w:after="20"/>
      </w:pPr>
      <w:r>
        <w:rPr>
          <w:rFonts w:ascii="Calibri" w:hAnsi="Calibri"/>
          <w:b w:val="0"/>
          <w:i w:val="0"/>
          <w:color w:val="4A5D70"/>
          <w:sz w:val="20"/>
        </w:rPr>
        <w:t>Alshumookh Global Banking Financing and Credit</w:t>
      </w:r>
    </w:p>
    <w:p>
      <w:pPr>
        <w:jc w:val="left"/>
        <w:spacing w:before="0" w:after="0"/>
      </w:pPr>
      <w:r>
        <w:rPr>
          <w:rFonts w:ascii="Calibri" w:hAnsi="Calibri"/>
          <w:b w:val="0"/>
          <w:i/>
          <w:color w:val="4A5D70"/>
          <w:sz w:val="19"/>
        </w:rPr>
        <w:t>ceo@alshumookhgroup.ae  |  https://api.alshumookh-pay.com</w:t>
      </w:r>
    </w:p>
    <w:p>
      <w:pPr>
        <w:spacing w:before="0"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A1628"/>
            <w:tcW w:w="9639" w:type="dx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8" w:space="0" w:color="C9A84C"/>
              <w:left w:val="none" w:sz="0" w:space="0" w:color="0A1628"/>
              <w:bottom w:val="none" w:sz="0" w:space="0" w:color="0A1628"/>
              <w:right w:val="none" w:sz="0" w:space="0" w:color="0A1628"/>
            </w:tcBorders>
          </w:tcPr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C5CDD8"/>
                <w:sz w:val="15"/>
              </w:rPr>
              <w:t>CONFIDENTIAL — This letter and all attachments are intended solely for the named counterparty. Unauthorised distribution is strictly prohibited.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