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
      </w:pPr>
    </w:p>
    <w:p>
      <w:pPr>
        <w:spacing w:after="40" w:before="60"/>
        <w:jc w:val="center"/>
      </w:pPr>
      <w:r>
        <w:rPr>
          <w:rFonts w:ascii="Arial" w:cs="Arial" w:eastAsia="Arial" w:hAnsi="Arial"/>
          <w:b/>
          <w:bCs/>
          <w:i w:val="false"/>
          <w:iCs w:val="false"/>
          <w:caps/>
          <w:color w:val="0D2240"/>
          <w:sz w:val="56"/>
          <w:szCs w:val="56"/>
        </w:rPr>
        <w:t xml:space="preserve">CORPORATE PAYMENT GUARANTEE</w:t>
      </w:r>
    </w:p>
    <w:p>
      <w:pPr>
        <w:spacing w:after="60" w:before="60"/>
        <w:jc w:val="center"/>
      </w:pPr>
      <w:r>
        <w:rPr>
          <w:rFonts w:ascii="Arial" w:cs="Arial" w:eastAsia="Arial" w:hAnsi="Arial"/>
          <w:b w:val="false"/>
          <w:bCs w:val="false"/>
          <w:i/>
          <w:iCs/>
          <w:caps w:val="false"/>
          <w:color w:val="C9A84C"/>
          <w:sz w:val="26"/>
          <w:szCs w:val="26"/>
        </w:rPr>
        <w:t xml:space="preserve">Payment Undertaking for API Transaction Proceeds</w:t>
      </w:r>
    </w:p>
    <w:p>
      <w:pPr>
        <w:pBdr>
          <w:bottom w:val="single" w:color="0D2240" w:sz="12" w:space="1"/>
        </w:pBdr>
        <w:spacing w:after="4" w:before="40"/>
      </w:pPr>
    </w:p>
    <w:p>
      <w:pPr>
        <w:pBdr>
          <w:bottom w:val="single" w:color="C9A84C" w:sz="4" w:space="1"/>
        </w:pBdr>
        <w:spacing w:after="60" w:before="4"/>
      </w:pPr>
    </w:p>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55" w:before="55"/>
            </w:pPr>
            <w:r>
              <w:rPr>
                <w:rFonts w:ascii="Times New Roman" w:cs="Times New Roman" w:eastAsia="Times New Roman" w:hAnsi="Times New Roman"/>
                <w:b/>
                <w:bCs/>
                <w:color w:val="0D2240"/>
                <w:sz w:val="22"/>
                <w:szCs w:val="22"/>
              </w:rPr>
              <w:t xml:space="preserve">Date:  </w:t>
            </w:r>
            <w:r>
              <w:rPr>
                <w:rFonts w:ascii="Times New Roman" w:cs="Times New Roman" w:eastAsia="Times New Roman" w:hAnsi="Times New Roman"/>
                <w:b w:val="false"/>
                <w:bCs w:val="false"/>
                <w:color w:val="1C1C1C"/>
                <w:sz w:val="22"/>
                <w:szCs w:val="22"/>
              </w:rPr>
              <w:t xml:space="preserve">12 June 2026</w:t>
            </w:r>
          </w:p>
        </w:tc>
        <w:tc>
          <w:tcPr>
            <w:tcW w:type="dxa" w:w="4680"/>
            <w:tcBorders>
              <w:top w:val="none" w:color="FFFFFF" w:sz="0"/>
              <w:left w:val="none" w:color="FFFFFF" w:sz="0"/>
              <w:bottom w:val="none" w:color="FFFFFF" w:sz="0"/>
              <w:right w:val="none" w:color="FFFFFF" w:sz="0"/>
            </w:tcBorders>
          </w:tcPr>
          <w:p>
            <w:pPr>
              <w:spacing w:after="55" w:before="55"/>
            </w:pPr>
            <w:r>
              <w:rPr>
                <w:rFonts w:ascii="Times New Roman" w:cs="Times New Roman" w:eastAsia="Times New Roman" w:hAnsi="Times New Roman"/>
                <w:b/>
                <w:bCs/>
                <w:color w:val="0D2240"/>
                <w:sz w:val="22"/>
                <w:szCs w:val="22"/>
              </w:rPr>
              <w:t xml:space="preserve">Reference No.:  </w:t>
            </w:r>
            <w:r>
              <w:rPr>
                <w:rFonts w:ascii="Times New Roman" w:cs="Times New Roman" w:eastAsia="Times New Roman" w:hAnsi="Times New Roman"/>
                <w:b w:val="false"/>
                <w:bCs w:val="false"/>
                <w:color w:val="1C1C1C"/>
                <w:sz w:val="22"/>
                <w:szCs w:val="22"/>
              </w:rPr>
              <w:t xml:space="preserve">CPG-ASIG-2026-001</w:t>
            </w:r>
          </w:p>
        </w:tc>
      </w:tr>
    </w:tbl>
    <w:p>
      <w:pPr>
        <w:spacing w:after="0" w:before="60"/>
      </w:pP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This Corporate Payment Guarantee ("Guarantee") is issued by:</w:t>
      </w:r>
    </w:p>
    <w:p>
      <w:pPr>
        <w:spacing w:after="0" w:before="80"/>
      </w:pPr>
    </w:p>
    <w:p>
      <w:pPr>
        <w:shd w:fill="0D2240" w:val="clear"/>
        <w:spacing w:after="0" w:before="80"/>
      </w:pPr>
      <w:r>
        <w:rPr>
          <w:rFonts w:ascii="Arial" w:cs="Arial" w:eastAsia="Arial" w:hAnsi="Arial"/>
          <w:b/>
          <w:bCs/>
          <w:caps/>
          <w:color w:val="FFFFFF"/>
          <w:sz w:val="24"/>
          <w:szCs w:val="24"/>
        </w:rPr>
        <w:t xml:space="preserve">  PARTY "A"  —  ISSUER / GUARANTOR</w:t>
      </w:r>
    </w:p>
    <w:p>
      <w:pPr>
        <w:shd w:fill="C9A84C" w:val="clear"/>
        <w:spacing w:after="60" w:before="0"/>
      </w:pPr>
      <w:r>
        <w:rPr>
          <w:rFonts w:ascii="Arial" w:cs="Arial" w:eastAsia="Arial" w:hAnsi="Arial"/>
          <w:b/>
          <w:bCs/>
          <w:color w:val="FFFFFF"/>
          <w:sz w:val="20"/>
          <w:szCs w:val="20"/>
        </w:rPr>
        <w:t xml:space="preserve">  Alshumookh Global Banking Financing And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D0D8E4" w:sz="1"/>
              <w:left w:val="single" w:color="D0D8E4" w:sz="1"/>
              <w:bottom w:val="single" w:color="D0D8E4" w:sz="1"/>
              <w:right w:val="single" w:color="D0D8E4" w:sz="1"/>
            </w:tcBorders>
            <w:shd w:fill="E8EEF5" w:val="clear"/>
            <w:tcMar>
              <w:top w:type="dxa" w:w="80"/>
              <w:left w:type="dxa" w:w="160"/>
              <w:bottom w:type="dxa" w:w="80"/>
              <w:right w:type="dxa" w:w="120"/>
            </w:tcMar>
          </w:tcPr>
          <w:p>
            <w:r>
              <w:rPr>
                <w:rFonts w:ascii="Arial" w:cs="Arial" w:eastAsia="Arial" w:hAnsi="Arial"/>
                <w:b/>
                <w:bCs/>
                <w:color w:val="0D2240"/>
                <w:sz w:val="20"/>
                <w:szCs w:val="20"/>
              </w:rPr>
              <w:t xml:space="preserve">Company Name</w:t>
            </w:r>
          </w:p>
        </w:tc>
        <w:tc>
          <w:tcPr>
            <w:tcW w:type="dxa" w:w="64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Alshumookh Global Banking Financing And Credit</w:t>
            </w:r>
          </w:p>
        </w:tc>
      </w:tr>
      <w:tr>
        <w:tc>
          <w:tcPr>
            <w:tcW w:type="dxa" w:w="2900"/>
            <w:tcBorders>
              <w:top w:val="single" w:color="D0D8E4" w:sz="1"/>
              <w:left w:val="single" w:color="D0D8E4" w:sz="1"/>
              <w:bottom w:val="single" w:color="D0D8E4" w:sz="1"/>
              <w:right w:val="single" w:color="D0D8E4" w:sz="1"/>
            </w:tcBorders>
            <w:shd w:fill="FAFAF7" w:val="clear"/>
            <w:tcMar>
              <w:top w:type="dxa" w:w="80"/>
              <w:left w:type="dxa" w:w="160"/>
              <w:bottom w:type="dxa" w:w="80"/>
              <w:right w:type="dxa" w:w="120"/>
            </w:tcMar>
          </w:tcPr>
          <w:p>
            <w:r>
              <w:rPr>
                <w:rFonts w:ascii="Arial" w:cs="Arial" w:eastAsia="Arial" w:hAnsi="Arial"/>
                <w:b/>
                <w:bCs/>
                <w:color w:val="0D2240"/>
                <w:sz w:val="20"/>
                <w:szCs w:val="20"/>
              </w:rPr>
              <w:t xml:space="preserve">Office Address</w:t>
            </w:r>
          </w:p>
        </w:tc>
        <w:tc>
          <w:tcPr>
            <w:tcW w:type="dxa" w:w="64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API World Tower, Sheikh Zayed Road, Office 2103-04, Dubai, UAE</w:t>
            </w:r>
          </w:p>
        </w:tc>
      </w:tr>
      <w:tr>
        <w:tc>
          <w:tcPr>
            <w:tcW w:type="dxa" w:w="2900"/>
            <w:tcBorders>
              <w:top w:val="single" w:color="D0D8E4" w:sz="1"/>
              <w:left w:val="single" w:color="D0D8E4" w:sz="1"/>
              <w:bottom w:val="single" w:color="D0D8E4" w:sz="1"/>
              <w:right w:val="single" w:color="D0D8E4" w:sz="1"/>
            </w:tcBorders>
            <w:shd w:fill="E8EEF5" w:val="clear"/>
            <w:tcMar>
              <w:top w:type="dxa" w:w="80"/>
              <w:left w:type="dxa" w:w="160"/>
              <w:bottom w:type="dxa" w:w="80"/>
              <w:right w:type="dxa" w:w="120"/>
            </w:tcMar>
          </w:tcPr>
          <w:p>
            <w:r>
              <w:rPr>
                <w:rFonts w:ascii="Arial" w:cs="Arial" w:eastAsia="Arial" w:hAnsi="Arial"/>
                <w:b/>
                <w:bCs/>
                <w:color w:val="0D2240"/>
                <w:sz w:val="20"/>
                <w:szCs w:val="20"/>
              </w:rPr>
              <w:t xml:space="preserve">License No.</w:t>
            </w:r>
          </w:p>
        </w:tc>
        <w:tc>
          <w:tcPr>
            <w:tcW w:type="dxa" w:w="64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887065</w:t>
            </w:r>
          </w:p>
        </w:tc>
      </w:tr>
      <w:tr>
        <w:tc>
          <w:tcPr>
            <w:tcW w:type="dxa" w:w="2900"/>
            <w:tcBorders>
              <w:top w:val="single" w:color="D0D8E4" w:sz="1"/>
              <w:left w:val="single" w:color="D0D8E4" w:sz="1"/>
              <w:bottom w:val="single" w:color="D0D8E4" w:sz="1"/>
              <w:right w:val="single" w:color="D0D8E4" w:sz="1"/>
            </w:tcBorders>
            <w:shd w:fill="FAFAF7" w:val="clear"/>
            <w:tcMar>
              <w:top w:type="dxa" w:w="80"/>
              <w:left w:type="dxa" w:w="160"/>
              <w:bottom w:type="dxa" w:w="80"/>
              <w:right w:type="dxa" w:w="120"/>
            </w:tcMar>
          </w:tcPr>
          <w:p>
            <w:r>
              <w:rPr>
                <w:rFonts w:ascii="Arial" w:cs="Arial" w:eastAsia="Arial" w:hAnsi="Arial"/>
                <w:b/>
                <w:bCs/>
                <w:color w:val="0D2240"/>
                <w:sz w:val="20"/>
                <w:szCs w:val="20"/>
              </w:rPr>
              <w:t xml:space="preserve">Regulatory Status</w:t>
            </w:r>
          </w:p>
        </w:tc>
        <w:tc>
          <w:tcPr>
            <w:tcW w:type="dxa" w:w="64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Regulated Financial Services Entity</w:t>
            </w:r>
          </w:p>
        </w:tc>
      </w:tr>
      <w:tr>
        <w:tc>
          <w:tcPr>
            <w:tcW w:type="dxa" w:w="2900"/>
            <w:tcBorders>
              <w:top w:val="single" w:color="D0D8E4" w:sz="1"/>
              <w:left w:val="single" w:color="D0D8E4" w:sz="1"/>
              <w:bottom w:val="single" w:color="D0D8E4" w:sz="1"/>
              <w:right w:val="single" w:color="D0D8E4" w:sz="1"/>
            </w:tcBorders>
            <w:shd w:fill="E8EEF5" w:val="clear"/>
            <w:tcMar>
              <w:top w:type="dxa" w:w="80"/>
              <w:left w:type="dxa" w:w="160"/>
              <w:bottom w:type="dxa" w:w="80"/>
              <w:right w:type="dxa" w:w="120"/>
            </w:tcMar>
          </w:tcPr>
          <w:p>
            <w:r>
              <w:rPr>
                <w:rFonts w:ascii="Arial" w:cs="Arial" w:eastAsia="Arial" w:hAnsi="Arial"/>
                <w:b/>
                <w:bCs/>
                <w:color w:val="0D2240"/>
                <w:sz w:val="20"/>
                <w:szCs w:val="20"/>
              </w:rPr>
              <w:t xml:space="preserve">Represented By</w:t>
            </w:r>
          </w:p>
        </w:tc>
        <w:tc>
          <w:tcPr>
            <w:tcW w:type="dxa" w:w="64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Ahmed Mohamed</w:t>
            </w:r>
          </w:p>
        </w:tc>
      </w:tr>
      <w:tr>
        <w:tc>
          <w:tcPr>
            <w:tcW w:type="dxa" w:w="2900"/>
            <w:tcBorders>
              <w:top w:val="single" w:color="D0D8E4" w:sz="1"/>
              <w:left w:val="single" w:color="D0D8E4" w:sz="1"/>
              <w:bottom w:val="single" w:color="D0D8E4" w:sz="1"/>
              <w:right w:val="single" w:color="D0D8E4" w:sz="1"/>
            </w:tcBorders>
            <w:shd w:fill="FAFAF7" w:val="clear"/>
            <w:tcMar>
              <w:top w:type="dxa" w:w="80"/>
              <w:left w:type="dxa" w:w="160"/>
              <w:bottom w:type="dxa" w:w="80"/>
              <w:right w:type="dxa" w:w="120"/>
            </w:tcMar>
          </w:tcPr>
          <w:p>
            <w:r>
              <w:rPr>
                <w:rFonts w:ascii="Arial" w:cs="Arial" w:eastAsia="Arial" w:hAnsi="Arial"/>
                <w:b/>
                <w:bCs/>
                <w:color w:val="0D2240"/>
                <w:sz w:val="20"/>
                <w:szCs w:val="20"/>
              </w:rPr>
              <w:t xml:space="preserve">Position</w:t>
            </w:r>
          </w:p>
        </w:tc>
        <w:tc>
          <w:tcPr>
            <w:tcW w:type="dxa" w:w="64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Issuer / Execution Party</w:t>
            </w:r>
          </w:p>
        </w:tc>
      </w:tr>
      <w:tr>
        <w:tc>
          <w:tcPr>
            <w:tcW w:type="dxa" w:w="2900"/>
            <w:tcBorders>
              <w:top w:val="single" w:color="D0D8E4" w:sz="1"/>
              <w:left w:val="single" w:color="D0D8E4" w:sz="1"/>
              <w:bottom w:val="single" w:color="D0D8E4" w:sz="1"/>
              <w:right w:val="single" w:color="D0D8E4" w:sz="1"/>
            </w:tcBorders>
            <w:shd w:fill="E8EEF5" w:val="clear"/>
            <w:tcMar>
              <w:top w:type="dxa" w:w="80"/>
              <w:left w:type="dxa" w:w="160"/>
              <w:bottom w:type="dxa" w:w="80"/>
              <w:right w:type="dxa" w:w="120"/>
            </w:tcMar>
          </w:tcPr>
          <w:p>
            <w:r>
              <w:rPr>
                <w:rFonts w:ascii="Arial" w:cs="Arial" w:eastAsia="Arial" w:hAnsi="Arial"/>
                <w:b/>
                <w:bCs/>
                <w:color w:val="0D2240"/>
                <w:sz w:val="20"/>
                <w:szCs w:val="20"/>
              </w:rPr>
              <w:t xml:space="preserve">Authorized Signatory</w:t>
            </w:r>
          </w:p>
        </w:tc>
        <w:tc>
          <w:tcPr>
            <w:tcW w:type="dxa" w:w="64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Ahmed Mohamed</w:t>
            </w:r>
          </w:p>
        </w:tc>
      </w:tr>
      <w:tr>
        <w:tc>
          <w:tcPr>
            <w:tcW w:type="dxa" w:w="2900"/>
            <w:tcBorders>
              <w:top w:val="single" w:color="D0D8E4" w:sz="1"/>
              <w:left w:val="single" w:color="D0D8E4" w:sz="1"/>
              <w:bottom w:val="single" w:color="D0D8E4" w:sz="1"/>
              <w:right w:val="single" w:color="D0D8E4" w:sz="1"/>
            </w:tcBorders>
            <w:shd w:fill="FAFAF7" w:val="clear"/>
            <w:tcMar>
              <w:top w:type="dxa" w:w="80"/>
              <w:left w:type="dxa" w:w="160"/>
              <w:bottom w:type="dxa" w:w="80"/>
              <w:right w:type="dxa" w:w="120"/>
            </w:tcMar>
          </w:tcPr>
          <w:p>
            <w:r>
              <w:rPr>
                <w:rFonts w:ascii="Arial" w:cs="Arial" w:eastAsia="Arial" w:hAnsi="Arial"/>
                <w:b/>
                <w:bCs/>
                <w:color w:val="0D2240"/>
                <w:sz w:val="20"/>
                <w:szCs w:val="20"/>
              </w:rPr>
              <w:t xml:space="preserve">Platform</w:t>
            </w:r>
          </w:p>
        </w:tc>
        <w:tc>
          <w:tcPr>
            <w:tcW w:type="dxa" w:w="64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https://api.alshumookh-pay.com</w:t>
            </w:r>
          </w:p>
        </w:tc>
      </w:tr>
      <w:tr>
        <w:tc>
          <w:tcPr>
            <w:tcW w:type="dxa" w:w="2900"/>
            <w:tcBorders>
              <w:top w:val="single" w:color="D0D8E4" w:sz="1"/>
              <w:left w:val="single" w:color="D0D8E4" w:sz="1"/>
              <w:bottom w:val="single" w:color="D0D8E4" w:sz="1"/>
              <w:right w:val="single" w:color="D0D8E4" w:sz="1"/>
            </w:tcBorders>
            <w:shd w:fill="E8EEF5" w:val="clear"/>
            <w:tcMar>
              <w:top w:type="dxa" w:w="80"/>
              <w:left w:type="dxa" w:w="160"/>
              <w:bottom w:type="dxa" w:w="80"/>
              <w:right w:type="dxa" w:w="120"/>
            </w:tcMar>
          </w:tcPr>
          <w:p>
            <w:r>
              <w:rPr>
                <w:rFonts w:ascii="Arial" w:cs="Arial" w:eastAsia="Arial" w:hAnsi="Arial"/>
                <w:b/>
                <w:bCs/>
                <w:color w:val="0D2240"/>
                <w:sz w:val="20"/>
                <w:szCs w:val="20"/>
              </w:rPr>
              <w:t xml:space="preserve">API Endpoint</w:t>
            </w:r>
          </w:p>
        </w:tc>
        <w:tc>
          <w:tcPr>
            <w:tcW w:type="dxa" w:w="64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https://api.alshumookh-pay.com/api/v1/payloads/ingest</w:t>
            </w:r>
          </w:p>
        </w:tc>
      </w:tr>
    </w:tbl>
    <w:p>
      <w:pPr>
        <w:spacing w:after="80" w:before="90"/>
        <w:jc w:val="both"/>
      </w:pPr>
      <w:r>
        <w:rPr>
          <w:rFonts w:ascii="Times New Roman" w:cs="Times New Roman" w:eastAsia="Times New Roman" w:hAnsi="Times New Roman"/>
          <w:b w:val="false"/>
          <w:bCs w:val="false"/>
          <w:i/>
          <w:iCs/>
          <w:color w:val="1C1C1C"/>
          <w:sz w:val="22"/>
          <w:szCs w:val="22"/>
        </w:rPr>
        <w:t xml:space="preserve">Hereinafter referred to as the "Guarantor" or "Party A".</w:t>
      </w:r>
    </w:p>
    <w:p>
      <w:pPr>
        <w:spacing w:after="0" w:before="80"/>
      </w:pPr>
    </w:p>
    <w:p>
      <w:pPr>
        <w:shd w:fill="0D2240" w:val="clear"/>
        <w:spacing w:after="0" w:before="80"/>
      </w:pPr>
      <w:r>
        <w:rPr>
          <w:rFonts w:ascii="Arial" w:cs="Arial" w:eastAsia="Arial" w:hAnsi="Arial"/>
          <w:b/>
          <w:bCs/>
          <w:caps/>
          <w:color w:val="FFFFFF"/>
          <w:sz w:val="24"/>
          <w:szCs w:val="24"/>
        </w:rPr>
        <w:t xml:space="preserve">  IN FAVOR OF — PARTY "B"  —  INVESTOR / BENEFICIARY</w:t>
      </w:r>
    </w:p>
    <w:p>
      <w:pPr>
        <w:shd w:fill="C9A84C" w:val="clear"/>
        <w:spacing w:after="60" w:before="0"/>
      </w:pPr>
      <w:r>
        <w:rPr>
          <w:rFonts w:ascii="Arial" w:cs="Arial" w:eastAsia="Arial" w:hAnsi="Arial"/>
          <w:b/>
          <w:bCs/>
          <w:color w:val="FFFFFF"/>
          <w:sz w:val="20"/>
          <w:szCs w:val="20"/>
        </w:rPr>
        <w:t xml:space="preserve">  Values and Friends S.L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D0D8E4" w:sz="1"/>
              <w:left w:val="single" w:color="D0D8E4" w:sz="1"/>
              <w:bottom w:val="single" w:color="D0D8E4" w:sz="1"/>
              <w:right w:val="single" w:color="D0D8E4" w:sz="1"/>
            </w:tcBorders>
            <w:shd w:fill="E8EEF5" w:val="clear"/>
            <w:tcMar>
              <w:top w:type="dxa" w:w="80"/>
              <w:left w:type="dxa" w:w="160"/>
              <w:bottom w:type="dxa" w:w="80"/>
              <w:right w:type="dxa" w:w="120"/>
            </w:tcMar>
          </w:tcPr>
          <w:p>
            <w:r>
              <w:rPr>
                <w:rFonts w:ascii="Arial" w:cs="Arial" w:eastAsia="Arial" w:hAnsi="Arial"/>
                <w:b/>
                <w:bCs/>
                <w:color w:val="0D2240"/>
                <w:sz w:val="20"/>
                <w:szCs w:val="20"/>
              </w:rPr>
              <w:t xml:space="preserve">Company Name</w:t>
            </w:r>
          </w:p>
        </w:tc>
        <w:tc>
          <w:tcPr>
            <w:tcW w:type="dxa" w:w="64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Values and Friends S.L</w:t>
            </w:r>
          </w:p>
        </w:tc>
      </w:tr>
      <w:tr>
        <w:tc>
          <w:tcPr>
            <w:tcW w:type="dxa" w:w="2900"/>
            <w:tcBorders>
              <w:top w:val="single" w:color="D0D8E4" w:sz="1"/>
              <w:left w:val="single" w:color="D0D8E4" w:sz="1"/>
              <w:bottom w:val="single" w:color="D0D8E4" w:sz="1"/>
              <w:right w:val="single" w:color="D0D8E4" w:sz="1"/>
            </w:tcBorders>
            <w:shd w:fill="FAFAF7" w:val="clear"/>
            <w:tcMar>
              <w:top w:type="dxa" w:w="80"/>
              <w:left w:type="dxa" w:w="160"/>
              <w:bottom w:type="dxa" w:w="80"/>
              <w:right w:type="dxa" w:w="120"/>
            </w:tcMar>
          </w:tcPr>
          <w:p>
            <w:r>
              <w:rPr>
                <w:rFonts w:ascii="Arial" w:cs="Arial" w:eastAsia="Arial" w:hAnsi="Arial"/>
                <w:b/>
                <w:bCs/>
                <w:color w:val="0D2240"/>
                <w:sz w:val="20"/>
                <w:szCs w:val="20"/>
              </w:rPr>
              <w:t xml:space="preserve">Office Address</w:t>
            </w:r>
          </w:p>
        </w:tc>
        <w:tc>
          <w:tcPr>
            <w:tcW w:type="dxa" w:w="64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Calle María Auxiliadora 2, Planta 2ª, Oficina 5, 29602 Marbella (Málaga), Spain</w:t>
            </w:r>
          </w:p>
        </w:tc>
      </w:tr>
      <w:tr>
        <w:tc>
          <w:tcPr>
            <w:tcW w:type="dxa" w:w="2900"/>
            <w:tcBorders>
              <w:top w:val="single" w:color="D0D8E4" w:sz="1"/>
              <w:left w:val="single" w:color="D0D8E4" w:sz="1"/>
              <w:bottom w:val="single" w:color="D0D8E4" w:sz="1"/>
              <w:right w:val="single" w:color="D0D8E4" w:sz="1"/>
            </w:tcBorders>
            <w:shd w:fill="E8EEF5" w:val="clear"/>
            <w:tcMar>
              <w:top w:type="dxa" w:w="80"/>
              <w:left w:type="dxa" w:w="160"/>
              <w:bottom w:type="dxa" w:w="80"/>
              <w:right w:type="dxa" w:w="120"/>
            </w:tcMar>
          </w:tcPr>
          <w:p>
            <w:r>
              <w:rPr>
                <w:rFonts w:ascii="Arial" w:cs="Arial" w:eastAsia="Arial" w:hAnsi="Arial"/>
                <w:b/>
                <w:bCs/>
                <w:color w:val="0D2240"/>
                <w:sz w:val="20"/>
                <w:szCs w:val="20"/>
              </w:rPr>
              <w:t xml:space="preserve">Registration No.</w:t>
            </w:r>
          </w:p>
        </w:tc>
        <w:tc>
          <w:tcPr>
            <w:tcW w:type="dxa" w:w="64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B93559383</w:t>
            </w:r>
          </w:p>
        </w:tc>
      </w:tr>
      <w:tr>
        <w:tc>
          <w:tcPr>
            <w:tcW w:type="dxa" w:w="2900"/>
            <w:tcBorders>
              <w:top w:val="single" w:color="D0D8E4" w:sz="1"/>
              <w:left w:val="single" w:color="D0D8E4" w:sz="1"/>
              <w:bottom w:val="single" w:color="D0D8E4" w:sz="1"/>
              <w:right w:val="single" w:color="D0D8E4" w:sz="1"/>
            </w:tcBorders>
            <w:shd w:fill="FAFAF7" w:val="clear"/>
            <w:tcMar>
              <w:top w:type="dxa" w:w="80"/>
              <w:left w:type="dxa" w:w="160"/>
              <w:bottom w:type="dxa" w:w="80"/>
              <w:right w:type="dxa" w:w="120"/>
            </w:tcMar>
          </w:tcPr>
          <w:p>
            <w:r>
              <w:rPr>
                <w:rFonts w:ascii="Arial" w:cs="Arial" w:eastAsia="Arial" w:hAnsi="Arial"/>
                <w:b/>
                <w:bCs/>
                <w:color w:val="0D2240"/>
                <w:sz w:val="20"/>
                <w:szCs w:val="20"/>
              </w:rPr>
              <w:t xml:space="preserve">Represented By</w:t>
            </w:r>
          </w:p>
        </w:tc>
        <w:tc>
          <w:tcPr>
            <w:tcW w:type="dxa" w:w="64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Mohammad Haji Rajabi</w:t>
            </w:r>
          </w:p>
        </w:tc>
      </w:tr>
      <w:tr>
        <w:tc>
          <w:tcPr>
            <w:tcW w:type="dxa" w:w="2900"/>
            <w:tcBorders>
              <w:top w:val="single" w:color="D0D8E4" w:sz="1"/>
              <w:left w:val="single" w:color="D0D8E4" w:sz="1"/>
              <w:bottom w:val="single" w:color="D0D8E4" w:sz="1"/>
              <w:right w:val="single" w:color="D0D8E4" w:sz="1"/>
            </w:tcBorders>
            <w:shd w:fill="E8EEF5" w:val="clear"/>
            <w:tcMar>
              <w:top w:type="dxa" w:w="80"/>
              <w:left w:type="dxa" w:w="160"/>
              <w:bottom w:type="dxa" w:w="80"/>
              <w:right w:type="dxa" w:w="120"/>
            </w:tcMar>
          </w:tcPr>
          <w:p>
            <w:r>
              <w:rPr>
                <w:rFonts w:ascii="Arial" w:cs="Arial" w:eastAsia="Arial" w:hAnsi="Arial"/>
                <w:b/>
                <w:bCs/>
                <w:color w:val="0D2240"/>
                <w:sz w:val="20"/>
                <w:szCs w:val="20"/>
              </w:rPr>
              <w:t xml:space="preserve">Position</w:t>
            </w:r>
          </w:p>
        </w:tc>
        <w:tc>
          <w:tcPr>
            <w:tcW w:type="dxa" w:w="64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CEO</w:t>
            </w:r>
          </w:p>
        </w:tc>
      </w:tr>
      <w:tr>
        <w:tc>
          <w:tcPr>
            <w:tcW w:type="dxa" w:w="2900"/>
            <w:tcBorders>
              <w:top w:val="single" w:color="D0D8E4" w:sz="1"/>
              <w:left w:val="single" w:color="D0D8E4" w:sz="1"/>
              <w:bottom w:val="single" w:color="D0D8E4" w:sz="1"/>
              <w:right w:val="single" w:color="D0D8E4" w:sz="1"/>
            </w:tcBorders>
            <w:shd w:fill="FAFAF7" w:val="clear"/>
            <w:tcMar>
              <w:top w:type="dxa" w:w="80"/>
              <w:left w:type="dxa" w:w="160"/>
              <w:bottom w:type="dxa" w:w="80"/>
              <w:right w:type="dxa" w:w="120"/>
            </w:tcMar>
          </w:tcPr>
          <w:p>
            <w:r>
              <w:rPr>
                <w:rFonts w:ascii="Arial" w:cs="Arial" w:eastAsia="Arial" w:hAnsi="Arial"/>
                <w:b/>
                <w:bCs/>
                <w:color w:val="0D2240"/>
                <w:sz w:val="20"/>
                <w:szCs w:val="20"/>
              </w:rPr>
              <w:t xml:space="preserve">Passport No.</w:t>
            </w:r>
          </w:p>
        </w:tc>
        <w:tc>
          <w:tcPr>
            <w:tcW w:type="dxa" w:w="64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C13J8ZVVJ</w:t>
            </w:r>
          </w:p>
        </w:tc>
      </w:tr>
      <w:tr>
        <w:tc>
          <w:tcPr>
            <w:tcW w:type="dxa" w:w="2900"/>
            <w:tcBorders>
              <w:top w:val="single" w:color="D0D8E4" w:sz="1"/>
              <w:left w:val="single" w:color="D0D8E4" w:sz="1"/>
              <w:bottom w:val="single" w:color="D0D8E4" w:sz="1"/>
              <w:right w:val="single" w:color="D0D8E4" w:sz="1"/>
            </w:tcBorders>
            <w:shd w:fill="E8EEF5" w:val="clear"/>
            <w:tcMar>
              <w:top w:type="dxa" w:w="80"/>
              <w:left w:type="dxa" w:w="160"/>
              <w:bottom w:type="dxa" w:w="80"/>
              <w:right w:type="dxa" w:w="120"/>
            </w:tcMar>
          </w:tcPr>
          <w:p>
            <w:r>
              <w:rPr>
                <w:rFonts w:ascii="Arial" w:cs="Arial" w:eastAsia="Arial" w:hAnsi="Arial"/>
                <w:b/>
                <w:bCs/>
                <w:color w:val="0D2240"/>
                <w:sz w:val="20"/>
                <w:szCs w:val="20"/>
              </w:rPr>
              <w:t xml:space="preserve">Date of Issue</w:t>
            </w:r>
          </w:p>
        </w:tc>
        <w:tc>
          <w:tcPr>
            <w:tcW w:type="dxa" w:w="64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20 January 2025</w:t>
            </w:r>
          </w:p>
        </w:tc>
      </w:tr>
      <w:tr>
        <w:tc>
          <w:tcPr>
            <w:tcW w:type="dxa" w:w="2900"/>
            <w:tcBorders>
              <w:top w:val="single" w:color="D0D8E4" w:sz="1"/>
              <w:left w:val="single" w:color="D0D8E4" w:sz="1"/>
              <w:bottom w:val="single" w:color="D0D8E4" w:sz="1"/>
              <w:right w:val="single" w:color="D0D8E4" w:sz="1"/>
            </w:tcBorders>
            <w:shd w:fill="FAFAF7" w:val="clear"/>
            <w:tcMar>
              <w:top w:type="dxa" w:w="80"/>
              <w:left w:type="dxa" w:w="160"/>
              <w:bottom w:type="dxa" w:w="80"/>
              <w:right w:type="dxa" w:w="120"/>
            </w:tcMar>
          </w:tcPr>
          <w:p>
            <w:r>
              <w:rPr>
                <w:rFonts w:ascii="Arial" w:cs="Arial" w:eastAsia="Arial" w:hAnsi="Arial"/>
                <w:b/>
                <w:bCs/>
                <w:color w:val="0D2240"/>
                <w:sz w:val="20"/>
                <w:szCs w:val="20"/>
              </w:rPr>
              <w:t xml:space="preserve">Date of Expiry</w:t>
            </w:r>
          </w:p>
        </w:tc>
        <w:tc>
          <w:tcPr>
            <w:tcW w:type="dxa" w:w="64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19 January 2035</w:t>
            </w:r>
          </w:p>
        </w:tc>
      </w:tr>
      <w:tr>
        <w:tc>
          <w:tcPr>
            <w:tcW w:type="dxa" w:w="2900"/>
            <w:tcBorders>
              <w:top w:val="single" w:color="D0D8E4" w:sz="1"/>
              <w:left w:val="single" w:color="D0D8E4" w:sz="1"/>
              <w:bottom w:val="single" w:color="D0D8E4" w:sz="1"/>
              <w:right w:val="single" w:color="D0D8E4" w:sz="1"/>
            </w:tcBorders>
            <w:shd w:fill="E8EEF5" w:val="clear"/>
            <w:tcMar>
              <w:top w:type="dxa" w:w="80"/>
              <w:left w:type="dxa" w:w="160"/>
              <w:bottom w:type="dxa" w:w="80"/>
              <w:right w:type="dxa" w:w="120"/>
            </w:tcMar>
          </w:tcPr>
          <w:p>
            <w:r>
              <w:rPr>
                <w:rFonts w:ascii="Arial" w:cs="Arial" w:eastAsia="Arial" w:hAnsi="Arial"/>
                <w:b/>
                <w:bCs/>
                <w:color w:val="0D2240"/>
                <w:sz w:val="20"/>
                <w:szCs w:val="20"/>
              </w:rPr>
              <w:t xml:space="preserve">Issuing Authority</w:t>
            </w:r>
          </w:p>
        </w:tc>
        <w:tc>
          <w:tcPr>
            <w:tcW w:type="dxa" w:w="64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Spain Embassy – Germany</w:t>
            </w:r>
          </w:p>
        </w:tc>
      </w:tr>
    </w:tbl>
    <w:p>
      <w:pPr>
        <w:spacing w:after="80" w:before="90"/>
        <w:jc w:val="both"/>
      </w:pPr>
      <w:r>
        <w:rPr>
          <w:rFonts w:ascii="Times New Roman" w:cs="Times New Roman" w:eastAsia="Times New Roman" w:hAnsi="Times New Roman"/>
          <w:b w:val="false"/>
          <w:bCs w:val="false"/>
          <w:i/>
          <w:iCs/>
          <w:color w:val="1C1C1C"/>
          <w:sz w:val="22"/>
          <w:szCs w:val="22"/>
        </w:rPr>
        <w:t xml:space="preserve">Hereinafter referred to as the "Investor" or "Party B".</w:t>
      </w:r>
    </w:p>
    <w:p>
      <w:pPr>
        <w:spacing w:after="0" w:before="100"/>
      </w:pPr>
    </w:p>
    <w:p>
      <w:pPr>
        <w:shd w:fill="0D2240" w:val="clear"/>
        <w:spacing w:after="0" w:before="260"/>
        <w:ind w:left="180" w:right="180"/>
      </w:pPr>
      <w:r>
        <w:rPr>
          <w:rFonts w:ascii="Arial" w:cs="Arial" w:eastAsia="Arial" w:hAnsi="Arial"/>
          <w:b/>
          <w:bCs/>
          <w:caps/>
          <w:color w:val="FFFFFF"/>
          <w:sz w:val="22"/>
          <w:szCs w:val="22"/>
        </w:rPr>
        <w:t xml:space="preserve">  RECITALS  </w:t>
      </w:r>
    </w:p>
    <w:p>
      <w:pPr>
        <w:spacing w:after="0" w:before="60"/>
      </w:pP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WHEREAS, Party B participated in and facilitated an API-based transaction executed through the infrastructure and platform of Party A;</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WHEREAS, Party A confirms that all applicable gas fees, blockchain transaction fees, network charges, and execution-related costs have already been fully paid by Party A;</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WHEREAS, this Guarantee is issued as a legally binding undertaking that becomes fully operative and enforceable upon the successful completion of the underlying transaction and the confirmed receipt of the total transaction proceeds by Party A;</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WHEREAS, Party A desires to provide a legally binding payment guarantee in favor of Party B and the designated Consultant regarding their agreed share of the transaction proceeds;</w:t>
      </w:r>
    </w:p>
    <w:p>
      <w:pPr>
        <w:spacing w:after="0" w:before="60"/>
      </w:pPr>
    </w:p>
    <w:p>
      <w:pPr>
        <w:spacing w:after="80" w:before="80"/>
        <w:jc w:val="both"/>
      </w:pPr>
      <w:r>
        <w:rPr>
          <w:rFonts w:ascii="Times New Roman" w:cs="Times New Roman" w:eastAsia="Times New Roman" w:hAnsi="Times New Roman"/>
          <w:b/>
          <w:bCs/>
          <w:i w:val="false"/>
          <w:iCs w:val="false"/>
          <w:color w:val="1C1C1C"/>
          <w:sz w:val="22"/>
          <w:szCs w:val="22"/>
        </w:rPr>
        <w:t xml:space="preserve">NOW, THEREFORE, in consideration of the mutual undertakings set forth herein, Party A hereby issues this Corporate Payment Guarantee under the following terms and conditions:</w:t>
      </w:r>
    </w:p>
    <w:p>
      <w:pPr>
        <w:spacing w:after="0" w:before="100"/>
      </w:pPr>
    </w:p>
    <w:p>
      <w:pPr>
        <w:pBdr>
          <w:bottom w:val="single" w:color="C9A84C" w:sz="2" w:space="3"/>
        </w:pBdr>
        <w:spacing w:after="80" w:before="240"/>
      </w:pPr>
      <w:r>
        <w:rPr>
          <w:rFonts w:ascii="Arial" w:cs="Arial" w:eastAsia="Arial" w:hAnsi="Arial"/>
          <w:b/>
          <w:bCs/>
          <w:color w:val="C9A84C"/>
          <w:sz w:val="26"/>
          <w:szCs w:val="26"/>
        </w:rPr>
        <w:t xml:space="preserve">1.</w:t>
      </w:r>
      <w:r>
        <w:rPr>
          <w:rFonts w:ascii="Arial" w:cs="Arial" w:eastAsia="Arial" w:hAnsi="Arial"/>
          <w:b/>
          <w:bCs/>
          <w:caps/>
          <w:color w:val="0D2240"/>
          <w:sz w:val="26"/>
          <w:szCs w:val="26"/>
        </w:rPr>
        <w:t xml:space="preserve">  PAYMENT GUARANTEE</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Party A hereby irrevocably and unconditionally undertakes to pay the following compensation from the proceeds, profits, earnings, returns, or monetization generated from the completed API transaction, subject to the condition precedent set forth in Clause 3 below:</w:t>
      </w:r>
    </w:p>
    <w:p>
      <w:pPr>
        <w:spacing w:after="0" w:before="60"/>
      </w:pPr>
    </w:p>
    <w:p>
      <w:pPr>
        <w:spacing w:after="40" w:before="80"/>
      </w:pPr>
      <w:r>
        <w:rPr>
          <w:rFonts w:ascii="Arial" w:cs="Arial" w:eastAsia="Arial" w:hAnsi="Arial"/>
          <w:b/>
          <w:bCs/>
          <w:color w:val="0D2240"/>
          <w:sz w:val="23"/>
          <w:szCs w:val="23"/>
        </w:rPr>
        <w:t xml:space="preserve">A.  Investor Entitlement (Party B)</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Party B shall receive Twenty Percent (20%) of the net proceeds, net profits, earnings, or realized returns generated from the API transaction.</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Payment shall be made exclusively in USDT (Tether) to the designated wallet address provided by Party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tcMar>
              <w:top w:type="dxa" w:w="60"/>
              <w:left w:type="dxa" w:w="0"/>
              <w:bottom w:type="dxa" w:w="60"/>
              <w:right w:type="dxa" w:w="160"/>
            </w:tcMar>
            <w:vAlign w:val="center"/>
          </w:tcPr>
          <w:p>
            <w:pPr>
              <w:jc w:val="center"/>
            </w:pPr>
            <w:r>
              <w:drawing>
                <wp:inline distT="0" distB="0" distL="0" distR="0">
                  <wp:extent cx="904875" cy="904875"/>
                  <wp:effectExtent t="0" r="0" b="0" l="0"/>
                  <wp:docPr id="1" name="Investor USDT Wallet (Party B)" descr="Investor USDT Wallet (Party B)" title="Investor USDT Wallet (Party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 cy="904875"/>
                          </a:xfrm>
                          <a:prstGeom prst="rect">
                            <a:avLst/>
                          </a:prstGeom>
                        </pic:spPr>
                      </pic:pic>
                    </a:graphicData>
                  </a:graphic>
                </wp:inline>
              </w:drawing>
            </w:r>
          </w:p>
        </w:tc>
        <w:tc>
          <w:tcPr>
            <w:tcW w:type="dxa" w:w="77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pPr>
              <w:spacing w:after="30" w:before="0"/>
            </w:pPr>
            <w:r>
              <w:rPr>
                <w:rFonts w:ascii="Arial" w:cs="Arial" w:eastAsia="Arial" w:hAnsi="Arial"/>
                <w:b/>
                <w:bCs/>
                <w:color w:val="0D2240"/>
                <w:sz w:val="20"/>
                <w:szCs w:val="20"/>
              </w:rPr>
              <w:t xml:space="preserve">Investor USDT Wallet (Party B)</w:t>
            </w:r>
          </w:p>
          <w:p>
            <w:pPr>
              <w:spacing w:after="20" w:before="0"/>
            </w:pPr>
            <w:r>
              <w:rPr>
                <w:rFonts w:ascii="Courier New" w:cs="Courier New" w:eastAsia="Courier New" w:hAnsi="Courier New"/>
                <w:color w:val="1C1C1C"/>
                <w:sz w:val="18"/>
                <w:szCs w:val="18"/>
              </w:rPr>
              <w:t xml:space="preserve">[INSERT WALLET ADDRESS]</w:t>
            </w:r>
          </w:p>
          <w:p>
            <w:pPr>
              <w:spacing w:after="0" w:before="0"/>
            </w:pPr>
            <w:r>
              <w:rPr>
                <w:rFonts w:ascii="Arial" w:cs="Arial" w:eastAsia="Arial" w:hAnsi="Arial"/>
                <w:b/>
                <w:bCs/>
                <w:color w:val="0D2240"/>
                <w:sz w:val="18"/>
                <w:szCs w:val="18"/>
              </w:rPr>
              <w:t xml:space="preserve">Network: </w:t>
            </w:r>
            <w:r>
              <w:rPr>
                <w:rFonts w:ascii="Arial" w:cs="Arial" w:eastAsia="Arial" w:hAnsi="Arial"/>
                <w:color w:val="1C1C1C"/>
                <w:sz w:val="18"/>
                <w:szCs w:val="18"/>
              </w:rPr>
              <w:t xml:space="preserve">[TRC20 / ERC20 / BEP20]</w:t>
            </w:r>
            <w:r>
              <w:rPr>
                <w:rFonts w:ascii="Arial" w:cs="Arial" w:eastAsia="Arial" w:hAnsi="Arial"/>
                <w:i/>
                <w:iCs/>
                <w:color w:val="5A6478"/>
                <w:sz w:val="17"/>
                <w:szCs w:val="17"/>
              </w:rPr>
              <w:t xml:space="preserve">   Scan QR to verify address</w:t>
            </w:r>
          </w:p>
        </w:tc>
      </w:tr>
    </w:tbl>
    <w:p>
      <w:pPr>
        <w:spacing w:after="0" w:before="80"/>
      </w:pPr>
    </w:p>
    <w:p>
      <w:pPr>
        <w:spacing w:after="40" w:before="80"/>
      </w:pPr>
      <w:r>
        <w:rPr>
          <w:rFonts w:ascii="Arial" w:cs="Arial" w:eastAsia="Arial" w:hAnsi="Arial"/>
          <w:b/>
          <w:bCs/>
          <w:color w:val="0D2240"/>
          <w:sz w:val="23"/>
          <w:szCs w:val="23"/>
        </w:rPr>
        <w:t xml:space="preserve">B.  Consultant Entitlement</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The designated Consultant shall receive Five Percent (5%) of the net proceeds, net profits, earnings, or realized returns generated from the API transaction.</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Payment shall be made exclusively in USDT (Tether) to the wallet address designated by the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D0D8E4" w:sz="1"/>
              <w:left w:val="single" w:color="D0D8E4" w:sz="1"/>
              <w:bottom w:val="single" w:color="D0D8E4" w:sz="1"/>
              <w:right w:val="single" w:color="D0D8E4" w:sz="1"/>
            </w:tcBorders>
            <w:shd w:fill="E8EEF5" w:val="clear"/>
            <w:tcMar>
              <w:top w:type="dxa" w:w="80"/>
              <w:left w:type="dxa" w:w="160"/>
              <w:bottom w:type="dxa" w:w="80"/>
              <w:right w:type="dxa" w:w="120"/>
            </w:tcMar>
          </w:tcPr>
          <w:p>
            <w:r>
              <w:rPr>
                <w:rFonts w:ascii="Arial" w:cs="Arial" w:eastAsia="Arial" w:hAnsi="Arial"/>
                <w:b/>
                <w:bCs/>
                <w:color w:val="0D2240"/>
                <w:sz w:val="20"/>
                <w:szCs w:val="20"/>
              </w:rPr>
              <w:t xml:space="preserve">Consultant Name</w:t>
            </w:r>
          </w:p>
        </w:tc>
        <w:tc>
          <w:tcPr>
            <w:tcW w:type="dxa" w:w="64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José Antonio Martínez del Campo Ricoy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tcMar>
              <w:top w:type="dxa" w:w="60"/>
              <w:left w:type="dxa" w:w="0"/>
              <w:bottom w:type="dxa" w:w="60"/>
              <w:right w:type="dxa" w:w="160"/>
            </w:tcMar>
            <w:vAlign w:val="center"/>
          </w:tcPr>
          <w:p>
            <w:pPr>
              <w:jc w:val="center"/>
            </w:pPr>
            <w:r>
              <w:drawing>
                <wp:inline distT="0" distB="0" distL="0" distR="0">
                  <wp:extent cx="904875" cy="904875"/>
                  <wp:effectExtent t="0" r="0" b="0" l="0"/>
                  <wp:docPr id="1" name="Consultant USDT Wallet" descr="Consultant USDT Wallet" title="Consultant USDT 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 cy="904875"/>
                          </a:xfrm>
                          <a:prstGeom prst="rect">
                            <a:avLst/>
                          </a:prstGeom>
                        </pic:spPr>
                      </pic:pic>
                    </a:graphicData>
                  </a:graphic>
                </wp:inline>
              </w:drawing>
            </w:r>
          </w:p>
        </w:tc>
        <w:tc>
          <w:tcPr>
            <w:tcW w:type="dxa" w:w="77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pPr>
              <w:spacing w:after="30" w:before="0"/>
            </w:pPr>
            <w:r>
              <w:rPr>
                <w:rFonts w:ascii="Arial" w:cs="Arial" w:eastAsia="Arial" w:hAnsi="Arial"/>
                <w:b/>
                <w:bCs/>
                <w:color w:val="0D2240"/>
                <w:sz w:val="20"/>
                <w:szCs w:val="20"/>
              </w:rPr>
              <w:t xml:space="preserve">Consultant USDT Wallet</w:t>
            </w:r>
          </w:p>
          <w:p>
            <w:pPr>
              <w:spacing w:after="20" w:before="0"/>
            </w:pPr>
            <w:r>
              <w:rPr>
                <w:rFonts w:ascii="Courier New" w:cs="Courier New" w:eastAsia="Courier New" w:hAnsi="Courier New"/>
                <w:color w:val="1C1C1C"/>
                <w:sz w:val="18"/>
                <w:szCs w:val="18"/>
              </w:rPr>
              <w:t xml:space="preserve">0x9457A994e7bad49cc2Da02271e04080Cf8B42949</w:t>
            </w:r>
          </w:p>
          <w:p>
            <w:pPr>
              <w:spacing w:after="0" w:before="0"/>
            </w:pPr>
            <w:r>
              <w:rPr>
                <w:rFonts w:ascii="Arial" w:cs="Arial" w:eastAsia="Arial" w:hAnsi="Arial"/>
                <w:b/>
                <w:bCs/>
                <w:color w:val="0D2240"/>
                <w:sz w:val="18"/>
                <w:szCs w:val="18"/>
              </w:rPr>
              <w:t xml:space="preserve">Network: </w:t>
            </w:r>
            <w:r>
              <w:rPr>
                <w:rFonts w:ascii="Arial" w:cs="Arial" w:eastAsia="Arial" w:hAnsi="Arial"/>
                <w:color w:val="1C1C1C"/>
                <w:sz w:val="18"/>
                <w:szCs w:val="18"/>
              </w:rPr>
              <w:t xml:space="preserve">ERC20 (Ethereum)</w:t>
            </w:r>
            <w:r>
              <w:rPr>
                <w:rFonts w:ascii="Arial" w:cs="Arial" w:eastAsia="Arial" w:hAnsi="Arial"/>
                <w:i/>
                <w:iCs/>
                <w:color w:val="5A6478"/>
                <w:sz w:val="17"/>
                <w:szCs w:val="17"/>
              </w:rPr>
              <w:t xml:space="preserve">   Scan QR to verify address</w:t>
            </w:r>
          </w:p>
        </w:tc>
      </w:tr>
    </w:tbl>
    <w:p>
      <w:pPr>
        <w:spacing w:after="0" w:before="100"/>
      </w:pPr>
    </w:p>
    <w:p>
      <w:pPr>
        <w:pBdr>
          <w:bottom w:val="single" w:color="C9A84C" w:sz="2" w:space="3"/>
        </w:pBdr>
        <w:spacing w:after="80" w:before="240"/>
      </w:pPr>
      <w:r>
        <w:rPr>
          <w:rFonts w:ascii="Arial" w:cs="Arial" w:eastAsia="Arial" w:hAnsi="Arial"/>
          <w:b/>
          <w:bCs/>
          <w:color w:val="C9A84C"/>
          <w:sz w:val="26"/>
          <w:szCs w:val="26"/>
        </w:rPr>
        <w:t xml:space="preserve">2.</w:t>
      </w:r>
      <w:r>
        <w:rPr>
          <w:rFonts w:ascii="Arial" w:cs="Arial" w:eastAsia="Arial" w:hAnsi="Arial"/>
          <w:b/>
          <w:bCs/>
          <w:caps/>
          <w:color w:val="0D2240"/>
          <w:sz w:val="26"/>
          <w:szCs w:val="26"/>
        </w:rPr>
        <w:t xml:space="preserve">  PAYMENT TIMELINE</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Party A irrevocably undertakes to execute the USDT payments specified in Clause 1 within five (5) banking days, and in no event later than ten (10) banking days, following the occurrence of all of the following conditions:</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Successful completion and finalization of the underlying API transaction;</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Confirmed receipt, settlement, monetization, liquidation, or realization of the total transaction proceeds by Party A;</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Clearance of all associated network and blockchain fees.</w:t>
      </w:r>
    </w:p>
    <w:p>
      <w:pPr>
        <w:spacing w:after="0" w:before="60"/>
      </w:pP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All blockchain transaction fees associated with the transfer of payments to Party B and the Consultant shall be borne exclusively by Party A. No deductions whatsoever shall be made from the entitlements of Party B or the Consultant.</w:t>
      </w:r>
    </w:p>
    <w:p>
      <w:pPr>
        <w:spacing w:after="0" w:before="100"/>
      </w:pPr>
    </w:p>
    <w:p>
      <w:pPr>
        <w:pBdr>
          <w:bottom w:val="single" w:color="C9A84C" w:sz="2" w:space="3"/>
        </w:pBdr>
        <w:spacing w:after="80" w:before="240"/>
      </w:pPr>
      <w:r>
        <w:rPr>
          <w:rFonts w:ascii="Arial" w:cs="Arial" w:eastAsia="Arial" w:hAnsi="Arial"/>
          <w:b/>
          <w:bCs/>
          <w:color w:val="C9A84C"/>
          <w:sz w:val="26"/>
          <w:szCs w:val="26"/>
        </w:rPr>
        <w:t xml:space="preserve">3.</w:t>
      </w:r>
      <w:r>
        <w:rPr>
          <w:rFonts w:ascii="Arial" w:cs="Arial" w:eastAsia="Arial" w:hAnsi="Arial"/>
          <w:b/>
          <w:bCs/>
          <w:caps/>
          <w:color w:val="0D2240"/>
          <w:sz w:val="26"/>
          <w:szCs w:val="26"/>
        </w:rPr>
        <w:t xml:space="preserve">  CONDITION PRECEDENT &amp; OPERATIVE DATE</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This Guarantee shall become fully operative, binding, and enforceable upon the simultaneous occurrence of the following conditions precedent:</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The underlying API transaction has been successfully completed and all transaction steps have been fully executed;</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Party A has confirmed receipt of the total transaction proceeds into its designated accounts or wallets;</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The settlement and liquidation of the transaction proceeds has been verified and is no longer subject to any pending condition, reversal, or dispute.</w:t>
      </w:r>
    </w:p>
    <w:p>
      <w:pPr>
        <w:spacing w:after="0" w:before="60"/>
      </w:pP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Prior to the fulfillment of the above conditions, this Guarantee constitutes a binding commitment by Party A and shall not be revoked, cancelled, or modified without the prior written consent of Party B.</w:t>
      </w:r>
    </w:p>
    <w:p>
      <w:pPr>
        <w:spacing w:after="0" w:before="100"/>
      </w:pPr>
    </w:p>
    <w:p>
      <w:pPr>
        <w:pBdr>
          <w:bottom w:val="single" w:color="C9A84C" w:sz="2" w:space="3"/>
        </w:pBdr>
        <w:spacing w:after="80" w:before="240"/>
      </w:pPr>
      <w:r>
        <w:rPr>
          <w:rFonts w:ascii="Arial" w:cs="Arial" w:eastAsia="Arial" w:hAnsi="Arial"/>
          <w:b/>
          <w:bCs/>
          <w:color w:val="C9A84C"/>
          <w:sz w:val="26"/>
          <w:szCs w:val="26"/>
        </w:rPr>
        <w:t xml:space="preserve">4.</w:t>
      </w:r>
      <w:r>
        <w:rPr>
          <w:rFonts w:ascii="Arial" w:cs="Arial" w:eastAsia="Arial" w:hAnsi="Arial"/>
          <w:b/>
          <w:bCs/>
          <w:caps/>
          <w:color w:val="0D2240"/>
          <w:sz w:val="26"/>
          <w:szCs w:val="26"/>
        </w:rPr>
        <w:t xml:space="preserve">  NULLIFICATION UPON NON-RECEIPT OF FUNDS</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Notwithstanding any other provision of this Guarantee, in the event that Party A does not receive any funds, proceeds, profits, returns, or monetization whatsoever from the underlying API transaction — for any reason — this Guarantee shall be deemed null, void, and of no legal effect ab initio.</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In such event, the following consequences shall apply without exception:</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This Guarantee shall be automatically extinguished and shall confer no rights or obligations upon any party.</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Neither Party B nor the designated Consultant shall have any right to claim, demand, or pursue any entitlements, compensation, payments, or damages from Party A under this Guarantee or in connection with the underlying transaction.</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No legal, arbitral, or administrative proceedings may be initiated by Party B or the Consultant against Party A on the basis of this Guarantee in the event of confirmed non-receipt of transaction funds.</w:t>
      </w:r>
    </w:p>
    <w:p>
      <w:pPr>
        <w:spacing w:after="0" w:before="60"/>
      </w:pPr>
    </w:p>
    <w:p>
      <w:pPr>
        <w:spacing w:after="80" w:before="80"/>
        <w:jc w:val="both"/>
      </w:pPr>
      <w:r>
        <w:rPr>
          <w:rFonts w:ascii="Times New Roman" w:cs="Times New Roman" w:eastAsia="Times New Roman" w:hAnsi="Times New Roman"/>
          <w:b w:val="false"/>
          <w:bCs w:val="false"/>
          <w:i/>
          <w:iCs/>
          <w:color w:val="1C1C1C"/>
          <w:sz w:val="22"/>
          <w:szCs w:val="22"/>
        </w:rPr>
        <w:t xml:space="preserve">For the purposes of this Clause, "non-receipt of funds" means the total absence of any settlement, liquidation, monetization, or realization of proceeds from the underlying API transaction, as evidenced by Party A's official written confirmation and, where applicable, by verifiable blockchain or banking records.</w:t>
      </w:r>
    </w:p>
    <w:p>
      <w:pPr>
        <w:spacing w:after="0" w:before="100"/>
      </w:pPr>
    </w:p>
    <w:p>
      <w:pPr>
        <w:pBdr>
          <w:bottom w:val="single" w:color="C9A84C" w:sz="2" w:space="3"/>
        </w:pBdr>
        <w:spacing w:after="80" w:before="240"/>
      </w:pPr>
      <w:r>
        <w:rPr>
          <w:rFonts w:ascii="Arial" w:cs="Arial" w:eastAsia="Arial" w:hAnsi="Arial"/>
          <w:b/>
          <w:bCs/>
          <w:color w:val="C9A84C"/>
          <w:sz w:val="26"/>
          <w:szCs w:val="26"/>
        </w:rPr>
        <w:t xml:space="preserve">5.</w:t>
      </w:r>
      <w:r>
        <w:rPr>
          <w:rFonts w:ascii="Arial" w:cs="Arial" w:eastAsia="Arial" w:hAnsi="Arial"/>
          <w:b/>
          <w:bCs/>
          <w:caps/>
          <w:color w:val="0D2240"/>
          <w:sz w:val="26"/>
          <w:szCs w:val="26"/>
        </w:rPr>
        <w:t xml:space="preserve">  ACKNOWLEDGEMENT OF TRANSACTION STATUS</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Party A expressly acknowledges and irrevocably confirms that:</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The API transaction is currently in process and is expected to be completed in the ordinary course.</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All necessary gas fees and network transaction fees related to the execution of the transaction have been fully paid by Party A.</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Party B's entitlement of 20% and the Consultant's entitlement of 5% are valid, recognized, and irrevocably committed by Party A.</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Upon receipt of the total transaction proceeds, Party A shall have no right of set-off, deduction, or counterclaim against the obligations set forth in this Guarantee.</w:t>
      </w:r>
    </w:p>
    <w:p>
      <w:pPr>
        <w:spacing w:after="0" w:before="100"/>
      </w:pPr>
    </w:p>
    <w:p>
      <w:pPr>
        <w:pBdr>
          <w:bottom w:val="single" w:color="C9A84C" w:sz="2" w:space="3"/>
        </w:pBdr>
        <w:spacing w:after="80" w:before="240"/>
      </w:pPr>
      <w:r>
        <w:rPr>
          <w:rFonts w:ascii="Arial" w:cs="Arial" w:eastAsia="Arial" w:hAnsi="Arial"/>
          <w:b/>
          <w:bCs/>
          <w:color w:val="C9A84C"/>
          <w:sz w:val="26"/>
          <w:szCs w:val="26"/>
        </w:rPr>
        <w:t xml:space="preserve">6.</w:t>
      </w:r>
      <w:r>
        <w:rPr>
          <w:rFonts w:ascii="Arial" w:cs="Arial" w:eastAsia="Arial" w:hAnsi="Arial"/>
          <w:b/>
          <w:bCs/>
          <w:caps/>
          <w:color w:val="0D2240"/>
          <w:sz w:val="26"/>
          <w:szCs w:val="26"/>
        </w:rPr>
        <w:t xml:space="preserve">  NON-CIRCUMVENTION</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Party A irrevocably agrees not to circumvent, bypass, avoid, redirect, or otherwise exclude Party B or the designated Consultant from receiving their respective percentages as stipulated herein, whether directly or indirectly.</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Any attempt to circumvent the payment obligations under this Guarantee shall constitute a material breach, entitling Party B to seek immediate injunctive relief and full compensatory damages, including reasonable legal fees and costs.</w:t>
      </w:r>
    </w:p>
    <w:p>
      <w:pPr>
        <w:spacing w:after="0" w:before="100"/>
      </w:pPr>
    </w:p>
    <w:p>
      <w:pPr>
        <w:pBdr>
          <w:bottom w:val="single" w:color="C9A84C" w:sz="2" w:space="3"/>
        </w:pBdr>
        <w:spacing w:after="80" w:before="240"/>
      </w:pPr>
      <w:r>
        <w:rPr>
          <w:rFonts w:ascii="Arial" w:cs="Arial" w:eastAsia="Arial" w:hAnsi="Arial"/>
          <w:b/>
          <w:bCs/>
          <w:color w:val="C9A84C"/>
          <w:sz w:val="26"/>
          <w:szCs w:val="26"/>
        </w:rPr>
        <w:t xml:space="preserve">7.</w:t>
      </w:r>
      <w:r>
        <w:rPr>
          <w:rFonts w:ascii="Arial" w:cs="Arial" w:eastAsia="Arial" w:hAnsi="Arial"/>
          <w:b/>
          <w:bCs/>
          <w:caps/>
          <w:color w:val="0D2240"/>
          <w:sz w:val="26"/>
          <w:szCs w:val="26"/>
        </w:rPr>
        <w:t xml:space="preserve">  REPRESENTATIONS &amp; COMPLIANCE</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Both Parties hereby irrevocably declare and warrant that:</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"FUNDS ARE CLEAN AND CLEAR, OF NON-CRIMINAL ORIGIN."</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Both Parties are in full compliance with all applicable Anti-Money Laundering (AML), Counter-Terrorist Financing (CTF), and Know Your Customer (KYC) regulations in their respective jurisdictions.</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Neither Party is subject to any sanctions, embargoes, or regulatory restrictions that would impair the validity or enforceability of this Guarantee.</w:t>
      </w:r>
    </w:p>
    <w:p>
      <w:pPr>
        <w:spacing w:after="0" w:before="100"/>
      </w:pPr>
    </w:p>
    <w:p>
      <w:pPr>
        <w:pBdr>
          <w:bottom w:val="single" w:color="C9A84C" w:sz="2" w:space="3"/>
        </w:pBdr>
        <w:spacing w:after="80" w:before="240"/>
      </w:pPr>
      <w:r>
        <w:rPr>
          <w:rFonts w:ascii="Arial" w:cs="Arial" w:eastAsia="Arial" w:hAnsi="Arial"/>
          <w:b/>
          <w:bCs/>
          <w:color w:val="C9A84C"/>
          <w:sz w:val="26"/>
          <w:szCs w:val="26"/>
        </w:rPr>
        <w:t xml:space="preserve">8.</w:t>
      </w:r>
      <w:r>
        <w:rPr>
          <w:rFonts w:ascii="Arial" w:cs="Arial" w:eastAsia="Arial" w:hAnsi="Arial"/>
          <w:b/>
          <w:bCs/>
          <w:caps/>
          <w:color w:val="0D2240"/>
          <w:sz w:val="26"/>
          <w:szCs w:val="26"/>
        </w:rPr>
        <w:t xml:space="preserve">  GOVERNING LAW AND DISPUTE RESOLUTION</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This Guarantee shall be governed by and construed in accordance with the laws of the Dubai International Financial Centre (DIFC), United Arab Emirates, and the applicable principles of international commercial law.</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Any dispute arising from or in connection with this Guarantee shall be finally settled through binding arbitration under the Rules of the International Chamber of Commerce (ICC):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D0D8E4" w:sz="1"/>
              <w:left w:val="single" w:color="D0D8E4" w:sz="1"/>
              <w:bottom w:val="single" w:color="D0D8E4" w:sz="1"/>
              <w:right w:val="single" w:color="D0D8E4" w:sz="1"/>
            </w:tcBorders>
            <w:shd w:fill="E8EEF5" w:val="clear"/>
            <w:tcMar>
              <w:top w:type="dxa" w:w="80"/>
              <w:left w:type="dxa" w:w="160"/>
              <w:bottom w:type="dxa" w:w="80"/>
              <w:right w:type="dxa" w:w="120"/>
            </w:tcMar>
          </w:tcPr>
          <w:p>
            <w:r>
              <w:rPr>
                <w:rFonts w:ascii="Arial" w:cs="Arial" w:eastAsia="Arial" w:hAnsi="Arial"/>
                <w:b/>
                <w:bCs/>
                <w:color w:val="0D2240"/>
                <w:sz w:val="20"/>
                <w:szCs w:val="20"/>
              </w:rPr>
              <w:t xml:space="preserve">Seat of Arbitration</w:t>
            </w:r>
          </w:p>
        </w:tc>
        <w:tc>
          <w:tcPr>
            <w:tcW w:type="dxa" w:w="64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Dubai, UAE</w:t>
            </w:r>
          </w:p>
        </w:tc>
      </w:tr>
      <w:tr>
        <w:tc>
          <w:tcPr>
            <w:tcW w:type="dxa" w:w="2900"/>
            <w:tcBorders>
              <w:top w:val="single" w:color="D0D8E4" w:sz="1"/>
              <w:left w:val="single" w:color="D0D8E4" w:sz="1"/>
              <w:bottom w:val="single" w:color="D0D8E4" w:sz="1"/>
              <w:right w:val="single" w:color="D0D8E4" w:sz="1"/>
            </w:tcBorders>
            <w:shd w:fill="FAFAF7" w:val="clear"/>
            <w:tcMar>
              <w:top w:type="dxa" w:w="80"/>
              <w:left w:type="dxa" w:w="160"/>
              <w:bottom w:type="dxa" w:w="80"/>
              <w:right w:type="dxa" w:w="120"/>
            </w:tcMar>
          </w:tcPr>
          <w:p>
            <w:r>
              <w:rPr>
                <w:rFonts w:ascii="Arial" w:cs="Arial" w:eastAsia="Arial" w:hAnsi="Arial"/>
                <w:b/>
                <w:bCs/>
                <w:color w:val="0D2240"/>
                <w:sz w:val="20"/>
                <w:szCs w:val="20"/>
              </w:rPr>
              <w:t xml:space="preserve">Language</w:t>
            </w:r>
          </w:p>
        </w:tc>
        <w:tc>
          <w:tcPr>
            <w:tcW w:type="dxa" w:w="64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English</w:t>
            </w:r>
          </w:p>
        </w:tc>
      </w:tr>
      <w:tr>
        <w:tc>
          <w:tcPr>
            <w:tcW w:type="dxa" w:w="2900"/>
            <w:tcBorders>
              <w:top w:val="single" w:color="D0D8E4" w:sz="1"/>
              <w:left w:val="single" w:color="D0D8E4" w:sz="1"/>
              <w:bottom w:val="single" w:color="D0D8E4" w:sz="1"/>
              <w:right w:val="single" w:color="D0D8E4" w:sz="1"/>
            </w:tcBorders>
            <w:shd w:fill="E8EEF5" w:val="clear"/>
            <w:tcMar>
              <w:top w:type="dxa" w:w="80"/>
              <w:left w:type="dxa" w:w="160"/>
              <w:bottom w:type="dxa" w:w="80"/>
              <w:right w:type="dxa" w:w="120"/>
            </w:tcMar>
          </w:tcPr>
          <w:p>
            <w:r>
              <w:rPr>
                <w:rFonts w:ascii="Arial" w:cs="Arial" w:eastAsia="Arial" w:hAnsi="Arial"/>
                <w:b/>
                <w:bCs/>
                <w:color w:val="0D2240"/>
                <w:sz w:val="20"/>
                <w:szCs w:val="20"/>
              </w:rPr>
              <w:t xml:space="preserve">Number of Arbitrators</w:t>
            </w:r>
          </w:p>
        </w:tc>
        <w:tc>
          <w:tcPr>
            <w:tcW w:type="dxa" w:w="64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One (1)</w:t>
            </w:r>
          </w:p>
        </w:tc>
      </w:tr>
      <w:tr>
        <w:tc>
          <w:tcPr>
            <w:tcW w:type="dxa" w:w="2900"/>
            <w:tcBorders>
              <w:top w:val="single" w:color="D0D8E4" w:sz="1"/>
              <w:left w:val="single" w:color="D0D8E4" w:sz="1"/>
              <w:bottom w:val="single" w:color="D0D8E4" w:sz="1"/>
              <w:right w:val="single" w:color="D0D8E4" w:sz="1"/>
            </w:tcBorders>
            <w:shd w:fill="FAFAF7" w:val="clear"/>
            <w:tcMar>
              <w:top w:type="dxa" w:w="80"/>
              <w:left w:type="dxa" w:w="160"/>
              <w:bottom w:type="dxa" w:w="80"/>
              <w:right w:type="dxa" w:w="120"/>
            </w:tcMar>
          </w:tcPr>
          <w:p>
            <w:r>
              <w:rPr>
                <w:rFonts w:ascii="Arial" w:cs="Arial" w:eastAsia="Arial" w:hAnsi="Arial"/>
                <w:b/>
                <w:bCs/>
                <w:color w:val="0D2240"/>
                <w:sz w:val="20"/>
                <w:szCs w:val="20"/>
              </w:rPr>
              <w:t xml:space="preserve">Arbitration Award</w:t>
            </w:r>
          </w:p>
        </w:tc>
        <w:tc>
          <w:tcPr>
            <w:tcW w:type="dxa" w:w="6460"/>
            <w:tcBorders>
              <w:top w:val="single" w:color="D0D8E4" w:sz="1"/>
              <w:left w:val="single" w:color="D0D8E4" w:sz="1"/>
              <w:bottom w:val="single" w:color="D0D8E4" w:sz="1"/>
              <w:right w:val="single" w:color="D0D8E4" w:sz="1"/>
            </w:tcBorders>
            <w:shd w:fill="FFFFFF"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Final and binding upon all Parties — not subject to appeal</w:t>
            </w:r>
          </w:p>
        </w:tc>
      </w:tr>
    </w:tbl>
    <w:p>
      <w:pPr>
        <w:spacing w:after="0" w:before="100"/>
      </w:pPr>
    </w:p>
    <w:p>
      <w:pPr>
        <w:pBdr>
          <w:bottom w:val="single" w:color="C9A84C" w:sz="2" w:space="3"/>
        </w:pBdr>
        <w:spacing w:after="80" w:before="240"/>
      </w:pPr>
      <w:r>
        <w:rPr>
          <w:rFonts w:ascii="Arial" w:cs="Arial" w:eastAsia="Arial" w:hAnsi="Arial"/>
          <w:b/>
          <w:bCs/>
          <w:color w:val="C9A84C"/>
          <w:sz w:val="26"/>
          <w:szCs w:val="26"/>
        </w:rPr>
        <w:t xml:space="preserve">9.</w:t>
      </w:r>
      <w:r>
        <w:rPr>
          <w:rFonts w:ascii="Arial" w:cs="Arial" w:eastAsia="Arial" w:hAnsi="Arial"/>
          <w:b/>
          <w:bCs/>
          <w:caps/>
          <w:color w:val="0D2240"/>
          <w:sz w:val="26"/>
          <w:szCs w:val="26"/>
        </w:rPr>
        <w:t xml:space="preserve">  VALIDITY &amp; TERMINATION</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This Corporate Payment Guarantee shall remain in full force and effect until all payment obligations owed to Party B and the designated Consultant have been fully and completely satisfied.</w:t>
      </w: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This Guarantee may only be terminated upon:</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Full payment of all amounts due under Clause 1, evidenced by corresponding blockchain transaction hashes (TXID); or</w:t>
      </w:r>
    </w:p>
    <w:p>
      <w:pPr>
        <w:spacing w:after="55" w:before="55"/>
        <w:ind w:left="560" w:hanging="280"/>
      </w:pPr>
      <w:r>
        <w:rPr>
          <w:rFonts w:ascii="Arial" w:cs="Arial" w:eastAsia="Arial" w:hAnsi="Arial"/>
          <w:color w:val="C9A84C"/>
          <w:sz w:val="22"/>
          <w:szCs w:val="22"/>
        </w:rPr>
        <w:t xml:space="preserve">▸  </w:t>
      </w:r>
      <w:r>
        <w:rPr>
          <w:rFonts w:ascii="Times New Roman" w:cs="Times New Roman" w:eastAsia="Times New Roman" w:hAnsi="Times New Roman"/>
          <w:color w:val="1C1C1C"/>
          <w:sz w:val="22"/>
          <w:szCs w:val="22"/>
        </w:rPr>
        <w:t xml:space="preserve">Written mutual agreement signed by all Parties.</w:t>
      </w:r>
    </w:p>
    <w:p>
      <w:pPr>
        <w:spacing w:after="0" w:before="100"/>
      </w:pPr>
    </w:p>
    <w:p>
      <w:pPr>
        <w:shd w:fill="0D2240" w:val="clear"/>
        <w:spacing w:after="0" w:before="260"/>
        <w:ind w:left="180" w:right="180"/>
      </w:pPr>
      <w:r>
        <w:rPr>
          <w:rFonts w:ascii="Arial" w:cs="Arial" w:eastAsia="Arial" w:hAnsi="Arial"/>
          <w:b/>
          <w:bCs/>
          <w:caps/>
          <w:color w:val="FFFFFF"/>
          <w:sz w:val="22"/>
          <w:szCs w:val="22"/>
        </w:rPr>
        <w:t xml:space="preserve">  SPECIAL PAYMENT INSTRUCTION  </w:t>
      </w:r>
    </w:p>
    <w:p>
      <w:pPr>
        <w:spacing w:after="0" w:before="60"/>
      </w:pP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The Parties acknowledge and agree that all compensation due under this Guarantee shall be settled exclusively in USDT (Tether) and transferred to two (2) separate wallet addresses, as follows: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tcMar>
              <w:top w:type="dxa" w:w="60"/>
              <w:left w:type="dxa" w:w="0"/>
              <w:bottom w:type="dxa" w:w="60"/>
              <w:right w:type="dxa" w:w="160"/>
            </w:tcMar>
            <w:vAlign w:val="center"/>
          </w:tcPr>
          <w:p>
            <w:pPr>
              <w:jc w:val="center"/>
            </w:pPr>
            <w:r>
              <w:drawing>
                <wp:inline distT="0" distB="0" distL="0" distR="0">
                  <wp:extent cx="904875" cy="904875"/>
                  <wp:effectExtent t="0" r="0" b="0" l="0"/>
                  <wp:docPr id="1" name="20% USDT — Investor Wallet (Party B)" descr="20% USDT — Investor Wallet (Party B)" title="20% USDT — Investor Wallet (Party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 cy="904875"/>
                          </a:xfrm>
                          <a:prstGeom prst="rect">
                            <a:avLst/>
                          </a:prstGeom>
                        </pic:spPr>
                      </pic:pic>
                    </a:graphicData>
                  </a:graphic>
                </wp:inline>
              </w:drawing>
            </w:r>
          </w:p>
        </w:tc>
        <w:tc>
          <w:tcPr>
            <w:tcW w:type="dxa" w:w="77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pPr>
              <w:spacing w:after="30" w:before="0"/>
            </w:pPr>
            <w:r>
              <w:rPr>
                <w:rFonts w:ascii="Arial" w:cs="Arial" w:eastAsia="Arial" w:hAnsi="Arial"/>
                <w:b/>
                <w:bCs/>
                <w:color w:val="0D2240"/>
                <w:sz w:val="20"/>
                <w:szCs w:val="20"/>
              </w:rPr>
              <w:t xml:space="preserve">20% USDT — Investor Wallet (Party B)</w:t>
            </w:r>
          </w:p>
          <w:p>
            <w:pPr>
              <w:spacing w:after="20" w:before="0"/>
            </w:pPr>
            <w:r>
              <w:rPr>
                <w:rFonts w:ascii="Courier New" w:cs="Courier New" w:eastAsia="Courier New" w:hAnsi="Courier New"/>
                <w:color w:val="1C1C1C"/>
                <w:sz w:val="18"/>
                <w:szCs w:val="18"/>
              </w:rPr>
              <w:t xml:space="preserve">[INSERT WALLET ADDRESS]</w:t>
            </w:r>
          </w:p>
          <w:p>
            <w:pPr>
              <w:spacing w:after="0" w:before="0"/>
            </w:pPr>
            <w:r>
              <w:rPr>
                <w:rFonts w:ascii="Arial" w:cs="Arial" w:eastAsia="Arial" w:hAnsi="Arial"/>
                <w:b/>
                <w:bCs/>
                <w:color w:val="0D2240"/>
                <w:sz w:val="18"/>
                <w:szCs w:val="18"/>
              </w:rPr>
              <w:t xml:space="preserve">Network: </w:t>
            </w:r>
            <w:r>
              <w:rPr>
                <w:rFonts w:ascii="Arial" w:cs="Arial" w:eastAsia="Arial" w:hAnsi="Arial"/>
                <w:color w:val="1C1C1C"/>
                <w:sz w:val="18"/>
                <w:szCs w:val="18"/>
              </w:rPr>
              <w:t xml:space="preserve">[TRC20 / ERC20 / BEP20]</w:t>
            </w:r>
            <w:r>
              <w:rPr>
                <w:rFonts w:ascii="Arial" w:cs="Arial" w:eastAsia="Arial" w:hAnsi="Arial"/>
                <w:i/>
                <w:iCs/>
                <w:color w:val="5A6478"/>
                <w:sz w:val="17"/>
                <w:szCs w:val="17"/>
              </w:rPr>
              <w:t xml:space="preserve">   Scan QR to verify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tcMar>
              <w:top w:type="dxa" w:w="60"/>
              <w:left w:type="dxa" w:w="0"/>
              <w:bottom w:type="dxa" w:w="60"/>
              <w:right w:type="dxa" w:w="160"/>
            </w:tcMar>
            <w:vAlign w:val="center"/>
          </w:tcPr>
          <w:p>
            <w:pPr>
              <w:jc w:val="center"/>
            </w:pPr>
            <w:r>
              <w:drawing>
                <wp:inline distT="0" distB="0" distL="0" distR="0">
                  <wp:extent cx="904875" cy="904875"/>
                  <wp:effectExtent t="0" r="0" b="0" l="0"/>
                  <wp:docPr id="1" name="5% USDT — Consultant Wallet" descr="5% USDT — Consultant Wallet" title="5% USDT — Consultant 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 cy="904875"/>
                          </a:xfrm>
                          <a:prstGeom prst="rect">
                            <a:avLst/>
                          </a:prstGeom>
                        </pic:spPr>
                      </pic:pic>
                    </a:graphicData>
                  </a:graphic>
                </wp:inline>
              </w:drawing>
            </w:r>
          </w:p>
        </w:tc>
        <w:tc>
          <w:tcPr>
            <w:tcW w:type="dxa" w:w="77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pPr>
              <w:spacing w:after="30" w:before="0"/>
            </w:pPr>
            <w:r>
              <w:rPr>
                <w:rFonts w:ascii="Arial" w:cs="Arial" w:eastAsia="Arial" w:hAnsi="Arial"/>
                <w:b/>
                <w:bCs/>
                <w:color w:val="0D2240"/>
                <w:sz w:val="20"/>
                <w:szCs w:val="20"/>
              </w:rPr>
              <w:t xml:space="preserve">5% USDT — Consultant Wallet</w:t>
            </w:r>
          </w:p>
          <w:p>
            <w:pPr>
              <w:spacing w:after="20" w:before="0"/>
            </w:pPr>
            <w:r>
              <w:rPr>
                <w:rFonts w:ascii="Courier New" w:cs="Courier New" w:eastAsia="Courier New" w:hAnsi="Courier New"/>
                <w:color w:val="1C1C1C"/>
                <w:sz w:val="18"/>
                <w:szCs w:val="18"/>
              </w:rPr>
              <w:t xml:space="preserve">0x9457A994e7bad49cc2Da02271e04080Cf8B42949</w:t>
            </w:r>
          </w:p>
          <w:p>
            <w:pPr>
              <w:spacing w:after="0" w:before="0"/>
            </w:pPr>
            <w:r>
              <w:rPr>
                <w:rFonts w:ascii="Arial" w:cs="Arial" w:eastAsia="Arial" w:hAnsi="Arial"/>
                <w:b/>
                <w:bCs/>
                <w:color w:val="0D2240"/>
                <w:sz w:val="18"/>
                <w:szCs w:val="18"/>
              </w:rPr>
              <w:t xml:space="preserve">Network: </w:t>
            </w:r>
            <w:r>
              <w:rPr>
                <w:rFonts w:ascii="Arial" w:cs="Arial" w:eastAsia="Arial" w:hAnsi="Arial"/>
                <w:color w:val="1C1C1C"/>
                <w:sz w:val="18"/>
                <w:szCs w:val="18"/>
              </w:rPr>
              <w:t xml:space="preserve">ERC20 (Ethereum)</w:t>
            </w:r>
            <w:r>
              <w:rPr>
                <w:rFonts w:ascii="Arial" w:cs="Arial" w:eastAsia="Arial" w:hAnsi="Arial"/>
                <w:i/>
                <w:iCs/>
                <w:color w:val="5A6478"/>
                <w:sz w:val="17"/>
                <w:szCs w:val="17"/>
              </w:rPr>
              <w:t xml:space="preserve">   Scan QR to verify</w:t>
            </w:r>
          </w:p>
        </w:tc>
      </w:tr>
    </w:tbl>
    <w:p>
      <w:pPr>
        <w:spacing w:after="0" w:before="60"/>
      </w:pPr>
    </w:p>
    <w:p>
      <w:pPr>
        <w:spacing w:after="80" w:before="80"/>
        <w:jc w:val="both"/>
      </w:pPr>
      <w:r>
        <w:rPr>
          <w:rFonts w:ascii="Times New Roman" w:cs="Times New Roman" w:eastAsia="Times New Roman" w:hAnsi="Times New Roman"/>
          <w:b w:val="false"/>
          <w:bCs w:val="false"/>
          <w:i w:val="false"/>
          <w:iCs w:val="false"/>
          <w:color w:val="1C1C1C"/>
          <w:sz w:val="22"/>
          <w:szCs w:val="22"/>
        </w:rPr>
        <w:t xml:space="preserve">Each transfer shall be evidenced by the relevant blockchain transaction hash (TXID), which shall constitute conclusive and irrefutable proof of payment. Copies of all TXIDs shall be provided to Party B and the Consultant within twenty-four (24) hours of execution.</w:t>
      </w:r>
    </w:p>
    <w:p>
      <w:pPr>
        <w:spacing w:after="0" w:before="120"/>
      </w:pPr>
    </w:p>
    <w:p>
      <w:pPr>
        <w:shd w:fill="0D2240" w:val="clear"/>
        <w:spacing w:after="0" w:before="260"/>
        <w:ind w:left="180" w:right="180"/>
      </w:pPr>
      <w:r>
        <w:rPr>
          <w:rFonts w:ascii="Arial" w:cs="Arial" w:eastAsia="Arial" w:hAnsi="Arial"/>
          <w:b/>
          <w:bCs/>
          <w:caps/>
          <w:color w:val="FFFFFF"/>
          <w:sz w:val="22"/>
          <w:szCs w:val="22"/>
        </w:rPr>
        <w:t xml:space="preserve">  EXECUTION AND ACCEPTANCE  </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300"/>
            </w:tcMar>
          </w:tcPr>
          <w:p>
            <w:pPr>
              <w:spacing w:after="30" w:before="60"/>
            </w:pPr>
            <w:r>
              <w:rPr>
                <w:rFonts w:ascii="Arial" w:cs="Arial" w:eastAsia="Arial" w:hAnsi="Arial"/>
                <w:b/>
                <w:bCs/>
                <w:caps/>
                <w:color w:val="0D2240"/>
                <w:sz w:val="22"/>
                <w:szCs w:val="22"/>
              </w:rPr>
              <w:t xml:space="preserve">PARTY "A" — ISSUER / GUARANTOR</w:t>
            </w:r>
          </w:p>
          <w:p>
            <w:pPr>
              <w:spacing w:after="40" w:before="0"/>
            </w:pPr>
            <w:r>
              <w:rPr>
                <w:rFonts w:ascii="Times New Roman" w:cs="Times New Roman" w:eastAsia="Times New Roman" w:hAnsi="Times New Roman"/>
                <w:b/>
                <w:bCs/>
                <w:color w:val="1C1C1C"/>
                <w:sz w:val="21"/>
                <w:szCs w:val="21"/>
              </w:rPr>
              <w:t xml:space="preserve">Alshumookh Global Banking Financing And Credit</w:t>
            </w:r>
          </w:p>
          <w:p>
            <w:pPr>
              <w:spacing w:after="20" w:before="0"/>
            </w:pPr>
            <w:r>
              <w:rPr>
                <w:rFonts w:ascii="Times New Roman" w:cs="Times New Roman" w:eastAsia="Times New Roman" w:hAnsi="Times New Roman"/>
                <w:b/>
                <w:bCs/>
                <w:color w:val="0D2240"/>
                <w:sz w:val="20"/>
                <w:szCs w:val="20"/>
              </w:rPr>
              <w:t xml:space="preserve">Representative: </w:t>
            </w:r>
            <w:r>
              <w:rPr>
                <w:rFonts w:ascii="Times New Roman" w:cs="Times New Roman" w:eastAsia="Times New Roman" w:hAnsi="Times New Roman"/>
                <w:color w:val="1C1C1C"/>
                <w:sz w:val="20"/>
                <w:szCs w:val="20"/>
              </w:rPr>
              <w:t xml:space="preserve">Ahmed Mohamed</w:t>
            </w:r>
          </w:p>
          <w:p>
            <w:pPr>
              <w:spacing w:after="60" w:before="0"/>
            </w:pPr>
            <w:r>
              <w:rPr>
                <w:rFonts w:ascii="Times New Roman" w:cs="Times New Roman" w:eastAsia="Times New Roman" w:hAnsi="Times New Roman"/>
                <w:b/>
                <w:bCs/>
                <w:color w:val="0D2240"/>
                <w:sz w:val="20"/>
                <w:szCs w:val="20"/>
              </w:rPr>
              <w:t xml:space="preserve">Position: </w:t>
            </w:r>
            <w:r>
              <w:rPr>
                <w:rFonts w:ascii="Times New Roman" w:cs="Times New Roman" w:eastAsia="Times New Roman" w:hAnsi="Times New Roman"/>
                <w:color w:val="1C1C1C"/>
                <w:sz w:val="20"/>
                <w:szCs w:val="20"/>
              </w:rPr>
              <w:t xml:space="preserve">Issuer / Execution Party</w:t>
            </w:r>
          </w:p>
          <w:p>
            <w:pPr>
              <w:spacing w:after="0" w:before="60"/>
            </w:pPr>
          </w:p>
          <w:p>
            <w:pPr>
              <w:pBdr>
                <w:bottom w:val="single" w:color="5A6478" w:sz="3"/>
              </w:pBdr>
              <w:spacing w:after="0" w:before="80"/>
            </w:pPr>
            <w:r>
              <w:rPr>
                <w:rFonts w:ascii="Times New Roman" w:cs="Times New Roman" w:eastAsia="Times New Roman" w:hAnsi="Times New Roman"/>
                <w:color w:val="5A6478"/>
                <w:sz w:val="20"/>
                <w:szCs w:val="20"/>
              </w:rPr>
              <w:t xml:space="preserve">Signature: ___________________________________</w:t>
            </w:r>
          </w:p>
          <w:p>
            <w:pPr>
              <w:spacing w:after="0" w:before="60"/>
            </w:pPr>
          </w:p>
          <w:p>
            <w:pPr>
              <w:pBdr>
                <w:bottom w:val="single" w:color="5A6478" w:sz="3"/>
              </w:pBdr>
              <w:spacing w:after="0" w:before="80"/>
            </w:pPr>
            <w:r>
              <w:rPr>
                <w:rFonts w:ascii="Times New Roman" w:cs="Times New Roman" w:eastAsia="Times New Roman" w:hAnsi="Times New Roman"/>
                <w:color w:val="5A6478"/>
                <w:sz w:val="20"/>
                <w:szCs w:val="20"/>
              </w:rPr>
              <w:t xml:space="preserve">Company Stamp: _______________________________</w:t>
            </w:r>
          </w:p>
          <w:p>
            <w:pPr>
              <w:spacing w:after="0" w:before="60"/>
            </w:pPr>
          </w:p>
          <w:p>
            <w:pPr>
              <w:pBdr>
                <w:bottom w:val="single" w:color="5A6478" w:sz="3"/>
              </w:pBdr>
              <w:spacing w:after="0" w:before="80"/>
            </w:pPr>
            <w:r>
              <w:rPr>
                <w:rFonts w:ascii="Times New Roman" w:cs="Times New Roman" w:eastAsia="Times New Roman" w:hAnsi="Times New Roman"/>
                <w:color w:val="5A6478"/>
                <w:sz w:val="20"/>
                <w:szCs w:val="20"/>
              </w:rPr>
              <w:t xml:space="preserve">Date: ________________________________________</w:t>
            </w:r>
          </w:p>
        </w:tc>
        <w:tc>
          <w:tcPr>
            <w:tcW w:type="dxa" w:w="4860"/>
            <w:tcBorders>
              <w:top w:val="none" w:color="FFFFFF" w:sz="0"/>
              <w:left w:val="none" w:color="FFFFFF" w:sz="0"/>
              <w:bottom w:val="none" w:color="FFFFFF" w:sz="0"/>
              <w:right w:val="none" w:color="FFFFFF" w:sz="0"/>
            </w:tcBorders>
            <w:tcMar>
              <w:top w:type="dxa" w:w="0"/>
              <w:left w:type="dxa" w:w="300"/>
              <w:bottom w:type="dxa" w:w="0"/>
              <w:right w:type="dxa" w:w="0"/>
            </w:tcMar>
          </w:tcPr>
          <w:p>
            <w:pPr>
              <w:spacing w:after="30" w:before="60"/>
            </w:pPr>
            <w:r>
              <w:rPr>
                <w:rFonts w:ascii="Arial" w:cs="Arial" w:eastAsia="Arial" w:hAnsi="Arial"/>
                <w:b/>
                <w:bCs/>
                <w:caps/>
                <w:color w:val="0D2240"/>
                <w:sz w:val="22"/>
                <w:szCs w:val="22"/>
              </w:rPr>
              <w:t xml:space="preserve">PARTY "B" — INVESTOR / BENEFICIARY</w:t>
            </w:r>
          </w:p>
          <w:p>
            <w:pPr>
              <w:spacing w:after="40" w:before="0"/>
            </w:pPr>
            <w:r>
              <w:rPr>
                <w:rFonts w:ascii="Times New Roman" w:cs="Times New Roman" w:eastAsia="Times New Roman" w:hAnsi="Times New Roman"/>
                <w:b/>
                <w:bCs/>
                <w:color w:val="1C1C1C"/>
                <w:sz w:val="21"/>
                <w:szCs w:val="21"/>
              </w:rPr>
              <w:t xml:space="preserve">Values and Friends S.L</w:t>
            </w:r>
          </w:p>
          <w:p>
            <w:pPr>
              <w:spacing w:after="20" w:before="0"/>
            </w:pPr>
            <w:r>
              <w:rPr>
                <w:rFonts w:ascii="Times New Roman" w:cs="Times New Roman" w:eastAsia="Times New Roman" w:hAnsi="Times New Roman"/>
                <w:b/>
                <w:bCs/>
                <w:color w:val="0D2240"/>
                <w:sz w:val="20"/>
                <w:szCs w:val="20"/>
              </w:rPr>
              <w:t xml:space="preserve">Representative: </w:t>
            </w:r>
            <w:r>
              <w:rPr>
                <w:rFonts w:ascii="Times New Roman" w:cs="Times New Roman" w:eastAsia="Times New Roman" w:hAnsi="Times New Roman"/>
                <w:color w:val="1C1C1C"/>
                <w:sz w:val="20"/>
                <w:szCs w:val="20"/>
              </w:rPr>
              <w:t xml:space="preserve">Mohammad Haji Rajabi</w:t>
            </w:r>
          </w:p>
          <w:p>
            <w:pPr>
              <w:spacing w:after="60" w:before="0"/>
            </w:pPr>
            <w:r>
              <w:rPr>
                <w:rFonts w:ascii="Times New Roman" w:cs="Times New Roman" w:eastAsia="Times New Roman" w:hAnsi="Times New Roman"/>
                <w:b/>
                <w:bCs/>
                <w:color w:val="0D2240"/>
                <w:sz w:val="20"/>
                <w:szCs w:val="20"/>
              </w:rPr>
              <w:t xml:space="preserve">Position: </w:t>
            </w:r>
            <w:r>
              <w:rPr>
                <w:rFonts w:ascii="Times New Roman" w:cs="Times New Roman" w:eastAsia="Times New Roman" w:hAnsi="Times New Roman"/>
                <w:color w:val="1C1C1C"/>
                <w:sz w:val="20"/>
                <w:szCs w:val="20"/>
              </w:rPr>
              <w:t xml:space="preserve">CEO</w:t>
            </w:r>
          </w:p>
          <w:p>
            <w:pPr>
              <w:spacing w:after="0" w:before="60"/>
            </w:pPr>
          </w:p>
          <w:p>
            <w:pPr>
              <w:pBdr>
                <w:bottom w:val="single" w:color="5A6478" w:sz="3"/>
              </w:pBdr>
              <w:spacing w:after="0" w:before="80"/>
            </w:pPr>
            <w:r>
              <w:rPr>
                <w:rFonts w:ascii="Times New Roman" w:cs="Times New Roman" w:eastAsia="Times New Roman" w:hAnsi="Times New Roman"/>
                <w:color w:val="5A6478"/>
                <w:sz w:val="20"/>
                <w:szCs w:val="20"/>
              </w:rPr>
              <w:t xml:space="preserve">Signature: ___________________________________</w:t>
            </w:r>
          </w:p>
          <w:p>
            <w:pPr>
              <w:spacing w:after="0" w:before="60"/>
            </w:pPr>
          </w:p>
          <w:p>
            <w:pPr>
              <w:pBdr>
                <w:bottom w:val="single" w:color="5A6478" w:sz="3"/>
              </w:pBdr>
              <w:spacing w:after="0" w:before="80"/>
            </w:pPr>
            <w:r>
              <w:rPr>
                <w:rFonts w:ascii="Times New Roman" w:cs="Times New Roman" w:eastAsia="Times New Roman" w:hAnsi="Times New Roman"/>
                <w:color w:val="5A6478"/>
                <w:sz w:val="20"/>
                <w:szCs w:val="20"/>
              </w:rPr>
              <w:t xml:space="preserve">Company Stamp: _______________________________</w:t>
            </w:r>
          </w:p>
          <w:p>
            <w:pPr>
              <w:spacing w:after="0" w:before="60"/>
            </w:pPr>
          </w:p>
          <w:p>
            <w:pPr>
              <w:pBdr>
                <w:bottom w:val="single" w:color="5A6478" w:sz="3"/>
              </w:pBdr>
              <w:spacing w:after="0" w:before="80"/>
            </w:pPr>
            <w:r>
              <w:rPr>
                <w:rFonts w:ascii="Times New Roman" w:cs="Times New Roman" w:eastAsia="Times New Roman" w:hAnsi="Times New Roman"/>
                <w:color w:val="5A6478"/>
                <w:sz w:val="20"/>
                <w:szCs w:val="20"/>
              </w:rPr>
              <w:t xml:space="preserve">Date: ________________________________________</w:t>
            </w:r>
          </w:p>
        </w:tc>
      </w:tr>
    </w:tbl>
    <w:p>
      <w:pPr>
        <w:spacing w:after="0" w:before="120"/>
      </w:pPr>
    </w:p>
    <w:p>
      <w:pPr>
        <w:shd w:fill="0D2240" w:val="clear"/>
        <w:spacing w:after="0" w:before="260"/>
        <w:ind w:left="180" w:right="180"/>
      </w:pPr>
      <w:r>
        <w:rPr>
          <w:rFonts w:ascii="Arial" w:cs="Arial" w:eastAsia="Arial" w:hAnsi="Arial"/>
          <w:b/>
          <w:bCs/>
          <w:caps/>
          <w:color w:val="FFFFFF"/>
          <w:sz w:val="22"/>
          <w:szCs w:val="22"/>
        </w:rPr>
        <w:t xml:space="preserve">  CONSULTANT BENEFICIARY  </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D0D8E4" w:sz="1"/>
              <w:left w:val="single" w:color="D0D8E4" w:sz="1"/>
              <w:bottom w:val="single" w:color="D0D8E4" w:sz="1"/>
              <w:right w:val="single" w:color="D0D8E4" w:sz="1"/>
            </w:tcBorders>
            <w:shd w:fill="E8EEF5" w:val="clear"/>
            <w:tcMar>
              <w:top w:type="dxa" w:w="80"/>
              <w:left w:type="dxa" w:w="160"/>
              <w:bottom w:type="dxa" w:w="80"/>
              <w:right w:type="dxa" w:w="120"/>
            </w:tcMar>
          </w:tcPr>
          <w:p>
            <w:r>
              <w:rPr>
                <w:rFonts w:ascii="Arial" w:cs="Arial" w:eastAsia="Arial" w:hAnsi="Arial"/>
                <w:b/>
                <w:bCs/>
                <w:color w:val="0D2240"/>
                <w:sz w:val="20"/>
                <w:szCs w:val="20"/>
              </w:rPr>
              <w:t xml:space="preserve">Full Name</w:t>
            </w:r>
          </w:p>
        </w:tc>
        <w:tc>
          <w:tcPr>
            <w:tcW w:type="dxa" w:w="64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r>
              <w:rPr>
                <w:rFonts w:ascii="Times New Roman" w:cs="Times New Roman" w:eastAsia="Times New Roman" w:hAnsi="Times New Roman"/>
                <w:color w:val="1C1C1C"/>
                <w:sz w:val="20"/>
                <w:szCs w:val="20"/>
              </w:rPr>
              <w:t xml:space="preserve">José Antonio Martínez del Campo Ricoy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tcMar>
              <w:top w:type="dxa" w:w="60"/>
              <w:left w:type="dxa" w:w="0"/>
              <w:bottom w:type="dxa" w:w="60"/>
              <w:right w:type="dxa" w:w="160"/>
            </w:tcMar>
            <w:vAlign w:val="center"/>
          </w:tcPr>
          <w:p>
            <w:pPr>
              <w:jc w:val="center"/>
            </w:pPr>
            <w:r>
              <w:drawing>
                <wp:inline distT="0" distB="0" distL="0" distR="0">
                  <wp:extent cx="904875" cy="904875"/>
                  <wp:effectExtent t="0" r="0" b="0" l="0"/>
                  <wp:docPr id="1" name="Consultant USDT Wallet" descr="Consultant USDT Wallet" title="Consultant USDT 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 cy="904875"/>
                          </a:xfrm>
                          <a:prstGeom prst="rect">
                            <a:avLst/>
                          </a:prstGeom>
                        </pic:spPr>
                      </pic:pic>
                    </a:graphicData>
                  </a:graphic>
                </wp:inline>
              </w:drawing>
            </w:r>
          </w:p>
        </w:tc>
        <w:tc>
          <w:tcPr>
            <w:tcW w:type="dxa" w:w="7760"/>
            <w:tcBorders>
              <w:top w:val="single" w:color="D0D8E4" w:sz="1"/>
              <w:left w:val="single" w:color="D0D8E4" w:sz="1"/>
              <w:bottom w:val="single" w:color="D0D8E4" w:sz="1"/>
              <w:right w:val="single" w:color="D0D8E4" w:sz="1"/>
            </w:tcBorders>
            <w:shd w:fill="F4F7FB" w:val="clear"/>
            <w:tcMar>
              <w:top w:type="dxa" w:w="80"/>
              <w:left w:type="dxa" w:w="160"/>
              <w:bottom w:type="dxa" w:w="80"/>
              <w:right w:type="dxa" w:w="120"/>
            </w:tcMar>
          </w:tcPr>
          <w:p>
            <w:pPr>
              <w:spacing w:after="30" w:before="0"/>
            </w:pPr>
            <w:r>
              <w:rPr>
                <w:rFonts w:ascii="Arial" w:cs="Arial" w:eastAsia="Arial" w:hAnsi="Arial"/>
                <w:b/>
                <w:bCs/>
                <w:color w:val="0D2240"/>
                <w:sz w:val="20"/>
                <w:szCs w:val="20"/>
              </w:rPr>
              <w:t xml:space="preserve">Consultant USDT Wallet</w:t>
            </w:r>
          </w:p>
          <w:p>
            <w:pPr>
              <w:spacing w:after="20" w:before="0"/>
            </w:pPr>
            <w:r>
              <w:rPr>
                <w:rFonts w:ascii="Courier New" w:cs="Courier New" w:eastAsia="Courier New" w:hAnsi="Courier New"/>
                <w:color w:val="1C1C1C"/>
                <w:sz w:val="18"/>
                <w:szCs w:val="18"/>
              </w:rPr>
              <w:t xml:space="preserve">0x9457A994e7bad49cc2Da02271e04080Cf8B42949</w:t>
            </w:r>
          </w:p>
          <w:p>
            <w:pPr>
              <w:spacing w:after="0" w:before="0"/>
            </w:pPr>
            <w:r>
              <w:rPr>
                <w:rFonts w:ascii="Arial" w:cs="Arial" w:eastAsia="Arial" w:hAnsi="Arial"/>
                <w:b/>
                <w:bCs/>
                <w:color w:val="0D2240"/>
                <w:sz w:val="18"/>
                <w:szCs w:val="18"/>
              </w:rPr>
              <w:t xml:space="preserve">Network: </w:t>
            </w:r>
            <w:r>
              <w:rPr>
                <w:rFonts w:ascii="Arial" w:cs="Arial" w:eastAsia="Arial" w:hAnsi="Arial"/>
                <w:color w:val="1C1C1C"/>
                <w:sz w:val="18"/>
                <w:szCs w:val="18"/>
              </w:rPr>
              <w:t xml:space="preserve">ERC20 (Ethereum)</w:t>
            </w:r>
            <w:r>
              <w:rPr>
                <w:rFonts w:ascii="Arial" w:cs="Arial" w:eastAsia="Arial" w:hAnsi="Arial"/>
                <w:i/>
                <w:iCs/>
                <w:color w:val="5A6478"/>
                <w:sz w:val="17"/>
                <w:szCs w:val="17"/>
              </w:rPr>
              <w:t xml:space="preserve">   Scan QR to verify</w:t>
            </w:r>
          </w:p>
        </w:tc>
      </w:tr>
    </w:tbl>
    <w:p>
      <w:pPr>
        <w:spacing w:after="0" w:before="100"/>
      </w:pPr>
    </w:p>
    <w:p>
      <w:pPr>
        <w:pBdr>
          <w:bottom w:val="single" w:color="5A6478" w:sz="3"/>
        </w:pBdr>
        <w:spacing w:after="60" w:before="0"/>
      </w:pPr>
      <w:r>
        <w:rPr>
          <w:rFonts w:ascii="Times New Roman" w:cs="Times New Roman" w:eastAsia="Times New Roman" w:hAnsi="Times New Roman"/>
          <w:color w:val="5A6478"/>
          <w:sz w:val="20"/>
          <w:szCs w:val="20"/>
        </w:rPr>
        <w:t xml:space="preserve">Signature: ___________________________________</w:t>
      </w:r>
    </w:p>
    <w:p>
      <w:pPr>
        <w:spacing w:after="0" w:before="60"/>
      </w:pPr>
    </w:p>
    <w:p>
      <w:pPr>
        <w:pBdr>
          <w:bottom w:val="single" w:color="5A6478" w:sz="3"/>
        </w:pBdr>
        <w:spacing w:after="60" w:before="0"/>
      </w:pPr>
      <w:r>
        <w:rPr>
          <w:rFonts w:ascii="Times New Roman" w:cs="Times New Roman" w:eastAsia="Times New Roman" w:hAnsi="Times New Roman"/>
          <w:color w:val="5A6478"/>
          <w:sz w:val="20"/>
          <w:szCs w:val="20"/>
        </w:rPr>
        <w:t xml:space="preserve">Date: ________________________________________</w:t>
      </w:r>
    </w:p>
    <w:p>
      <w:pPr>
        <w:spacing w:after="0" w:before="100"/>
      </w:pPr>
    </w:p>
    <w:p>
      <w:pPr>
        <w:pBdr>
          <w:bottom w:val="single" w:color="0D2240" w:sz="12" w:space="1"/>
        </w:pBdr>
        <w:spacing w:after="4" w:before="40"/>
      </w:pPr>
    </w:p>
    <w:p>
      <w:pPr>
        <w:pBdr>
          <w:bottom w:val="single" w:color="C9A84C" w:sz="4" w:space="1"/>
        </w:pBdr>
        <w:spacing w:after="60" w:before="4"/>
      </w:pPr>
    </w:p>
    <w:p>
      <w:pPr>
        <w:spacing w:after="40" w:before="60"/>
        <w:jc w:val="center"/>
      </w:pPr>
      <w:r>
        <w:rPr>
          <w:rFonts w:ascii="Arial" w:cs="Arial" w:eastAsia="Arial" w:hAnsi="Arial"/>
          <w:b w:val="false"/>
          <w:bCs w:val="false"/>
          <w:i/>
          <w:iCs/>
          <w:caps w:val="false"/>
          <w:color w:val="5A6478"/>
          <w:sz w:val="17"/>
          <w:szCs w:val="17"/>
        </w:rPr>
        <w:t xml:space="preserve">This document is strictly confidential and constitutes a legally binding instrument governed by DIFC law.</w:t>
      </w:r>
    </w:p>
    <w:sectPr>
      <w:headerReference w:type="default" r:id="rId7"/>
      <w:footerReference w:type="default" r:id="rId8"/>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spacing w:after="3" w:before="0"/>
    </w:pPr>
  </w:p>
  <w:p>
    <w:pPr>
      <w:pBdr>
        <w:top w:val="single" w:color="0D2240" w:sz="12" w:space="1"/>
      </w:pBdr>
      <w:spacing w:after="0" w:before="3"/>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Pr>
        <w:p>
          <w:pPr>
            <w:spacing w:after="0" w:before="60"/>
          </w:pPr>
          <w:r>
            <w:rPr>
              <w:rFonts w:ascii="Arial" w:cs="Arial" w:eastAsia="Arial" w:hAnsi="Arial"/>
              <w:i/>
              <w:iCs/>
              <w:color w:val="5A6478"/>
              <w:sz w:val="15"/>
              <w:szCs w:val="15"/>
            </w:rPr>
            <w:t xml:space="preserve">STRICTLY CONFIDENTIAL  |  LEGALLY BINDING INSTRUMENT  |  DIFC GOVERNED</w:t>
          </w:r>
        </w:p>
      </w:tc>
      <w:tc>
        <w:tcPr>
          <w:tcW w:type="dxa" w:w="3960"/>
          <w:tcBorders>
            <w:top w:val="none" w:color="FFFFFF" w:sz="0"/>
            <w:left w:val="none" w:color="FFFFFF" w:sz="0"/>
            <w:bottom w:val="none" w:color="FFFFFF" w:sz="0"/>
            <w:right w:val="none" w:color="FFFFFF" w:sz="0"/>
          </w:tcBorders>
        </w:tcPr>
        <w:p>
          <w:pPr>
            <w:spacing w:after="0" w:before="60"/>
            <w:jc w:val="right"/>
          </w:pPr>
          <w:r>
            <w:rPr>
              <w:rFonts w:ascii="Arial" w:cs="Arial" w:eastAsia="Arial" w:hAnsi="Arial"/>
              <w:color w:val="5A6478"/>
              <w:sz w:val="15"/>
              <w:szCs w:val="15"/>
            </w:rPr>
            <w:t xml:space="preserve">Page </w:t>
          </w:r>
          <w:r>
            <w:rPr>
              <w:rFonts w:ascii="Arial" w:cs="Arial" w:eastAsia="Arial" w:hAnsi="Arial"/>
              <w:color w:val="0D2240"/>
              <w:sz w:val="15"/>
              <w:szCs w:val="15"/>
            </w:rPr>
            <w:fldChar w:fldCharType="begin"/>
            <w:instrText xml:space="preserve">PAGE</w:instrText>
            <w:fldChar w:fldCharType="separate"/>
            <w:fldChar w:fldCharType="end"/>
          </w:r>
          <w:r>
            <w:rPr>
              <w:rFonts w:ascii="Arial" w:cs="Arial" w:eastAsia="Arial" w:hAnsi="Arial"/>
              <w:color w:val="5A6478"/>
              <w:sz w:val="15"/>
              <w:szCs w:val="15"/>
            </w:rPr>
            <w:t xml:space="preserve">  of  </w:t>
          </w:r>
          <w:r>
            <w:rPr>
              <w:rFonts w:ascii="Arial" w:cs="Arial" w:eastAsia="Arial" w:hAnsi="Arial"/>
              <w:color w:val="0D2240"/>
              <w:sz w:val="15"/>
              <w:szCs w:val="15"/>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vAlign w:val="bottom"/>
        </w:tcPr>
        <w:p>
          <w:pPr>
            <w:spacing w:after="0" w:before="0"/>
          </w:pPr>
          <w:r>
            <w:rPr>
              <w:rFonts w:ascii="Arial" w:cs="Arial" w:eastAsia="Arial" w:hAnsi="Arial"/>
              <w:b/>
              <w:bCs/>
              <w:color w:val="0D2240"/>
              <w:sz w:val="19"/>
              <w:szCs w:val="19"/>
            </w:rPr>
            <w:t xml:space="preserve">ALSHUMOOKH GLOBAL BANKING FINANCING AND CREDIT</w:t>
          </w:r>
        </w:p>
        <w:p>
          <w:pPr>
            <w:spacing w:after="0" w:before="0"/>
          </w:pPr>
          <w:r>
            <w:rPr>
              <w:rFonts w:ascii="Arial" w:cs="Arial" w:eastAsia="Arial" w:hAnsi="Arial"/>
              <w:color w:val="5A6478"/>
              <w:sz w:val="15"/>
              <w:szCs w:val="15"/>
            </w:rPr>
            <w:t xml:space="preserve">Regulated Financial Services Entity  |  License No. 887065</w:t>
          </w:r>
        </w:p>
      </w:tc>
      <w:tc>
        <w:tcPr>
          <w:tcW w:type="dxa" w:w="3960"/>
          <w:tcBorders>
            <w:top w:val="none" w:color="FFFFFF" w:sz="0"/>
            <w:left w:val="none" w:color="FFFFFF" w:sz="0"/>
            <w:bottom w:val="none" w:color="FFFFFF" w:sz="0"/>
            <w:right w:val="none" w:color="FFFFFF" w:sz="0"/>
          </w:tcBorders>
          <w:vAlign w:val="bottom"/>
        </w:tcPr>
        <w:p>
          <w:pPr>
            <w:spacing w:after="0" w:before="0"/>
            <w:jc w:val="right"/>
          </w:pPr>
          <w:r>
            <w:rPr>
              <w:rFonts w:ascii="Arial" w:cs="Arial" w:eastAsia="Arial" w:hAnsi="Arial"/>
              <w:b/>
              <w:bCs/>
              <w:color w:val="C9A84C"/>
              <w:sz w:val="17"/>
              <w:szCs w:val="17"/>
            </w:rPr>
            <w:t xml:space="preserve">CORPORATE PAYMENT GUARANTEE</w:t>
          </w:r>
        </w:p>
        <w:p>
          <w:pPr>
            <w:spacing w:after="0" w:before="0"/>
            <w:jc w:val="right"/>
          </w:pPr>
          <w:r>
            <w:rPr>
              <w:rFonts w:ascii="Arial" w:cs="Arial" w:eastAsia="Arial" w:hAnsi="Arial"/>
              <w:color w:val="5A6478"/>
              <w:sz w:val="15"/>
              <w:szCs w:val="15"/>
            </w:rPr>
            <w:t xml:space="preserve">Ref: CPG-ASIG-2026-001  |  12 June 2026</w:t>
          </w:r>
        </w:p>
      </w:tc>
    </w:tr>
  </w:tbl>
  <w:p>
    <w:pPr>
      <w:pBdr>
        <w:bottom w:val="single" w:color="0D2240" w:sz="12" w:space="1"/>
      </w:pBdr>
      <w:spacing w:after="0" w:before="60"/>
    </w:pPr>
  </w:p>
  <w:p>
    <w:pPr>
      <w:pBdr>
        <w:bottom w:val="single" w:color="C9A84C" w:sz="4" w:space="1"/>
      </w:pBdr>
      <w:spacing w:after="0" w:before="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a3b4fac29f4e7422723af2b017923db4e46086.png"/><Relationship Id="rId10" Type="http://schemas.openxmlformats.org/officeDocument/2006/relationships/image" Target="media/214c49a8bed68204f2d833d0a5fa1ee111a21f8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2026-06-17T23:57:51.005Z</dcterms:created>
  <dcterms:modified xsi:type="dcterms:W3CDTF">2026-06-17T23:57:51.005Z</dcterms:modified>
</cp:coreProperties>
</file>

<file path=docProps/custom.xml><?xml version="1.0" encoding="utf-8"?>
<Properties xmlns="http://schemas.openxmlformats.org/officeDocument/2006/custom-properties" xmlns:vt="http://schemas.openxmlformats.org/officeDocument/2006/docPropsVTypes"/>
</file>