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555555"/>
          <w:sz w:val="26"/>
        </w:rPr>
        <w:t>AL SHUMOOKH GROUP</w:t>
      </w:r>
    </w:p>
    <w:p>
      <w:pPr>
        <w:jc w:val="center"/>
      </w:pPr>
      <w:r>
        <w:rPr>
          <w:rFonts w:ascii="Calibri" w:hAnsi="Calibri"/>
          <w:b/>
          <w:color w:val="C9A02C"/>
          <w:sz w:val="96"/>
        </w:rPr>
        <w:t>SIG TOKEN</w:t>
      </w:r>
    </w:p>
    <w:p>
      <w:pPr>
        <w:jc w:val="center"/>
      </w:pPr>
      <w:r>
        <w:rPr>
          <w:rFonts w:ascii="Calibri" w:hAnsi="Calibri"/>
          <w:color w:val="1A1A2E"/>
          <w:sz w:val="36"/>
        </w:rPr>
        <w:t>Official Whitepaper</w:t>
      </w:r>
    </w:p>
    <w:p>
      <w:pPr>
        <w:spacing w:before="40" w:after="40"/>
        <w:pBdr>
          <w:bottom w:val="single" w:sz="8" w:space="1" w:color="C9A02C"/>
        </w:pBdr>
      </w:pPr>
    </w:p>
    <w:p/>
    <w:p/>
    <w:p>
      <w:pPr>
        <w:jc w:val="center"/>
      </w:pPr>
      <w:r>
        <w:rPr>
          <w:rFonts w:ascii="Calibri" w:hAnsi="Calibri"/>
          <w:i/>
          <w:color w:val="555555"/>
          <w:sz w:val="28"/>
        </w:rPr>
        <w:t>Al Shumookh Investment Group Token</w:t>
      </w:r>
    </w:p>
    <w:p/>
    <w:p/>
    <w:tbl>
      <w:tblPr>
        <w:tblW w:type="auto" w:w="0"/>
        <w:jc w:val="center"/>
        <w:tblLook w:firstColumn="1" w:firstRow="1" w:lastColumn="0" w:lastRow="0" w:noHBand="0" w:noVBand="1" w:val="04A0"/>
      </w:tblPr>
      <w:tblGrid>
        <w:gridCol w:w="4536"/>
        <w:gridCol w:w="4536"/>
      </w:tblGrid>
      <w:tr>
        <w:tc>
          <w:tcPr>
            <w:tcW w:type="dxa" w:w="3600"/>
            <w:shd w:val="clear" w:color="auto" w:fill="1A1A2E"/>
          </w:tcPr>
          <w:p>
            <w:r>
              <w:rPr>
                <w:rFonts w:ascii="Calibri" w:hAnsi="Calibri"/>
                <w:b/>
                <w:color w:val="C9A02C"/>
                <w:sz w:val="20"/>
              </w:rPr>
              <w:t>Token Name</w:t>
            </w:r>
          </w:p>
        </w:tc>
        <w:tc>
          <w:tcPr>
            <w:tcW w:type="dxa" w:w="4320"/>
            <w:shd w:val="clear" w:color="auto" w:fill="F5F5F0"/>
          </w:tcPr>
          <w:p>
            <w:r>
              <w:rPr>
                <w:rFonts w:ascii="Calibri" w:hAnsi="Calibri"/>
                <w:color w:val="1A1A2E"/>
                <w:sz w:val="20"/>
              </w:rPr>
              <w:t>Al Shumookh Investment Group Token</w:t>
            </w:r>
          </w:p>
        </w:tc>
      </w:tr>
      <w:tr>
        <w:tc>
          <w:tcPr>
            <w:tcW w:type="dxa" w:w="3600"/>
            <w:shd w:val="clear" w:color="auto" w:fill="1A1A2E"/>
          </w:tcPr>
          <w:p>
            <w:r>
              <w:rPr>
                <w:rFonts w:ascii="Calibri" w:hAnsi="Calibri"/>
                <w:b/>
                <w:color w:val="C9A02C"/>
                <w:sz w:val="20"/>
              </w:rPr>
              <w:t>Token Symbol</w:t>
            </w:r>
          </w:p>
        </w:tc>
        <w:tc>
          <w:tcPr>
            <w:tcW w:type="dxa" w:w="4320"/>
            <w:shd w:val="clear" w:color="auto" w:fill="F5F5F0"/>
          </w:tcPr>
          <w:p>
            <w:r>
              <w:rPr>
                <w:rFonts w:ascii="Calibri" w:hAnsi="Calibri"/>
                <w:color w:val="1A1A2E"/>
                <w:sz w:val="20"/>
              </w:rPr>
              <w:t>SIG</w:t>
            </w:r>
          </w:p>
        </w:tc>
      </w:tr>
      <w:tr>
        <w:tc>
          <w:tcPr>
            <w:tcW w:type="dxa" w:w="3600"/>
            <w:shd w:val="clear" w:color="auto" w:fill="1A1A2E"/>
          </w:tcPr>
          <w:p>
            <w:r>
              <w:rPr>
                <w:rFonts w:ascii="Calibri" w:hAnsi="Calibri"/>
                <w:b/>
                <w:color w:val="C9A02C"/>
                <w:sz w:val="20"/>
              </w:rPr>
              <w:t>Network</w:t>
            </w:r>
          </w:p>
        </w:tc>
        <w:tc>
          <w:tcPr>
            <w:tcW w:type="dxa" w:w="4320"/>
            <w:shd w:val="clear" w:color="auto" w:fill="F5F5F0"/>
          </w:tcPr>
          <w:p>
            <w:r>
              <w:rPr>
                <w:rFonts w:ascii="Calibri" w:hAnsi="Calibri"/>
                <w:color w:val="1A1A2E"/>
                <w:sz w:val="20"/>
              </w:rPr>
              <w:t>Ethereum Mainnet (ERC-20)</w:t>
            </w:r>
          </w:p>
        </w:tc>
      </w:tr>
      <w:tr>
        <w:tc>
          <w:tcPr>
            <w:tcW w:type="dxa" w:w="3600"/>
            <w:shd w:val="clear" w:color="auto" w:fill="1A1A2E"/>
          </w:tcPr>
          <w:p>
            <w:r>
              <w:rPr>
                <w:rFonts w:ascii="Calibri" w:hAnsi="Calibri"/>
                <w:b/>
                <w:color w:val="C9A02C"/>
                <w:sz w:val="20"/>
              </w:rPr>
              <w:t>Contract Address</w:t>
            </w:r>
          </w:p>
        </w:tc>
        <w:tc>
          <w:tcPr>
            <w:tcW w:type="dxa" w:w="4320"/>
            <w:shd w:val="clear" w:color="auto" w:fill="F5F5F0"/>
          </w:tcPr>
          <w:p>
            <w:r>
              <w:rPr>
                <w:rFonts w:ascii="Calibri" w:hAnsi="Calibri"/>
                <w:color w:val="1A1A2E"/>
                <w:sz w:val="20"/>
              </w:rPr>
              <w:t>0xc2ac880e474c3576cc3afb7c560e402ce24d5b37</w:t>
            </w:r>
          </w:p>
        </w:tc>
      </w:tr>
    </w:tbl>
    <w:p/>
    <w:p/>
    <w:p/>
    <w:p>
      <w:pPr>
        <w:jc w:val="center"/>
      </w:pPr>
      <w:r>
        <w:rPr>
          <w:rFonts w:ascii="Calibri" w:hAnsi="Calibri"/>
          <w:color w:val="555555"/>
          <w:sz w:val="20"/>
        </w:rPr>
        <w:t>www.alshumookhgroup.com  |  Dubai, UAE &amp; London, UK  |  June 2026</w:t>
      </w:r>
    </w:p>
    <w:p>
      <w:r>
        <w:br w:type="page"/>
      </w:r>
    </w:p>
    <w:p>
      <w:pPr>
        <w:spacing w:before="280" w:after="120"/>
      </w:pPr>
      <w:r>
        <w:rPr>
          <w:rFonts w:ascii="Calibri" w:hAnsi="Calibri"/>
          <w:b/>
          <w:color w:val="1A1A2E"/>
          <w:sz w:val="56"/>
        </w:rPr>
        <w:t>1. Executive Summary</w:t>
      </w:r>
    </w:p>
    <w:p>
      <w:pPr>
        <w:spacing w:before="40" w:after="40"/>
        <w:pBdr>
          <w:bottom w:val="single" w:sz="8" w:space="1" w:color="C9A02C"/>
        </w:pBdr>
      </w:pPr>
    </w:p>
    <w:p>
      <w:pPr>
        <w:spacing w:after="100"/>
      </w:pPr>
      <w:r>
        <w:rPr>
          <w:rFonts w:ascii="Calibri" w:hAnsi="Calibri"/>
          <w:b w:val="0"/>
          <w:i w:val="0"/>
          <w:color w:val="1A1A2E"/>
          <w:sz w:val="22"/>
        </w:rPr>
        <w:t>The SIG Token (Al Shumookh Investment Group Token) is an ERC-20 utility token built on the Ethereum blockchain, issued by Al Shumookh Group — a diversified conglomerate headquartered in Dubai, UAE with offices in London, UK. Established in 2012, the Group operates across gold trading, investment, real estate, banking &amp; finance, commercial brokerage, and businessmen services.</w:t>
      </w:r>
    </w:p>
    <w:p>
      <w:pPr>
        <w:spacing w:after="100"/>
      </w:pPr>
      <w:r>
        <w:rPr>
          <w:rFonts w:ascii="Calibri" w:hAnsi="Calibri"/>
          <w:b w:val="0"/>
          <w:i w:val="0"/>
          <w:color w:val="1A1A2E"/>
          <w:sz w:val="22"/>
        </w:rPr>
        <w:t>SIG serves as the official digital currency of the Al Shumookh ecosystem. It enables profit distribution, asset tokenization, and direct participation in the Group's revenue streams. Token holders benefit from automated on-chain profit sharing through the proprietary SIG Profit Distributor smart contract, with full transparency on the Ethereum blockchain.</w:t>
      </w:r>
    </w:p>
    <w:p>
      <w:pPr>
        <w:spacing w:after="100"/>
      </w:pPr>
      <w:r>
        <w:rPr>
          <w:rFonts w:ascii="Calibri" w:hAnsi="Calibri"/>
          <w:b w:val="0"/>
          <w:i w:val="0"/>
          <w:color w:val="1A1A2E"/>
          <w:sz w:val="22"/>
        </w:rPr>
        <w:t>This whitepaper outlines the token's purpose, economics, technical infrastructure, launch strategy on Uniswap, and the marketing roadmap to build a global community around the Al Shumookh ecosystem.</w:t>
      </w:r>
    </w:p>
    <w:p>
      <w:r>
        <w:br w:type="page"/>
      </w:r>
    </w:p>
    <w:p>
      <w:pPr>
        <w:spacing w:before="280" w:after="120"/>
      </w:pPr>
      <w:r>
        <w:rPr>
          <w:rFonts w:ascii="Calibri" w:hAnsi="Calibri"/>
          <w:b/>
          <w:color w:val="1A1A2E"/>
          <w:sz w:val="56"/>
        </w:rPr>
        <w:t>2. About Al Shumookh Group</w:t>
      </w:r>
    </w:p>
    <w:p>
      <w:pPr>
        <w:spacing w:before="40" w:after="40"/>
        <w:pBdr>
          <w:bottom w:val="single" w:sz="8" w:space="1" w:color="C9A02C"/>
        </w:pBdr>
      </w:pPr>
    </w:p>
    <w:p>
      <w:pPr>
        <w:spacing w:after="100"/>
      </w:pPr>
      <w:r>
        <w:rPr>
          <w:rFonts w:ascii="Calibri" w:hAnsi="Calibri"/>
          <w:b w:val="0"/>
          <w:i w:val="0"/>
          <w:color w:val="1A1A2E"/>
          <w:sz w:val="22"/>
        </w:rPr>
        <w:t>Al Shumookh Group of Companies was established in 2012 with a clear mandate: to provide comprehensive commercial, investment, banking, credit, and property management services across the Middle East and beyond.</w:t>
      </w:r>
    </w:p>
    <w:p/>
    <w:p>
      <w:pPr>
        <w:spacing w:before="160" w:after="120"/>
      </w:pPr>
      <w:r>
        <w:rPr>
          <w:rFonts w:ascii="Calibri" w:hAnsi="Calibri"/>
          <w:b/>
          <w:color w:val="1A1A2E"/>
          <w:sz w:val="40"/>
        </w:rPr>
        <w:t>2.1  Group Companies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A1A2E"/>
          </w:tcPr>
          <w:p>
            <w:r>
              <w:rPr>
                <w:rFonts w:ascii="Calibri" w:hAnsi="Calibri"/>
                <w:b/>
                <w:color w:val="C9A02C"/>
                <w:sz w:val="20"/>
              </w:rPr>
              <w:t>Company</w:t>
            </w:r>
          </w:p>
        </w:tc>
        <w:tc>
          <w:tcPr>
            <w:tcW w:type="dxa" w:w="4536"/>
            <w:shd w:val="clear" w:color="auto" w:fill="1A1A2E"/>
          </w:tcPr>
          <w:p>
            <w:r>
              <w:rPr>
                <w:rFonts w:ascii="Calibri" w:hAnsi="Calibri"/>
                <w:b/>
                <w:color w:val="C9A02C"/>
                <w:sz w:val="20"/>
              </w:rPr>
              <w:t>Core Business</w:t>
            </w:r>
          </w:p>
        </w:tc>
      </w:tr>
      <w:tr>
        <w:tc>
          <w:tcPr>
            <w:tcW w:type="dxa" w:w="4536"/>
            <w:shd w:val="clear" w:color="auto" w:fill="F5F5F0"/>
          </w:tcPr>
          <w:p>
            <w:r>
              <w:rPr>
                <w:rFonts w:ascii="Calibri" w:hAnsi="Calibri"/>
                <w:sz w:val="20"/>
              </w:rPr>
              <w:t>Al Shumookh Al Raeda Investment LLC</w:t>
            </w:r>
          </w:p>
        </w:tc>
        <w:tc>
          <w:tcPr>
            <w:tcW w:type="dxa" w:w="4536"/>
            <w:shd w:val="clear" w:color="auto" w:fill="F5F5F0"/>
          </w:tcPr>
          <w:p>
            <w:r>
              <w:rPr>
                <w:rFonts w:ascii="Calibri" w:hAnsi="Calibri"/>
                <w:sz w:val="20"/>
              </w:rPr>
              <w:t>Gold trading, commodity investment, multi-sector portfolio management</w:t>
            </w:r>
          </w:p>
        </w:tc>
      </w:tr>
      <w:tr>
        <w:tc>
          <w:tcPr>
            <w:tcW w:type="dxa" w:w="4536"/>
            <w:shd w:val="clear" w:color="auto" w:fill="FFFFFF"/>
          </w:tcPr>
          <w:p>
            <w:r>
              <w:rPr>
                <w:rFonts w:ascii="Calibri" w:hAnsi="Calibri"/>
                <w:sz w:val="20"/>
              </w:rPr>
              <w:t>Al Shumookh Global Banking, Financing &amp; Credit</w:t>
            </w:r>
          </w:p>
        </w:tc>
        <w:tc>
          <w:tcPr>
            <w:tcW w:type="dxa" w:w="4536"/>
            <w:shd w:val="clear" w:color="auto" w:fill="FFFFFF"/>
          </w:tcPr>
          <w:p>
            <w:r>
              <w:rPr>
                <w:rFonts w:ascii="Calibri" w:hAnsi="Calibri"/>
                <w:sz w:val="20"/>
              </w:rPr>
              <w:t>Conventional &amp; Islamic finance, syndicated loans, project finance</w:t>
            </w:r>
          </w:p>
        </w:tc>
      </w:tr>
      <w:tr>
        <w:tc>
          <w:tcPr>
            <w:tcW w:type="dxa" w:w="4536"/>
            <w:shd w:val="clear" w:color="auto" w:fill="F5F5F0"/>
          </w:tcPr>
          <w:p>
            <w:r>
              <w:rPr>
                <w:rFonts w:ascii="Calibri" w:hAnsi="Calibri"/>
                <w:sz w:val="20"/>
              </w:rPr>
              <w:t>Al Shumookh Real Estate Broker</w:t>
            </w:r>
          </w:p>
        </w:tc>
        <w:tc>
          <w:tcPr>
            <w:tcW w:type="dxa" w:w="4536"/>
            <w:shd w:val="clear" w:color="auto" w:fill="F5F5F0"/>
          </w:tcPr>
          <w:p>
            <w:r>
              <w:rPr>
                <w:rFonts w:ascii="Calibri" w:hAnsi="Calibri"/>
                <w:sz w:val="20"/>
              </w:rPr>
              <w:t>Property brokerage and management across UAE</w:t>
            </w:r>
          </w:p>
        </w:tc>
      </w:tr>
      <w:tr>
        <w:tc>
          <w:tcPr>
            <w:tcW w:type="dxa" w:w="4536"/>
            <w:shd w:val="clear" w:color="auto" w:fill="FFFFFF"/>
          </w:tcPr>
          <w:p>
            <w:r>
              <w:rPr>
                <w:rFonts w:ascii="Calibri" w:hAnsi="Calibri"/>
                <w:sz w:val="20"/>
              </w:rPr>
              <w:t>Al Shumookh Global Exhibition Organizing</w:t>
            </w:r>
          </w:p>
        </w:tc>
        <w:tc>
          <w:tcPr>
            <w:tcW w:type="dxa" w:w="4536"/>
            <w:shd w:val="clear" w:color="auto" w:fill="FFFFFF"/>
          </w:tcPr>
          <w:p>
            <w:r>
              <w:rPr>
                <w:rFonts w:ascii="Calibri" w:hAnsi="Calibri"/>
                <w:sz w:val="20"/>
              </w:rPr>
              <w:t>International trade exhibitions and event management</w:t>
            </w:r>
          </w:p>
        </w:tc>
      </w:tr>
      <w:tr>
        <w:tc>
          <w:tcPr>
            <w:tcW w:type="dxa" w:w="4536"/>
            <w:shd w:val="clear" w:color="auto" w:fill="F5F5F0"/>
          </w:tcPr>
          <w:p>
            <w:r>
              <w:rPr>
                <w:rFonts w:ascii="Calibri" w:hAnsi="Calibri"/>
                <w:sz w:val="20"/>
              </w:rPr>
              <w:t>Al Shumookh Commercial Brokers LLC</w:t>
            </w:r>
          </w:p>
        </w:tc>
        <w:tc>
          <w:tcPr>
            <w:tcW w:type="dxa" w:w="4536"/>
            <w:shd w:val="clear" w:color="auto" w:fill="F5F5F0"/>
          </w:tcPr>
          <w:p>
            <w:r>
              <w:rPr>
                <w:rFonts w:ascii="Calibri" w:hAnsi="Calibri"/>
                <w:sz w:val="20"/>
              </w:rPr>
              <w:t>Commercial trade brokerage services</w:t>
            </w:r>
          </w:p>
        </w:tc>
      </w:tr>
      <w:tr>
        <w:tc>
          <w:tcPr>
            <w:tcW w:type="dxa" w:w="4536"/>
            <w:shd w:val="clear" w:color="auto" w:fill="FFFFFF"/>
          </w:tcPr>
          <w:p>
            <w:r>
              <w:rPr>
                <w:rFonts w:ascii="Calibri" w:hAnsi="Calibri"/>
                <w:sz w:val="20"/>
              </w:rPr>
              <w:t>Al Shumookh Al Raeda Businessmen Services</w:t>
            </w:r>
          </w:p>
        </w:tc>
        <w:tc>
          <w:tcPr>
            <w:tcW w:type="dxa" w:w="4536"/>
            <w:shd w:val="clear" w:color="auto" w:fill="FFFFFF"/>
          </w:tcPr>
          <w:p>
            <w:r>
              <w:rPr>
                <w:rFonts w:ascii="Calibri" w:hAnsi="Calibri"/>
                <w:sz w:val="20"/>
              </w:rPr>
              <w:t>Corporate support, PRO services, and business setup</w:t>
            </w:r>
          </w:p>
        </w:tc>
      </w:tr>
      <w:tr>
        <w:tc>
          <w:tcPr>
            <w:tcW w:type="dxa" w:w="4536"/>
            <w:shd w:val="clear" w:color="auto" w:fill="F5F5F0"/>
          </w:tcPr>
          <w:p>
            <w:r>
              <w:rPr>
                <w:rFonts w:ascii="Calibri" w:hAnsi="Calibri"/>
                <w:sz w:val="20"/>
              </w:rPr>
              <w:t>Al Shumookh Group Limited</w:t>
            </w:r>
          </w:p>
        </w:tc>
        <w:tc>
          <w:tcPr>
            <w:tcW w:type="dxa" w:w="4536"/>
            <w:shd w:val="clear" w:color="auto" w:fill="F5F5F0"/>
          </w:tcPr>
          <w:p>
            <w:r>
              <w:rPr>
                <w:rFonts w:ascii="Calibri" w:hAnsi="Calibri"/>
                <w:sz w:val="20"/>
              </w:rPr>
              <w:t>Holding entity overseeing international operations</w:t>
            </w:r>
          </w:p>
        </w:tc>
      </w:tr>
    </w:tbl>
    <w:p/>
    <w:p>
      <w:pPr>
        <w:spacing w:before="160" w:after="120"/>
      </w:pPr>
      <w:r>
        <w:rPr>
          <w:rFonts w:ascii="Calibri" w:hAnsi="Calibri"/>
          <w:b/>
          <w:color w:val="1A1A2E"/>
          <w:sz w:val="40"/>
        </w:rPr>
        <w:t>2.2  Achievements &amp; Recognition</w:t>
      </w:r>
    </w:p>
    <w:p>
      <w:pPr>
        <w:pStyle w:val="ListBullet"/>
        <w:spacing w:after="60"/>
        <w:ind w:left="432"/>
      </w:pPr>
      <w:r>
        <w:rPr>
          <w:rFonts w:ascii="Calibri" w:hAnsi="Calibri"/>
          <w:sz w:val="22"/>
        </w:rPr>
        <w:t>Winner of the Taqdeer Award 2022 — Dubai Government recognition for excellence</w:t>
      </w:r>
    </w:p>
    <w:p>
      <w:pPr>
        <w:pStyle w:val="ListBullet"/>
        <w:spacing w:after="60"/>
        <w:ind w:left="432"/>
      </w:pPr>
      <w:r>
        <w:rPr>
          <w:rFonts w:ascii="Calibri" w:hAnsi="Calibri"/>
          <w:sz w:val="22"/>
        </w:rPr>
        <w:t>Global Women Leadership Awards 2022 — Chairlady Fatma Lutfi honored</w:t>
      </w:r>
    </w:p>
    <w:p>
      <w:pPr>
        <w:pStyle w:val="ListBullet"/>
        <w:spacing w:after="60"/>
        <w:ind w:left="432"/>
      </w:pPr>
      <w:r>
        <w:rPr>
          <w:rFonts w:ascii="Calibri" w:hAnsi="Calibri"/>
          <w:sz w:val="22"/>
        </w:rPr>
        <w:t>International Fashion Gala Dubai — featured participant</w:t>
      </w:r>
    </w:p>
    <w:p>
      <w:pPr>
        <w:pStyle w:val="ListBullet"/>
        <w:spacing w:after="60"/>
        <w:ind w:left="432"/>
      </w:pPr>
      <w:r>
        <w:rPr>
          <w:rFonts w:ascii="Calibri" w:hAnsi="Calibri"/>
          <w:sz w:val="22"/>
        </w:rPr>
        <w:t>Gold supply network spanning Ghana, Tanzania, Mali, Cameroon, Sierra Leone, and Guinea Conakry</w:t>
      </w:r>
    </w:p>
    <w:p>
      <w:pPr>
        <w:pStyle w:val="ListBullet"/>
        <w:spacing w:after="60"/>
        <w:ind w:left="432"/>
      </w:pPr>
      <w:r>
        <w:rPr>
          <w:rFonts w:ascii="Calibri" w:hAnsi="Calibri"/>
          <w:sz w:val="22"/>
        </w:rPr>
        <w:t>Monthly gold capacity: 1,500 to 5,000 kg of 92–96% purity Dore bars</w:t>
      </w:r>
    </w:p>
    <w:p/>
    <w:p>
      <w:pPr>
        <w:spacing w:before="160" w:after="120"/>
      </w:pPr>
      <w:r>
        <w:rPr>
          <w:rFonts w:ascii="Calibri" w:hAnsi="Calibri"/>
          <w:b/>
          <w:color w:val="1A1A2E"/>
          <w:sz w:val="40"/>
        </w:rPr>
        <w:t>2.3  Office Locations</w:t>
      </w:r>
    </w:p>
    <w:p>
      <w:pPr>
        <w:pStyle w:val="ListBullet"/>
        <w:spacing w:after="60"/>
        <w:ind w:left="432"/>
      </w:pPr>
      <w:r>
        <w:rPr>
          <w:rFonts w:ascii="Calibri" w:hAnsi="Calibri"/>
          <w:sz w:val="22"/>
        </w:rPr>
        <w:t>Dubai HQ: API World Tower, Office 2103–4, Sheikh Zayed Road, Dubai, UAE</w:t>
      </w:r>
    </w:p>
    <w:p>
      <w:pPr>
        <w:pStyle w:val="ListBullet"/>
        <w:spacing w:after="60"/>
        <w:ind w:left="432"/>
      </w:pPr>
      <w:r>
        <w:rPr>
          <w:rFonts w:ascii="Calibri" w:hAnsi="Calibri"/>
          <w:sz w:val="22"/>
        </w:rPr>
        <w:t>London Office: 167–169 Great Portland Street, 5th Floor, London W1W 5PF</w:t>
      </w:r>
    </w:p>
    <w:p>
      <w:r>
        <w:br w:type="page"/>
      </w:r>
    </w:p>
    <w:p>
      <w:pPr>
        <w:spacing w:before="280" w:after="120"/>
      </w:pPr>
      <w:r>
        <w:rPr>
          <w:rFonts w:ascii="Calibri" w:hAnsi="Calibri"/>
          <w:b/>
          <w:color w:val="1A1A2E"/>
          <w:sz w:val="56"/>
        </w:rPr>
        <w:t>3. SIG Token Overview</w:t>
      </w:r>
    </w:p>
    <w:p>
      <w:pPr>
        <w:spacing w:before="40" w:after="40"/>
        <w:pBdr>
          <w:bottom w:val="single" w:sz="8" w:space="1" w:color="C9A02C"/>
        </w:pBdr>
      </w:pPr>
    </w:p>
    <w:p>
      <w:pPr>
        <w:spacing w:after="100"/>
      </w:pPr>
      <w:r>
        <w:rPr>
          <w:rFonts w:ascii="Calibri" w:hAnsi="Calibri"/>
          <w:b w:val="0"/>
          <w:i w:val="0"/>
          <w:color w:val="1A1A2E"/>
          <w:sz w:val="22"/>
        </w:rPr>
        <w:t>SIG is a utility token that serves as the backbone of the Al Shumookh digital ecosystem. It is designed to connect the Group's real-world business activities with blockchain technology, enabling transparent profit sharing, asset tokenization, and community participation in the Group's growth.</w:t>
      </w:r>
    </w:p>
    <w:p/>
    <w:p>
      <w:pPr>
        <w:spacing w:before="160" w:after="120"/>
      </w:pPr>
      <w:r>
        <w:rPr>
          <w:rFonts w:ascii="Calibri" w:hAnsi="Calibri"/>
          <w:b/>
          <w:color w:val="1A1A2E"/>
          <w:sz w:val="40"/>
        </w:rPr>
        <w:t>3.1  Token Details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F0F0E8"/>
          </w:tcPr>
          <w:p>
            <w:r>
              <w:rPr>
                <w:rFonts w:ascii="Calibri" w:hAnsi="Calibri"/>
                <w:b/>
                <w:sz w:val="20"/>
              </w:rPr>
              <w:t>Token Name</w:t>
            </w:r>
          </w:p>
        </w:tc>
        <w:tc>
          <w:tcPr>
            <w:tcW w:type="dxa" w:w="4536"/>
            <w:shd w:val="clear" w:color="auto" w:fill="F0F0E8"/>
          </w:tcPr>
          <w:p>
            <w:r>
              <w:rPr>
                <w:rFonts w:ascii="Calibri" w:hAnsi="Calibri"/>
                <w:sz w:val="20"/>
              </w:rPr>
              <w:t>Al Shumookh Investment Group Token</w:t>
            </w:r>
          </w:p>
        </w:tc>
      </w:tr>
      <w:tr>
        <w:tc>
          <w:tcPr>
            <w:tcW w:type="dxa" w:w="4536"/>
            <w:shd w:val="clear" w:color="auto" w:fill="FFFFFF"/>
          </w:tcPr>
          <w:p>
            <w:r>
              <w:rPr>
                <w:rFonts w:ascii="Calibri" w:hAnsi="Calibri"/>
                <w:b/>
                <w:sz w:val="20"/>
              </w:rPr>
              <w:t>Token Symbol</w:t>
            </w:r>
          </w:p>
        </w:tc>
        <w:tc>
          <w:tcPr>
            <w:tcW w:type="dxa" w:w="4536"/>
            <w:shd w:val="clear" w:color="auto" w:fill="FFFFFF"/>
          </w:tcPr>
          <w:p>
            <w:r>
              <w:rPr>
                <w:rFonts w:ascii="Calibri" w:hAnsi="Calibri"/>
                <w:sz w:val="20"/>
              </w:rPr>
              <w:t>SIG</w:t>
            </w:r>
          </w:p>
        </w:tc>
      </w:tr>
      <w:tr>
        <w:tc>
          <w:tcPr>
            <w:tcW w:type="dxa" w:w="4536"/>
            <w:shd w:val="clear" w:color="auto" w:fill="F0F0E8"/>
          </w:tcPr>
          <w:p>
            <w:r>
              <w:rPr>
                <w:rFonts w:ascii="Calibri" w:hAnsi="Calibri"/>
                <w:b/>
                <w:sz w:val="20"/>
              </w:rPr>
              <w:t>Blockchain</w:t>
            </w:r>
          </w:p>
        </w:tc>
        <w:tc>
          <w:tcPr>
            <w:tcW w:type="dxa" w:w="4536"/>
            <w:shd w:val="clear" w:color="auto" w:fill="F0F0E8"/>
          </w:tcPr>
          <w:p>
            <w:r>
              <w:rPr>
                <w:rFonts w:ascii="Calibri" w:hAnsi="Calibri"/>
                <w:sz w:val="20"/>
              </w:rPr>
              <w:t>Ethereum Mainnet</w:t>
            </w:r>
          </w:p>
        </w:tc>
      </w:tr>
      <w:tr>
        <w:tc>
          <w:tcPr>
            <w:tcW w:type="dxa" w:w="4536"/>
            <w:shd w:val="clear" w:color="auto" w:fill="FFFFFF"/>
          </w:tcPr>
          <w:p>
            <w:r>
              <w:rPr>
                <w:rFonts w:ascii="Calibri" w:hAnsi="Calibri"/>
                <w:b/>
                <w:sz w:val="20"/>
              </w:rPr>
              <w:t>Standard</w:t>
            </w:r>
          </w:p>
        </w:tc>
        <w:tc>
          <w:tcPr>
            <w:tcW w:type="dxa" w:w="4536"/>
            <w:shd w:val="clear" w:color="auto" w:fill="FFFFFF"/>
          </w:tcPr>
          <w:p>
            <w:r>
              <w:rPr>
                <w:rFonts w:ascii="Calibri" w:hAnsi="Calibri"/>
                <w:sz w:val="20"/>
              </w:rPr>
              <w:t>ERC-20</w:t>
            </w:r>
          </w:p>
        </w:tc>
      </w:tr>
      <w:tr>
        <w:tc>
          <w:tcPr>
            <w:tcW w:type="dxa" w:w="4536"/>
            <w:shd w:val="clear" w:color="auto" w:fill="F0F0E8"/>
          </w:tcPr>
          <w:p>
            <w:r>
              <w:rPr>
                <w:rFonts w:ascii="Calibri" w:hAnsi="Calibri"/>
                <w:b/>
                <w:sz w:val="20"/>
              </w:rPr>
              <w:t>Total Supply</w:t>
            </w:r>
          </w:p>
        </w:tc>
        <w:tc>
          <w:tcPr>
            <w:tcW w:type="dxa" w:w="4536"/>
            <w:shd w:val="clear" w:color="auto" w:fill="F0F0E8"/>
          </w:tcPr>
          <w:p>
            <w:r>
              <w:rPr>
                <w:rFonts w:ascii="Calibri" w:hAnsi="Calibri"/>
                <w:sz w:val="20"/>
              </w:rPr>
              <w:t>10,000,000,000 SIG (10 Billion)</w:t>
            </w:r>
          </w:p>
        </w:tc>
      </w:tr>
      <w:tr>
        <w:tc>
          <w:tcPr>
            <w:tcW w:type="dxa" w:w="4536"/>
            <w:shd w:val="clear" w:color="auto" w:fill="FFFFFF"/>
          </w:tcPr>
          <w:p>
            <w:r>
              <w:rPr>
                <w:rFonts w:ascii="Calibri" w:hAnsi="Calibri"/>
                <w:b/>
                <w:sz w:val="20"/>
              </w:rPr>
              <w:t>Contract</w:t>
            </w:r>
          </w:p>
        </w:tc>
        <w:tc>
          <w:tcPr>
            <w:tcW w:type="dxa" w:w="4536"/>
            <w:shd w:val="clear" w:color="auto" w:fill="FFFFFF"/>
          </w:tcPr>
          <w:p>
            <w:r>
              <w:rPr>
                <w:rFonts w:ascii="Calibri" w:hAnsi="Calibri"/>
                <w:sz w:val="20"/>
              </w:rPr>
              <w:t>0xc2ac880e474c3576cc3afb7c560e402ce24d5b37</w:t>
            </w:r>
          </w:p>
        </w:tc>
      </w:tr>
      <w:tr>
        <w:tc>
          <w:tcPr>
            <w:tcW w:type="dxa" w:w="4536"/>
            <w:shd w:val="clear" w:color="auto" w:fill="F0F0E8"/>
          </w:tcPr>
          <w:p>
            <w:r>
              <w:rPr>
                <w:rFonts w:ascii="Calibri" w:hAnsi="Calibri"/>
                <w:b/>
                <w:sz w:val="20"/>
              </w:rPr>
              <w:t>Decimals</w:t>
            </w:r>
          </w:p>
        </w:tc>
        <w:tc>
          <w:tcPr>
            <w:tcW w:type="dxa" w:w="4536"/>
            <w:shd w:val="clear" w:color="auto" w:fill="F0F0E8"/>
          </w:tcPr>
          <w:p>
            <w:r>
              <w:rPr>
                <w:rFonts w:ascii="Calibri" w:hAnsi="Calibri"/>
                <w:sz w:val="20"/>
              </w:rPr>
              <w:t>18</w:t>
            </w:r>
          </w:p>
        </w:tc>
      </w:tr>
      <w:tr>
        <w:tc>
          <w:tcPr>
            <w:tcW w:type="dxa" w:w="4536"/>
            <w:shd w:val="clear" w:color="auto" w:fill="FFFFFF"/>
          </w:tcPr>
          <w:p>
            <w:r>
              <w:rPr>
                <w:rFonts w:ascii="Calibri" w:hAnsi="Calibri"/>
                <w:b/>
                <w:sz w:val="20"/>
              </w:rPr>
              <w:t>DEX Listing</w:t>
            </w:r>
          </w:p>
        </w:tc>
        <w:tc>
          <w:tcPr>
            <w:tcW w:type="dxa" w:w="4536"/>
            <w:shd w:val="clear" w:color="auto" w:fill="FFFFFF"/>
          </w:tcPr>
          <w:p>
            <w:r>
              <w:rPr>
                <w:rFonts w:ascii="Calibri" w:hAnsi="Calibri"/>
                <w:sz w:val="20"/>
              </w:rPr>
              <w:t>Uniswap V2</w:t>
            </w:r>
          </w:p>
        </w:tc>
      </w:tr>
    </w:tbl>
    <w:p/>
    <w:p>
      <w:pPr>
        <w:spacing w:before="160" w:after="120"/>
      </w:pPr>
      <w:r>
        <w:rPr>
          <w:rFonts w:ascii="Calibri" w:hAnsi="Calibri"/>
          <w:b/>
          <w:color w:val="1A1A2E"/>
          <w:sz w:val="40"/>
        </w:rPr>
        <w:t>3.2  Token Utility</w:t>
      </w:r>
    </w:p>
    <w:p>
      <w:pPr>
        <w:pStyle w:val="ListBullet"/>
        <w:spacing w:after="60"/>
        <w:ind w:left="432"/>
      </w:pPr>
      <w:r>
        <w:rPr>
          <w:rFonts w:ascii="Calibri" w:hAnsi="Calibri"/>
          <w:b/>
          <w:sz w:val="22"/>
        </w:rPr>
        <w:t xml:space="preserve">— Receive automated on-chain profit distributions from Al Shumookh Group revenue </w:t>
      </w:r>
      <w:r>
        <w:rPr>
          <w:rFonts w:ascii="Calibri" w:hAnsi="Calibri"/>
          <w:sz w:val="22"/>
        </w:rPr>
        <w:t>Profit Distribution</w:t>
      </w:r>
    </w:p>
    <w:p>
      <w:pPr>
        <w:pStyle w:val="ListBullet"/>
        <w:spacing w:after="60"/>
        <w:ind w:left="432"/>
      </w:pPr>
      <w:r>
        <w:rPr>
          <w:rFonts w:ascii="Calibri" w:hAnsi="Calibri"/>
          <w:b/>
          <w:sz w:val="22"/>
        </w:rPr>
        <w:t xml:space="preserve">— M1 Tokenization system converts real-world assets into SIG-backed digital tokens </w:t>
      </w:r>
      <w:r>
        <w:rPr>
          <w:rFonts w:ascii="Calibri" w:hAnsi="Calibri"/>
          <w:sz w:val="22"/>
        </w:rPr>
        <w:t>Asset Tokenization</w:t>
      </w:r>
    </w:p>
    <w:p>
      <w:pPr>
        <w:pStyle w:val="ListBullet"/>
        <w:spacing w:after="60"/>
        <w:ind w:left="432"/>
      </w:pPr>
      <w:r>
        <w:rPr>
          <w:rFonts w:ascii="Calibri" w:hAnsi="Calibri"/>
          <w:b/>
          <w:sz w:val="22"/>
        </w:rPr>
        <w:t xml:space="preserve">— Participate in exclusive Al Shumookh investment opportunities </w:t>
      </w:r>
      <w:r>
        <w:rPr>
          <w:rFonts w:ascii="Calibri" w:hAnsi="Calibri"/>
          <w:sz w:val="22"/>
        </w:rPr>
        <w:t>Investment Access</w:t>
      </w:r>
    </w:p>
    <w:p>
      <w:pPr>
        <w:pStyle w:val="ListBullet"/>
        <w:spacing w:after="60"/>
        <w:ind w:left="432"/>
      </w:pPr>
      <w:r>
        <w:rPr>
          <w:rFonts w:ascii="Calibri" w:hAnsi="Calibri"/>
          <w:b/>
          <w:sz w:val="22"/>
        </w:rPr>
        <w:t xml:space="preserve">— Freely tradeable on Uniswap and decentralized exchanges </w:t>
      </w:r>
      <w:r>
        <w:rPr>
          <w:rFonts w:ascii="Calibri" w:hAnsi="Calibri"/>
          <w:sz w:val="22"/>
        </w:rPr>
        <w:t>Swap &amp; Trade</w:t>
      </w:r>
    </w:p>
    <w:p>
      <w:pPr>
        <w:pStyle w:val="ListBullet"/>
        <w:spacing w:after="60"/>
        <w:ind w:left="432"/>
      </w:pPr>
      <w:r>
        <w:rPr>
          <w:rFonts w:ascii="Calibri" w:hAnsi="Calibri"/>
          <w:b/>
          <w:sz w:val="22"/>
        </w:rPr>
        <w:t xml:space="preserve">— Used as the primary currency within the Al Shumookh digital platform </w:t>
      </w:r>
      <w:r>
        <w:rPr>
          <w:rFonts w:ascii="Calibri" w:hAnsi="Calibri"/>
          <w:sz w:val="22"/>
        </w:rPr>
        <w:t>Ecosystem Payments</w:t>
      </w:r>
    </w:p>
    <w:p>
      <w:r>
        <w:br w:type="page"/>
      </w:r>
    </w:p>
    <w:p>
      <w:pPr>
        <w:spacing w:before="280" w:after="120"/>
      </w:pPr>
      <w:r>
        <w:rPr>
          <w:rFonts w:ascii="Calibri" w:hAnsi="Calibri"/>
          <w:b/>
          <w:color w:val="1A1A2E"/>
          <w:sz w:val="56"/>
        </w:rPr>
        <w:t>4. Token Economics (Tokenomics)</w:t>
      </w:r>
    </w:p>
    <w:p>
      <w:pPr>
        <w:spacing w:before="40" w:after="40"/>
        <w:pBdr>
          <w:bottom w:val="single" w:sz="8" w:space="1" w:color="C9A02C"/>
        </w:pBdr>
      </w:pPr>
    </w:p>
    <w:p>
      <w:pPr>
        <w:spacing w:after="100"/>
      </w:pPr>
      <w:r>
        <w:rPr>
          <w:rFonts w:ascii="Calibri" w:hAnsi="Calibri"/>
          <w:b w:val="0"/>
          <w:i w:val="0"/>
          <w:color w:val="1A1A2E"/>
          <w:sz w:val="22"/>
        </w:rPr>
        <w:t>The total supply of SIG is fixed at 10 billion tokens. There will never be additional minting beyond this cap. The distribution is structured to support long-term ecosystem growth, liquidity, and community incentives.</w:t>
      </w:r>
    </w:p>
    <w:p/>
    <w:p>
      <w:pPr>
        <w:spacing w:before="160" w:after="120"/>
      </w:pPr>
      <w:r>
        <w:rPr>
          <w:rFonts w:ascii="Calibri" w:hAnsi="Calibri"/>
          <w:b/>
          <w:color w:val="1A1A2E"/>
          <w:sz w:val="40"/>
        </w:rPr>
        <w:t>4.1  Token Distribution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A1A2E"/>
          </w:tcPr>
          <w:p>
            <w:r>
              <w:rPr>
                <w:rFonts w:ascii="Calibri" w:hAnsi="Calibri"/>
                <w:b/>
                <w:color w:val="C9A02C"/>
                <w:sz w:val="18"/>
              </w:rPr>
              <w:t>Allocation</w:t>
            </w:r>
          </w:p>
        </w:tc>
        <w:tc>
          <w:tcPr>
            <w:tcW w:type="dxa" w:w="2268"/>
            <w:shd w:val="clear" w:color="auto" w:fill="1A1A2E"/>
          </w:tcPr>
          <w:p>
            <w:r>
              <w:rPr>
                <w:rFonts w:ascii="Calibri" w:hAnsi="Calibri"/>
                <w:b/>
                <w:color w:val="C9A02C"/>
                <w:sz w:val="18"/>
              </w:rPr>
              <w:t>Percentage</w:t>
            </w:r>
          </w:p>
        </w:tc>
        <w:tc>
          <w:tcPr>
            <w:tcW w:type="dxa" w:w="2268"/>
            <w:shd w:val="clear" w:color="auto" w:fill="1A1A2E"/>
          </w:tcPr>
          <w:p>
            <w:r>
              <w:rPr>
                <w:rFonts w:ascii="Calibri" w:hAnsi="Calibri"/>
                <w:b/>
                <w:color w:val="C9A02C"/>
                <w:sz w:val="18"/>
              </w:rPr>
              <w:t>Amount</w:t>
            </w:r>
          </w:p>
        </w:tc>
        <w:tc>
          <w:tcPr>
            <w:tcW w:type="dxa" w:w="2268"/>
            <w:shd w:val="clear" w:color="auto" w:fill="1A1A2E"/>
          </w:tcPr>
          <w:p>
            <w:r>
              <w:rPr>
                <w:rFonts w:ascii="Calibri" w:hAnsi="Calibri"/>
                <w:b/>
                <w:color w:val="C9A02C"/>
                <w:sz w:val="18"/>
              </w:rPr>
              <w:t>Purpose</w:t>
            </w:r>
          </w:p>
        </w:tc>
      </w:tr>
      <w:tr>
        <w:tc>
          <w:tcPr>
            <w:tcW w:type="dxa" w:w="2268"/>
            <w:shd w:val="clear" w:color="auto" w:fill="F5F5F0"/>
          </w:tcPr>
          <w:p>
            <w:r>
              <w:rPr>
                <w:rFonts w:ascii="Calibri" w:hAnsi="Calibri"/>
                <w:sz w:val="18"/>
              </w:rPr>
              <w:t>Uniswap Liquidity Pool</w:t>
            </w:r>
          </w:p>
        </w:tc>
        <w:tc>
          <w:tcPr>
            <w:tcW w:type="dxa" w:w="2268"/>
            <w:shd w:val="clear" w:color="auto" w:fill="F5F5F0"/>
          </w:tcPr>
          <w:p>
            <w:r>
              <w:rPr>
                <w:rFonts w:ascii="Calibri" w:hAnsi="Calibri"/>
                <w:sz w:val="18"/>
              </w:rPr>
              <w:t>3%</w:t>
            </w:r>
          </w:p>
        </w:tc>
        <w:tc>
          <w:tcPr>
            <w:tcW w:type="dxa" w:w="2268"/>
            <w:shd w:val="clear" w:color="auto" w:fill="F5F5F0"/>
          </w:tcPr>
          <w:p>
            <w:r>
              <w:rPr>
                <w:rFonts w:ascii="Calibri" w:hAnsi="Calibri"/>
                <w:sz w:val="18"/>
              </w:rPr>
              <w:t>300,000,000 SIG</w:t>
            </w:r>
          </w:p>
        </w:tc>
        <w:tc>
          <w:tcPr>
            <w:tcW w:type="dxa" w:w="2268"/>
            <w:shd w:val="clear" w:color="auto" w:fill="F5F5F0"/>
          </w:tcPr>
          <w:p>
            <w:r>
              <w:rPr>
                <w:rFonts w:ascii="Calibri" w:hAnsi="Calibri"/>
                <w:sz w:val="18"/>
              </w:rPr>
              <w:t>Initial DEX liquidity for public trading</w:t>
            </w:r>
          </w:p>
        </w:tc>
      </w:tr>
      <w:tr>
        <w:tc>
          <w:tcPr>
            <w:tcW w:type="dxa" w:w="2268"/>
            <w:shd w:val="clear" w:color="auto" w:fill="FFFFFF"/>
          </w:tcPr>
          <w:p>
            <w:r>
              <w:rPr>
                <w:rFonts w:ascii="Calibri" w:hAnsi="Calibri"/>
                <w:sz w:val="18"/>
              </w:rPr>
              <w:t>Ecosystem &amp; Platform</w:t>
            </w:r>
          </w:p>
        </w:tc>
        <w:tc>
          <w:tcPr>
            <w:tcW w:type="dxa" w:w="2268"/>
            <w:shd w:val="clear" w:color="auto" w:fill="FFFFFF"/>
          </w:tcPr>
          <w:p>
            <w:r>
              <w:rPr>
                <w:rFonts w:ascii="Calibri" w:hAnsi="Calibri"/>
                <w:sz w:val="18"/>
              </w:rPr>
              <w:t>40%</w:t>
            </w:r>
          </w:p>
        </w:tc>
        <w:tc>
          <w:tcPr>
            <w:tcW w:type="dxa" w:w="2268"/>
            <w:shd w:val="clear" w:color="auto" w:fill="FFFFFF"/>
          </w:tcPr>
          <w:p>
            <w:r>
              <w:rPr>
                <w:rFonts w:ascii="Calibri" w:hAnsi="Calibri"/>
                <w:sz w:val="18"/>
              </w:rPr>
              <w:t>4,000,000,000 SIG</w:t>
            </w:r>
          </w:p>
        </w:tc>
        <w:tc>
          <w:tcPr>
            <w:tcW w:type="dxa" w:w="2268"/>
            <w:shd w:val="clear" w:color="auto" w:fill="FFFFFF"/>
          </w:tcPr>
          <w:p>
            <w:r>
              <w:rPr>
                <w:rFonts w:ascii="Calibri" w:hAnsi="Calibri"/>
                <w:sz w:val="18"/>
              </w:rPr>
              <w:t>Profit distributor, platform operations, partnerships</w:t>
            </w:r>
          </w:p>
        </w:tc>
      </w:tr>
      <w:tr>
        <w:tc>
          <w:tcPr>
            <w:tcW w:type="dxa" w:w="2268"/>
            <w:shd w:val="clear" w:color="auto" w:fill="F5F5F0"/>
          </w:tcPr>
          <w:p>
            <w:r>
              <w:rPr>
                <w:rFonts w:ascii="Calibri" w:hAnsi="Calibri"/>
                <w:sz w:val="18"/>
              </w:rPr>
              <w:t>Team &amp; Founders</w:t>
            </w:r>
          </w:p>
        </w:tc>
        <w:tc>
          <w:tcPr>
            <w:tcW w:type="dxa" w:w="2268"/>
            <w:shd w:val="clear" w:color="auto" w:fill="F5F5F0"/>
          </w:tcPr>
          <w:p>
            <w:r>
              <w:rPr>
                <w:rFonts w:ascii="Calibri" w:hAnsi="Calibri"/>
                <w:sz w:val="18"/>
              </w:rPr>
              <w:t>20%</w:t>
            </w:r>
          </w:p>
        </w:tc>
        <w:tc>
          <w:tcPr>
            <w:tcW w:type="dxa" w:w="2268"/>
            <w:shd w:val="clear" w:color="auto" w:fill="F5F5F0"/>
          </w:tcPr>
          <w:p>
            <w:r>
              <w:rPr>
                <w:rFonts w:ascii="Calibri" w:hAnsi="Calibri"/>
                <w:sz w:val="18"/>
              </w:rPr>
              <w:t>2,000,000,000 SIG</w:t>
            </w:r>
          </w:p>
        </w:tc>
        <w:tc>
          <w:tcPr>
            <w:tcW w:type="dxa" w:w="2268"/>
            <w:shd w:val="clear" w:color="auto" w:fill="F5F5F0"/>
          </w:tcPr>
          <w:p>
            <w:r>
              <w:rPr>
                <w:rFonts w:ascii="Calibri" w:hAnsi="Calibri"/>
                <w:sz w:val="18"/>
              </w:rPr>
              <w:t>Core team, locked 12 months, vested 24 months</w:t>
            </w:r>
          </w:p>
        </w:tc>
      </w:tr>
      <w:tr>
        <w:tc>
          <w:tcPr>
            <w:tcW w:type="dxa" w:w="2268"/>
            <w:shd w:val="clear" w:color="auto" w:fill="FFFFFF"/>
          </w:tcPr>
          <w:p>
            <w:r>
              <w:rPr>
                <w:rFonts w:ascii="Calibri" w:hAnsi="Calibri"/>
                <w:sz w:val="18"/>
              </w:rPr>
              <w:t>Community &amp; Marketing</w:t>
            </w:r>
          </w:p>
        </w:tc>
        <w:tc>
          <w:tcPr>
            <w:tcW w:type="dxa" w:w="2268"/>
            <w:shd w:val="clear" w:color="auto" w:fill="FFFFFF"/>
          </w:tcPr>
          <w:p>
            <w:r>
              <w:rPr>
                <w:rFonts w:ascii="Calibri" w:hAnsi="Calibri"/>
                <w:sz w:val="18"/>
              </w:rPr>
              <w:t>20%</w:t>
            </w:r>
          </w:p>
        </w:tc>
        <w:tc>
          <w:tcPr>
            <w:tcW w:type="dxa" w:w="2268"/>
            <w:shd w:val="clear" w:color="auto" w:fill="FFFFFF"/>
          </w:tcPr>
          <w:p>
            <w:r>
              <w:rPr>
                <w:rFonts w:ascii="Calibri" w:hAnsi="Calibri"/>
                <w:sz w:val="18"/>
              </w:rPr>
              <w:t>2,000,000,000 SIG</w:t>
            </w:r>
          </w:p>
        </w:tc>
        <w:tc>
          <w:tcPr>
            <w:tcW w:type="dxa" w:w="2268"/>
            <w:shd w:val="clear" w:color="auto" w:fill="FFFFFF"/>
          </w:tcPr>
          <w:p>
            <w:r>
              <w:rPr>
                <w:rFonts w:ascii="Calibri" w:hAnsi="Calibri"/>
                <w:sz w:val="18"/>
              </w:rPr>
              <w:t>Airdrops, campaigns, community rewards</w:t>
            </w:r>
          </w:p>
        </w:tc>
      </w:tr>
      <w:tr>
        <w:tc>
          <w:tcPr>
            <w:tcW w:type="dxa" w:w="2268"/>
            <w:shd w:val="clear" w:color="auto" w:fill="F5F5F0"/>
          </w:tcPr>
          <w:p>
            <w:r>
              <w:rPr>
                <w:rFonts w:ascii="Calibri" w:hAnsi="Calibri"/>
                <w:sz w:val="18"/>
              </w:rPr>
              <w:t>Reserve &amp; Future Development</w:t>
            </w:r>
          </w:p>
        </w:tc>
        <w:tc>
          <w:tcPr>
            <w:tcW w:type="dxa" w:w="2268"/>
            <w:shd w:val="clear" w:color="auto" w:fill="F5F5F0"/>
          </w:tcPr>
          <w:p>
            <w:r>
              <w:rPr>
                <w:rFonts w:ascii="Calibri" w:hAnsi="Calibri"/>
                <w:sz w:val="18"/>
              </w:rPr>
              <w:t>17%</w:t>
            </w:r>
          </w:p>
        </w:tc>
        <w:tc>
          <w:tcPr>
            <w:tcW w:type="dxa" w:w="2268"/>
            <w:shd w:val="clear" w:color="auto" w:fill="F5F5F0"/>
          </w:tcPr>
          <w:p>
            <w:r>
              <w:rPr>
                <w:rFonts w:ascii="Calibri" w:hAnsi="Calibri"/>
                <w:sz w:val="18"/>
              </w:rPr>
              <w:t>1,700,000,000 SIG</w:t>
            </w:r>
          </w:p>
        </w:tc>
        <w:tc>
          <w:tcPr>
            <w:tcW w:type="dxa" w:w="2268"/>
            <w:shd w:val="clear" w:color="auto" w:fill="F5F5F0"/>
          </w:tcPr>
          <w:p>
            <w:r>
              <w:rPr>
                <w:rFonts w:ascii="Calibri" w:hAnsi="Calibri"/>
                <w:sz w:val="18"/>
              </w:rPr>
              <w:t>Strategic reserve for future growth</w:t>
            </w:r>
          </w:p>
        </w:tc>
      </w:tr>
    </w:tbl>
    <w:p/>
    <w:p>
      <w:pPr>
        <w:spacing w:before="160" w:after="120"/>
      </w:pPr>
      <w:r>
        <w:rPr>
          <w:rFonts w:ascii="Calibri" w:hAnsi="Calibri"/>
          <w:b/>
          <w:color w:val="1A1A2E"/>
          <w:sz w:val="40"/>
        </w:rPr>
        <w:t>4.2  Vesting Schedule</w:t>
      </w:r>
    </w:p>
    <w:p>
      <w:pPr>
        <w:pStyle w:val="ListBullet"/>
        <w:spacing w:after="60"/>
        <w:ind w:left="432"/>
      </w:pPr>
      <w:r>
        <w:rPr>
          <w:rFonts w:ascii="Calibri" w:hAnsi="Calibri"/>
          <w:b/>
          <w:sz w:val="22"/>
        </w:rPr>
        <w:t xml:space="preserve">Locked for 12 months from launch date, then vested linearly over 24 months </w:t>
      </w:r>
      <w:r>
        <w:rPr>
          <w:rFonts w:ascii="Calibri" w:hAnsi="Calibri"/>
          <w:sz w:val="22"/>
        </w:rPr>
        <w:t>Team tokens:</w:t>
      </w:r>
    </w:p>
    <w:p>
      <w:pPr>
        <w:pStyle w:val="ListBullet"/>
        <w:spacing w:after="60"/>
        <w:ind w:left="432"/>
      </w:pPr>
      <w:r>
        <w:rPr>
          <w:rFonts w:ascii="Calibri" w:hAnsi="Calibri"/>
          <w:b/>
          <w:sz w:val="22"/>
        </w:rPr>
        <w:t xml:space="preserve">Released quarterly based on platform milestones and community vote </w:t>
      </w:r>
      <w:r>
        <w:rPr>
          <w:rFonts w:ascii="Calibri" w:hAnsi="Calibri"/>
          <w:sz w:val="22"/>
        </w:rPr>
        <w:t>Ecosystem tokens:</w:t>
      </w:r>
    </w:p>
    <w:p>
      <w:pPr>
        <w:pStyle w:val="ListBullet"/>
        <w:spacing w:after="60"/>
        <w:ind w:left="432"/>
      </w:pPr>
      <w:r>
        <w:rPr>
          <w:rFonts w:ascii="Calibri" w:hAnsi="Calibri"/>
          <w:b/>
          <w:sz w:val="22"/>
        </w:rPr>
        <w:t xml:space="preserve">Distributed through verified marketing campaigns and engagement programs </w:t>
      </w:r>
      <w:r>
        <w:rPr>
          <w:rFonts w:ascii="Calibri" w:hAnsi="Calibri"/>
          <w:sz w:val="22"/>
        </w:rPr>
        <w:t>Community tokens:</w:t>
      </w:r>
    </w:p>
    <w:p>
      <w:pPr>
        <w:pStyle w:val="ListBullet"/>
        <w:spacing w:after="60"/>
        <w:ind w:left="432"/>
      </w:pPr>
      <w:r>
        <w:rPr>
          <w:rFonts w:ascii="Calibri" w:hAnsi="Calibri"/>
          <w:b/>
          <w:sz w:val="22"/>
        </w:rPr>
        <w:t xml:space="preserve">Locked on Team Finance or Unicrypt for minimum 12 months post-launch </w:t>
      </w:r>
      <w:r>
        <w:rPr>
          <w:rFonts w:ascii="Calibri" w:hAnsi="Calibri"/>
          <w:sz w:val="22"/>
        </w:rPr>
        <w:t>Liquidity tokens:</w:t>
      </w:r>
    </w:p>
    <w:p>
      <w:r>
        <w:br w:type="page"/>
      </w:r>
    </w:p>
    <w:p>
      <w:pPr>
        <w:spacing w:before="280" w:after="120"/>
      </w:pPr>
      <w:r>
        <w:rPr>
          <w:rFonts w:ascii="Calibri" w:hAnsi="Calibri"/>
          <w:b/>
          <w:color w:val="1A1A2E"/>
          <w:sz w:val="56"/>
        </w:rPr>
        <w:t>5. Technical Infrastructure</w:t>
      </w:r>
    </w:p>
    <w:p>
      <w:pPr>
        <w:spacing w:before="40" w:after="40"/>
        <w:pBdr>
          <w:bottom w:val="single" w:sz="8" w:space="1" w:color="C9A02C"/>
        </w:pBdr>
      </w:pPr>
    </w:p>
    <w:p>
      <w:pPr>
        <w:spacing w:before="160" w:after="120"/>
      </w:pPr>
      <w:r>
        <w:rPr>
          <w:rFonts w:ascii="Calibri" w:hAnsi="Calibri"/>
          <w:b/>
          <w:color w:val="1A1A2E"/>
          <w:sz w:val="40"/>
        </w:rPr>
        <w:t>5.1  SIG Profit Distributor Smart Contract</w:t>
      </w:r>
    </w:p>
    <w:p>
      <w:pPr>
        <w:spacing w:after="100"/>
      </w:pPr>
      <w:r>
        <w:rPr>
          <w:rFonts w:ascii="Calibri" w:hAnsi="Calibri"/>
          <w:b w:val="0"/>
          <w:i w:val="0"/>
          <w:color w:val="1A1A2E"/>
          <w:sz w:val="22"/>
        </w:rPr>
        <w:t>The SIG Profit Distributor is a proprietary smart contract deployed on Ethereum Mainnet. It enables Al Shumookh Group to distribute profits directly to designated wallet addresses in an automated, transparent, and immutable manner.</w:t>
      </w:r>
    </w:p>
    <w:p/>
    <w:p>
      <w:pPr>
        <w:spacing w:after="100"/>
      </w:pPr>
      <w:r>
        <w:rPr>
          <w:rFonts w:ascii="Calibri" w:hAnsi="Calibri"/>
          <w:b/>
          <w:i w:val="0"/>
          <w:color w:val="1A1A2E"/>
          <w:sz w:val="22"/>
        </w:rPr>
        <w:t>Key features of the Profit Distributor:</w:t>
      </w:r>
    </w:p>
    <w:p>
      <w:pPr>
        <w:pStyle w:val="ListBullet"/>
        <w:spacing w:after="60"/>
        <w:ind w:left="432"/>
      </w:pPr>
      <w:r>
        <w:rPr>
          <w:rFonts w:ascii="Calibri" w:hAnsi="Calibri"/>
          <w:sz w:val="22"/>
        </w:rPr>
        <w:t>Multi-payee support — distribute profits to multiple wallets in a single transaction</w:t>
      </w:r>
    </w:p>
    <w:p>
      <w:pPr>
        <w:pStyle w:val="ListBullet"/>
        <w:spacing w:after="60"/>
        <w:ind w:left="432"/>
      </w:pPr>
      <w:r>
        <w:rPr>
          <w:rFonts w:ascii="Calibri" w:hAnsi="Calibri"/>
          <w:sz w:val="22"/>
        </w:rPr>
        <w:t>Configurable shares — each payee receives a proportional share of total deposits</w:t>
      </w:r>
    </w:p>
    <w:p>
      <w:pPr>
        <w:pStyle w:val="ListBullet"/>
        <w:spacing w:after="60"/>
        <w:ind w:left="432"/>
      </w:pPr>
      <w:r>
        <w:rPr>
          <w:rFonts w:ascii="Calibri" w:hAnsi="Calibri"/>
          <w:sz w:val="22"/>
        </w:rPr>
        <w:t>Rescue mechanism — authorized admin can recover misrouted funds</w:t>
      </w:r>
    </w:p>
    <w:p>
      <w:pPr>
        <w:pStyle w:val="ListBullet"/>
        <w:spacing w:after="60"/>
        <w:ind w:left="432"/>
      </w:pPr>
      <w:r>
        <w:rPr>
          <w:rFonts w:ascii="Calibri" w:hAnsi="Calibri"/>
          <w:sz w:val="22"/>
        </w:rPr>
        <w:t>Full on-chain transparency — all distributions visible on Etherscan</w:t>
      </w:r>
    </w:p>
    <w:p>
      <w:pPr>
        <w:pStyle w:val="ListBullet"/>
        <w:spacing w:after="60"/>
        <w:ind w:left="432"/>
      </w:pPr>
      <w:r>
        <w:rPr>
          <w:rFonts w:ascii="Calibri" w:hAnsi="Calibri"/>
          <w:sz w:val="22"/>
        </w:rPr>
        <w:t>Gas-efficient design — optimized for Ethereum Mainnet operations</w:t>
      </w:r>
    </w:p>
    <w:p/>
    <w:p>
      <w:pPr>
        <w:spacing w:before="160" w:after="120"/>
      </w:pPr>
      <w:r>
        <w:rPr>
          <w:rFonts w:ascii="Calibri" w:hAnsi="Calibri"/>
          <w:b/>
          <w:color w:val="1A1A2E"/>
          <w:sz w:val="40"/>
        </w:rPr>
        <w:t>5.2  M1 Tokenization System</w:t>
      </w:r>
    </w:p>
    <w:p>
      <w:pPr>
        <w:spacing w:after="100"/>
      </w:pPr>
      <w:r>
        <w:rPr>
          <w:rFonts w:ascii="Calibri" w:hAnsi="Calibri"/>
          <w:b w:val="0"/>
          <w:i w:val="0"/>
          <w:color w:val="1A1A2E"/>
          <w:sz w:val="22"/>
        </w:rPr>
        <w:t>The M1 Tokenization module converts real-world monetary assets into SIG tokens at a predefined exchange rate. This system bridges traditional finance (fiat, commodities) with the blockchain ecosystem:</w:t>
      </w:r>
    </w:p>
    <w:p>
      <w:pPr>
        <w:pStyle w:val="ListBullet"/>
        <w:spacing w:after="60"/>
        <w:ind w:left="432"/>
      </w:pPr>
      <w:r>
        <w:rPr>
          <w:rFonts w:ascii="Calibri" w:hAnsi="Calibri"/>
          <w:sz w:val="22"/>
        </w:rPr>
        <w:t>EUR/USD amounts are converted to SIG equivalent at current market rate</w:t>
      </w:r>
    </w:p>
    <w:p>
      <w:pPr>
        <w:pStyle w:val="ListBullet"/>
        <w:spacing w:after="60"/>
        <w:ind w:left="432"/>
      </w:pPr>
      <w:r>
        <w:rPr>
          <w:rFonts w:ascii="Calibri" w:hAnsi="Calibri"/>
          <w:sz w:val="22"/>
        </w:rPr>
        <w:t>SWIFT payment integration for international wire transfers</w:t>
      </w:r>
    </w:p>
    <w:p>
      <w:pPr>
        <w:pStyle w:val="ListBullet"/>
        <w:spacing w:after="60"/>
        <w:ind w:left="432"/>
      </w:pPr>
      <w:r>
        <w:rPr>
          <w:rFonts w:ascii="Calibri" w:hAnsi="Calibri"/>
          <w:sz w:val="22"/>
        </w:rPr>
        <w:t>Automated settlement and reconciliation</w:t>
      </w:r>
    </w:p>
    <w:p>
      <w:pPr>
        <w:pStyle w:val="ListBullet"/>
        <w:spacing w:after="60"/>
        <w:ind w:left="432"/>
      </w:pPr>
      <w:r>
        <w:rPr>
          <w:rFonts w:ascii="Calibri" w:hAnsi="Calibri"/>
          <w:sz w:val="22"/>
        </w:rPr>
        <w:t>Full audit trail for compliance and reporting</w:t>
      </w:r>
    </w:p>
    <w:p/>
    <w:p>
      <w:pPr>
        <w:spacing w:before="160" w:after="120"/>
      </w:pPr>
      <w:r>
        <w:rPr>
          <w:rFonts w:ascii="Calibri" w:hAnsi="Calibri"/>
          <w:b/>
          <w:color w:val="1A1A2E"/>
          <w:sz w:val="40"/>
        </w:rPr>
        <w:t>5.3  Admin Dashboard</w:t>
      </w:r>
    </w:p>
    <w:p>
      <w:pPr>
        <w:spacing w:after="100"/>
      </w:pPr>
      <w:r>
        <w:rPr>
          <w:rFonts w:ascii="Calibri" w:hAnsi="Calibri"/>
          <w:b w:val="0"/>
          <w:i w:val="0"/>
          <w:color w:val="1A1A2E"/>
          <w:sz w:val="22"/>
        </w:rPr>
        <w:t>The Al Shumookh Admin Dashboard provides complete management of the SIG ecosystem:</w:t>
      </w:r>
    </w:p>
    <w:p>
      <w:pPr>
        <w:pStyle w:val="ListBullet"/>
        <w:spacing w:after="60"/>
        <w:ind w:left="432"/>
      </w:pPr>
      <w:r>
        <w:rPr>
          <w:rFonts w:ascii="Calibri" w:hAnsi="Calibri"/>
          <w:sz w:val="22"/>
        </w:rPr>
        <w:t>SWIFT Terminal — send and receive international payment messages</w:t>
      </w:r>
    </w:p>
    <w:p>
      <w:pPr>
        <w:pStyle w:val="ListBullet"/>
        <w:spacing w:after="60"/>
        <w:ind w:left="432"/>
      </w:pPr>
      <w:r>
        <w:rPr>
          <w:rFonts w:ascii="Calibri" w:hAnsi="Calibri"/>
          <w:sz w:val="22"/>
        </w:rPr>
        <w:t>Reports Module — full transaction history with PDF export</w:t>
      </w:r>
    </w:p>
    <w:p>
      <w:pPr>
        <w:pStyle w:val="ListBullet"/>
        <w:spacing w:after="60"/>
        <w:ind w:left="432"/>
      </w:pPr>
      <w:r>
        <w:rPr>
          <w:rFonts w:ascii="Calibri" w:hAnsi="Calibri"/>
          <w:sz w:val="22"/>
        </w:rPr>
        <w:t>Gas Invoice Management — track and settle Ethereum gas fees</w:t>
      </w:r>
    </w:p>
    <w:p>
      <w:pPr>
        <w:pStyle w:val="ListBullet"/>
        <w:spacing w:after="60"/>
        <w:ind w:left="432"/>
      </w:pPr>
      <w:r>
        <w:rPr>
          <w:rFonts w:ascii="Calibri" w:hAnsi="Calibri"/>
          <w:sz w:val="22"/>
        </w:rPr>
        <w:t>Settlement Payloads — manage outgoing payment instructions</w:t>
      </w:r>
    </w:p>
    <w:p>
      <w:pPr>
        <w:pStyle w:val="ListBullet"/>
        <w:spacing w:after="60"/>
        <w:ind w:left="432"/>
      </w:pPr>
      <w:r>
        <w:rPr>
          <w:rFonts w:ascii="Calibri" w:hAnsi="Calibri"/>
          <w:sz w:val="22"/>
        </w:rPr>
        <w:t>Route Management — direct payments to correct wallets and networks</w:t>
      </w:r>
    </w:p>
    <w:p>
      <w:r>
        <w:br w:type="page"/>
      </w:r>
    </w:p>
    <w:p>
      <w:pPr>
        <w:spacing w:before="280" w:after="120"/>
      </w:pPr>
      <w:r>
        <w:rPr>
          <w:rFonts w:ascii="Calibri" w:hAnsi="Calibri"/>
          <w:b/>
          <w:color w:val="1A1A2E"/>
          <w:sz w:val="56"/>
        </w:rPr>
        <w:t>6. Uniswap Launch Plan</w:t>
      </w:r>
    </w:p>
    <w:p>
      <w:pPr>
        <w:spacing w:before="40" w:after="40"/>
        <w:pBdr>
          <w:bottom w:val="single" w:sz="8" w:space="1" w:color="C9A02C"/>
        </w:pBdr>
      </w:pPr>
    </w:p>
    <w:p>
      <w:pPr>
        <w:spacing w:after="100"/>
      </w:pPr>
      <w:r>
        <w:rPr>
          <w:rFonts w:ascii="Calibri" w:hAnsi="Calibri"/>
          <w:b w:val="0"/>
          <w:i w:val="0"/>
          <w:color w:val="1A1A2E"/>
          <w:sz w:val="22"/>
        </w:rPr>
        <w:t>SIG will be officially listed on Uniswap V2 — the leading decentralized exchange on Ethereum. The launch follows a structured approach to ensure stable initial liquidity and maximum community confidence.</w:t>
      </w:r>
    </w:p>
    <w:p/>
    <w:p>
      <w:pPr>
        <w:spacing w:before="160" w:after="120"/>
      </w:pPr>
      <w:r>
        <w:rPr>
          <w:rFonts w:ascii="Calibri" w:hAnsi="Calibri"/>
          <w:b/>
          <w:color w:val="1A1A2E"/>
          <w:sz w:val="40"/>
        </w:rPr>
        <w:t>6.1  Initial Liquidity Parameters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1A2E"/>
          </w:tcPr>
          <w:p>
            <w:r>
              <w:rPr>
                <w:rFonts w:ascii="Calibri" w:hAnsi="Calibri"/>
                <w:b/>
                <w:color w:val="C9A02C"/>
                <w:sz w:val="20"/>
              </w:rPr>
              <w:t>Parameter</w:t>
            </w:r>
          </w:p>
        </w:tc>
        <w:tc>
          <w:tcPr>
            <w:tcW w:type="dxa" w:w="3024"/>
            <w:shd w:val="clear" w:color="auto" w:fill="1A1A2E"/>
          </w:tcPr>
          <w:p>
            <w:r>
              <w:rPr>
                <w:rFonts w:ascii="Calibri" w:hAnsi="Calibri"/>
                <w:b/>
                <w:color w:val="C9A02C"/>
                <w:sz w:val="20"/>
              </w:rPr>
              <w:t>Value</w:t>
            </w:r>
          </w:p>
        </w:tc>
        <w:tc>
          <w:tcPr>
            <w:tcW w:type="dxa" w:w="3024"/>
            <w:shd w:val="clear" w:color="auto" w:fill="1A1A2E"/>
          </w:tcPr>
          <w:p>
            <w:r>
              <w:rPr>
                <w:rFonts w:ascii="Calibri" w:hAnsi="Calibri"/>
                <w:b/>
                <w:color w:val="C9A02C"/>
                <w:sz w:val="20"/>
              </w:rPr>
              <w:t>Notes</w:t>
            </w:r>
          </w:p>
        </w:tc>
      </w:tr>
      <w:tr>
        <w:tc>
          <w:tcPr>
            <w:tcW w:type="dxa" w:w="3024"/>
            <w:shd w:val="clear" w:color="auto" w:fill="F5F5F0"/>
          </w:tcPr>
          <w:p>
            <w:r>
              <w:rPr>
                <w:rFonts w:ascii="Calibri" w:hAnsi="Calibri"/>
                <w:sz w:val="20"/>
              </w:rPr>
              <w:t>SIG Amount in Pool</w:t>
            </w:r>
          </w:p>
        </w:tc>
        <w:tc>
          <w:tcPr>
            <w:tcW w:type="dxa" w:w="3024"/>
            <w:shd w:val="clear" w:color="auto" w:fill="F5F5F0"/>
          </w:tcPr>
          <w:p>
            <w:r>
              <w:rPr>
                <w:rFonts w:ascii="Calibri" w:hAnsi="Calibri"/>
                <w:sz w:val="20"/>
              </w:rPr>
              <w:t>300,000,000 SIG</w:t>
            </w:r>
          </w:p>
        </w:tc>
        <w:tc>
          <w:tcPr>
            <w:tcW w:type="dxa" w:w="3024"/>
            <w:shd w:val="clear" w:color="auto" w:fill="F5F5F0"/>
          </w:tcPr>
          <w:p>
            <w:r>
              <w:rPr>
                <w:rFonts w:ascii="Calibri" w:hAnsi="Calibri"/>
                <w:sz w:val="20"/>
              </w:rPr>
              <w:t>3% of total supply</w:t>
            </w:r>
          </w:p>
        </w:tc>
      </w:tr>
      <w:tr>
        <w:tc>
          <w:tcPr>
            <w:tcW w:type="dxa" w:w="3024"/>
            <w:shd w:val="clear" w:color="auto" w:fill="FFFFFF"/>
          </w:tcPr>
          <w:p>
            <w:r>
              <w:rPr>
                <w:rFonts w:ascii="Calibri" w:hAnsi="Calibri"/>
                <w:sz w:val="20"/>
              </w:rPr>
              <w:t>ETH Amount in Pool</w:t>
            </w:r>
          </w:p>
        </w:tc>
        <w:tc>
          <w:tcPr>
            <w:tcW w:type="dxa" w:w="3024"/>
            <w:shd w:val="clear" w:color="auto" w:fill="FFFFFF"/>
          </w:tcPr>
          <w:p>
            <w:r>
              <w:rPr>
                <w:rFonts w:ascii="Calibri" w:hAnsi="Calibri"/>
                <w:sz w:val="20"/>
              </w:rPr>
              <w:t>$800 USD worth of ETH</w:t>
            </w:r>
          </w:p>
        </w:tc>
        <w:tc>
          <w:tcPr>
            <w:tcW w:type="dxa" w:w="3024"/>
            <w:shd w:val="clear" w:color="auto" w:fill="FFFFFF"/>
          </w:tcPr>
          <w:p>
            <w:r>
              <w:rPr>
                <w:rFonts w:ascii="Calibri" w:hAnsi="Calibri"/>
                <w:sz w:val="20"/>
              </w:rPr>
              <w:t>Initial price anchor</w:t>
            </w:r>
          </w:p>
        </w:tc>
      </w:tr>
      <w:tr>
        <w:tc>
          <w:tcPr>
            <w:tcW w:type="dxa" w:w="3024"/>
            <w:shd w:val="clear" w:color="auto" w:fill="F5F5F0"/>
          </w:tcPr>
          <w:p>
            <w:r>
              <w:rPr>
                <w:rFonts w:ascii="Calibri" w:hAnsi="Calibri"/>
                <w:sz w:val="20"/>
              </w:rPr>
              <w:t>Initial SIG Price</w:t>
            </w:r>
          </w:p>
        </w:tc>
        <w:tc>
          <w:tcPr>
            <w:tcW w:type="dxa" w:w="3024"/>
            <w:shd w:val="clear" w:color="auto" w:fill="F5F5F0"/>
          </w:tcPr>
          <w:p>
            <w:r>
              <w:rPr>
                <w:rFonts w:ascii="Calibri" w:hAnsi="Calibri"/>
                <w:sz w:val="20"/>
              </w:rPr>
              <w:t>~$0.0000027 per SIG</w:t>
            </w:r>
          </w:p>
        </w:tc>
        <w:tc>
          <w:tcPr>
            <w:tcW w:type="dxa" w:w="3024"/>
            <w:shd w:val="clear" w:color="auto" w:fill="F5F5F0"/>
          </w:tcPr>
          <w:p>
            <w:r>
              <w:rPr>
                <w:rFonts w:ascii="Calibri" w:hAnsi="Calibri"/>
                <w:sz w:val="20"/>
              </w:rPr>
              <w:t>Price at launch</w:t>
            </w:r>
          </w:p>
        </w:tc>
      </w:tr>
      <w:tr>
        <w:tc>
          <w:tcPr>
            <w:tcW w:type="dxa" w:w="3024"/>
            <w:shd w:val="clear" w:color="auto" w:fill="FFFFFF"/>
          </w:tcPr>
          <w:p>
            <w:r>
              <w:rPr>
                <w:rFonts w:ascii="Calibri" w:hAnsi="Calibri"/>
                <w:sz w:val="20"/>
              </w:rPr>
              <w:t>Initial Market Cap</w:t>
            </w:r>
          </w:p>
        </w:tc>
        <w:tc>
          <w:tcPr>
            <w:tcW w:type="dxa" w:w="3024"/>
            <w:shd w:val="clear" w:color="auto" w:fill="FFFFFF"/>
          </w:tcPr>
          <w:p>
            <w:r>
              <w:rPr>
                <w:rFonts w:ascii="Calibri" w:hAnsi="Calibri"/>
                <w:sz w:val="20"/>
              </w:rPr>
              <w:t>~$27,000 USD</w:t>
            </w:r>
          </w:p>
        </w:tc>
        <w:tc>
          <w:tcPr>
            <w:tcW w:type="dxa" w:w="3024"/>
            <w:shd w:val="clear" w:color="auto" w:fill="FFFFFF"/>
          </w:tcPr>
          <w:p>
            <w:r>
              <w:rPr>
                <w:rFonts w:ascii="Calibri" w:hAnsi="Calibri"/>
                <w:sz w:val="20"/>
              </w:rPr>
              <w:t>Fully diluted at launch</w:t>
            </w:r>
          </w:p>
        </w:tc>
      </w:tr>
      <w:tr>
        <w:tc>
          <w:tcPr>
            <w:tcW w:type="dxa" w:w="3024"/>
            <w:shd w:val="clear" w:color="auto" w:fill="F5F5F0"/>
          </w:tcPr>
          <w:p>
            <w:r>
              <w:rPr>
                <w:rFonts w:ascii="Calibri" w:hAnsi="Calibri"/>
                <w:sz w:val="20"/>
              </w:rPr>
              <w:t>Liquidity Lock Period</w:t>
            </w:r>
          </w:p>
        </w:tc>
        <w:tc>
          <w:tcPr>
            <w:tcW w:type="dxa" w:w="3024"/>
            <w:shd w:val="clear" w:color="auto" w:fill="F5F5F0"/>
          </w:tcPr>
          <w:p>
            <w:r>
              <w:rPr>
                <w:rFonts w:ascii="Calibri" w:hAnsi="Calibri"/>
                <w:sz w:val="20"/>
              </w:rPr>
              <w:t>12 months minimum</w:t>
            </w:r>
          </w:p>
        </w:tc>
        <w:tc>
          <w:tcPr>
            <w:tcW w:type="dxa" w:w="3024"/>
            <w:shd w:val="clear" w:color="auto" w:fill="F5F5F0"/>
          </w:tcPr>
          <w:p>
            <w:r>
              <w:rPr>
                <w:rFonts w:ascii="Calibri" w:hAnsi="Calibri"/>
                <w:sz w:val="20"/>
              </w:rPr>
              <w:t>Via Team Finance or Unicrypt</w:t>
            </w:r>
          </w:p>
        </w:tc>
      </w:tr>
      <w:tr>
        <w:tc>
          <w:tcPr>
            <w:tcW w:type="dxa" w:w="3024"/>
            <w:shd w:val="clear" w:color="auto" w:fill="FFFFFF"/>
          </w:tcPr>
          <w:p>
            <w:r>
              <w:rPr>
                <w:rFonts w:ascii="Calibri" w:hAnsi="Calibri"/>
                <w:sz w:val="20"/>
              </w:rPr>
              <w:t>DEX Platform</w:t>
            </w:r>
          </w:p>
        </w:tc>
        <w:tc>
          <w:tcPr>
            <w:tcW w:type="dxa" w:w="3024"/>
            <w:shd w:val="clear" w:color="auto" w:fill="FFFFFF"/>
          </w:tcPr>
          <w:p>
            <w:r>
              <w:rPr>
                <w:rFonts w:ascii="Calibri" w:hAnsi="Calibri"/>
                <w:sz w:val="20"/>
              </w:rPr>
              <w:t>Uniswap V2</w:t>
            </w:r>
          </w:p>
        </w:tc>
        <w:tc>
          <w:tcPr>
            <w:tcW w:type="dxa" w:w="3024"/>
            <w:shd w:val="clear" w:color="auto" w:fill="FFFFFF"/>
          </w:tcPr>
          <w:p>
            <w:r>
              <w:rPr>
                <w:rFonts w:ascii="Calibri" w:hAnsi="Calibri"/>
                <w:sz w:val="20"/>
              </w:rPr>
              <w:t>Ethereum Mainnet</w:t>
            </w:r>
          </w:p>
        </w:tc>
      </w:tr>
    </w:tbl>
    <w:p/>
    <w:p>
      <w:pPr>
        <w:spacing w:before="160" w:after="120"/>
      </w:pPr>
      <w:r>
        <w:rPr>
          <w:rFonts w:ascii="Calibri" w:hAnsi="Calibri"/>
          <w:b/>
          <w:color w:val="1A1A2E"/>
          <w:sz w:val="40"/>
        </w:rPr>
        <w:t>6.2  Step-by-Step Launch Process</w:t>
      </w:r>
    </w:p>
    <w:p>
      <w:pPr>
        <w:spacing w:after="80"/>
        <w:ind w:left="288"/>
      </w:pPr>
      <w:r>
        <w:rPr>
          <w:rFonts w:ascii="Calibri" w:hAnsi="Calibri"/>
          <w:b/>
          <w:color w:val="C9A02C"/>
          <w:sz w:val="20"/>
        </w:rPr>
        <w:t xml:space="preserve">Step 1: Preparation — </w:t>
      </w:r>
      <w:r>
        <w:rPr>
          <w:rFonts w:ascii="Calibri" w:hAnsi="Calibri"/>
          <w:sz w:val="20"/>
        </w:rPr>
        <w:t>Ensure wallet holds 300M SIG + $800 ETH + ~$50 for gas fees on Ethereum Mainnet</w:t>
      </w:r>
    </w:p>
    <w:p>
      <w:pPr>
        <w:spacing w:after="80"/>
        <w:ind w:left="288"/>
      </w:pPr>
      <w:r>
        <w:rPr>
          <w:rFonts w:ascii="Calibri" w:hAnsi="Calibri"/>
          <w:b/>
          <w:color w:val="C9A02C"/>
          <w:sz w:val="20"/>
        </w:rPr>
        <w:t xml:space="preserve">Step 2: Access Uniswap — </w:t>
      </w:r>
      <w:r>
        <w:rPr>
          <w:rFonts w:ascii="Calibri" w:hAnsi="Calibri"/>
          <w:sz w:val="20"/>
        </w:rPr>
        <w:t>Navigate to app.uniswap.org and connect MetaMask / Ledger wallet</w:t>
      </w:r>
    </w:p>
    <w:p>
      <w:pPr>
        <w:spacing w:after="80"/>
        <w:ind w:left="288"/>
      </w:pPr>
      <w:r>
        <w:rPr>
          <w:rFonts w:ascii="Calibri" w:hAnsi="Calibri"/>
          <w:b/>
          <w:color w:val="C9A02C"/>
          <w:sz w:val="20"/>
        </w:rPr>
        <w:t xml:space="preserve">Step 3: Select Pool Version — </w:t>
      </w:r>
      <w:r>
        <w:rPr>
          <w:rFonts w:ascii="Calibri" w:hAnsi="Calibri"/>
          <w:sz w:val="20"/>
        </w:rPr>
        <w:t>Choose Pool &gt; Add Liquidity &gt; Select V2 for simplicity and lower gas</w:t>
      </w:r>
    </w:p>
    <w:p>
      <w:pPr>
        <w:spacing w:after="80"/>
        <w:ind w:left="288"/>
      </w:pPr>
      <w:r>
        <w:rPr>
          <w:rFonts w:ascii="Calibri" w:hAnsi="Calibri"/>
          <w:b/>
          <w:color w:val="C9A02C"/>
          <w:sz w:val="20"/>
        </w:rPr>
        <w:t xml:space="preserve">Step 4: Add Token Pair — </w:t>
      </w:r>
      <w:r>
        <w:rPr>
          <w:rFonts w:ascii="Calibri" w:hAnsi="Calibri"/>
          <w:sz w:val="20"/>
        </w:rPr>
        <w:t>Token A = ETH, Token B = SIG contract (0xc2ac880e474c3576cc3afb7c560e402ce24d5b37)</w:t>
      </w:r>
    </w:p>
    <w:p>
      <w:pPr>
        <w:spacing w:after="80"/>
        <w:ind w:left="288"/>
      </w:pPr>
      <w:r>
        <w:rPr>
          <w:rFonts w:ascii="Calibri" w:hAnsi="Calibri"/>
          <w:b/>
          <w:color w:val="C9A02C"/>
          <w:sz w:val="20"/>
        </w:rPr>
        <w:t xml:space="preserve">Step 5: Set Amounts — </w:t>
      </w:r>
      <w:r>
        <w:rPr>
          <w:rFonts w:ascii="Calibri" w:hAnsi="Calibri"/>
          <w:sz w:val="20"/>
        </w:rPr>
        <w:t>Enter 300,000,000 SIG — Uniswap auto-calculates required ETH amount</w:t>
      </w:r>
    </w:p>
    <w:p>
      <w:pPr>
        <w:spacing w:after="80"/>
        <w:ind w:left="288"/>
      </w:pPr>
      <w:r>
        <w:rPr>
          <w:rFonts w:ascii="Calibri" w:hAnsi="Calibri"/>
          <w:b/>
          <w:color w:val="C9A02C"/>
          <w:sz w:val="20"/>
        </w:rPr>
        <w:t xml:space="preserve">Step 6: Approve SIG — </w:t>
      </w:r>
      <w:r>
        <w:rPr>
          <w:rFonts w:ascii="Calibri" w:hAnsi="Calibri"/>
          <w:sz w:val="20"/>
        </w:rPr>
        <w:t>Click "Approve SIG" and sign transaction (~$10–20 gas fee)</w:t>
      </w:r>
    </w:p>
    <w:p>
      <w:pPr>
        <w:spacing w:after="80"/>
        <w:ind w:left="288"/>
      </w:pPr>
      <w:r>
        <w:rPr>
          <w:rFonts w:ascii="Calibri" w:hAnsi="Calibri"/>
          <w:b/>
          <w:color w:val="C9A02C"/>
          <w:sz w:val="20"/>
        </w:rPr>
        <w:t xml:space="preserve">Step 7: Add Liquidity — </w:t>
      </w:r>
      <w:r>
        <w:rPr>
          <w:rFonts w:ascii="Calibri" w:hAnsi="Calibri"/>
          <w:sz w:val="20"/>
        </w:rPr>
        <w:t>Click "Add Liquidity" and sign transaction — receive LP tokens as proof of ownership</w:t>
      </w:r>
    </w:p>
    <w:p>
      <w:pPr>
        <w:spacing w:after="80"/>
        <w:ind w:left="288"/>
      </w:pPr>
      <w:r>
        <w:rPr>
          <w:rFonts w:ascii="Calibri" w:hAnsi="Calibri"/>
          <w:b/>
          <w:color w:val="C9A02C"/>
          <w:sz w:val="20"/>
        </w:rPr>
        <w:t xml:space="preserve">Step 8: Lock LP Tokens — </w:t>
      </w:r>
      <w:r>
        <w:rPr>
          <w:rFonts w:ascii="Calibri" w:hAnsi="Calibri"/>
          <w:sz w:val="20"/>
        </w:rPr>
        <w:t>Immediately lock LP tokens on Team Finance or Unicrypt for 12+ months</w:t>
      </w:r>
    </w:p>
    <w:p>
      <w:pPr>
        <w:spacing w:after="80"/>
        <w:ind w:left="288"/>
      </w:pPr>
      <w:r>
        <w:rPr>
          <w:rFonts w:ascii="Calibri" w:hAnsi="Calibri"/>
          <w:b/>
          <w:color w:val="C9A02C"/>
          <w:sz w:val="20"/>
        </w:rPr>
        <w:t xml:space="preserve">Step 9: Verify Listing — </w:t>
      </w:r>
      <w:r>
        <w:rPr>
          <w:rFonts w:ascii="Calibri" w:hAnsi="Calibri"/>
          <w:sz w:val="20"/>
        </w:rPr>
        <w:t>SIG appears on DexScreener and DexTools automatically after first trade</w:t>
      </w:r>
    </w:p>
    <w:p>
      <w:pPr>
        <w:spacing w:after="80"/>
        <w:ind w:left="288"/>
      </w:pPr>
      <w:r>
        <w:rPr>
          <w:rFonts w:ascii="Calibri" w:hAnsi="Calibri"/>
          <w:b/>
          <w:color w:val="C9A02C"/>
          <w:sz w:val="20"/>
        </w:rPr>
        <w:t xml:space="preserve">Step 10: Submit to CoinGecko — </w:t>
      </w:r>
      <w:r>
        <w:rPr>
          <w:rFonts w:ascii="Calibri" w:hAnsi="Calibri"/>
          <w:sz w:val="20"/>
        </w:rPr>
        <w:t>Apply for CoinGecko listing -- typically 2-4 weeks for approval</w:t>
      </w:r>
    </w:p>
    <w:p/>
    <w:p>
      <w:pPr>
        <w:spacing w:before="160" w:after="120"/>
      </w:pPr>
      <w:r>
        <w:rPr>
          <w:rFonts w:ascii="Calibri" w:hAnsi="Calibri"/>
          <w:b/>
          <w:color w:val="1A1A2E"/>
          <w:sz w:val="40"/>
        </w:rPr>
        <w:t>6.3  Post-Launch Exchange Strategy</w:t>
      </w:r>
    </w:p>
    <w:p>
      <w:pPr>
        <w:pStyle w:val="ListBullet"/>
        <w:spacing w:after="60"/>
        <w:ind w:left="432"/>
      </w:pPr>
      <w:r>
        <w:rPr>
          <w:rFonts w:ascii="Calibri" w:hAnsi="Calibri"/>
          <w:b/>
          <w:sz w:val="22"/>
        </w:rPr>
        <w:t xml:space="preserve">— Auto-listed after first trade, no application needed </w:t>
      </w:r>
      <w:r>
        <w:rPr>
          <w:rFonts w:ascii="Calibri" w:hAnsi="Calibri"/>
          <w:sz w:val="22"/>
        </w:rPr>
        <w:t>DexScreener / DexTools</w:t>
      </w:r>
    </w:p>
    <w:p>
      <w:pPr>
        <w:pStyle w:val="ListBullet"/>
        <w:spacing w:after="60"/>
        <w:ind w:left="432"/>
      </w:pPr>
      <w:r>
        <w:rPr>
          <w:rFonts w:ascii="Calibri" w:hAnsi="Calibri"/>
          <w:b/>
          <w:sz w:val="22"/>
        </w:rPr>
        <w:t xml:space="preserve">— Submit application at coingecko.com/en/coins/add (2–4 weeks) </w:t>
      </w:r>
      <w:r>
        <w:rPr>
          <w:rFonts w:ascii="Calibri" w:hAnsi="Calibri"/>
          <w:sz w:val="22"/>
        </w:rPr>
        <w:t>CoinGecko</w:t>
      </w:r>
    </w:p>
    <w:p>
      <w:pPr>
        <w:pStyle w:val="ListBullet"/>
        <w:spacing w:after="60"/>
        <w:ind w:left="432"/>
      </w:pPr>
      <w:r>
        <w:rPr>
          <w:rFonts w:ascii="Calibri" w:hAnsi="Calibri"/>
          <w:b/>
          <w:sz w:val="22"/>
        </w:rPr>
        <w:t xml:space="preserve">— Submit application at coinmarketcap.com/request (4–8 weeks) </w:t>
      </w:r>
      <w:r>
        <w:rPr>
          <w:rFonts w:ascii="Calibri" w:hAnsi="Calibri"/>
          <w:sz w:val="22"/>
        </w:rPr>
        <w:t>CoinMarketCap</w:t>
      </w:r>
    </w:p>
    <w:p>
      <w:pPr>
        <w:pStyle w:val="ListBullet"/>
        <w:spacing w:after="60"/>
        <w:ind w:left="432"/>
      </w:pPr>
      <w:r>
        <w:rPr>
          <w:rFonts w:ascii="Calibri" w:hAnsi="Calibri"/>
          <w:b/>
          <w:sz w:val="22"/>
        </w:rPr>
        <w:t xml:space="preserve">— Target mid-tier centralized exchanges after 90 days of DEX trading volume </w:t>
      </w:r>
      <w:r>
        <w:rPr>
          <w:rFonts w:ascii="Calibri" w:hAnsi="Calibri"/>
          <w:sz w:val="22"/>
        </w:rPr>
        <w:t>CEX Listing</w:t>
      </w:r>
    </w:p>
    <w:p>
      <w:r>
        <w:br w:type="page"/>
      </w:r>
    </w:p>
    <w:p>
      <w:pPr>
        <w:spacing w:before="280" w:after="120"/>
      </w:pPr>
      <w:r>
        <w:rPr>
          <w:rFonts w:ascii="Calibri" w:hAnsi="Calibri"/>
          <w:b/>
          <w:color w:val="1A1A2E"/>
          <w:sz w:val="56"/>
        </w:rPr>
        <w:t>7. Marketing Strategy</w:t>
      </w:r>
    </w:p>
    <w:p>
      <w:pPr>
        <w:spacing w:before="40" w:after="40"/>
        <w:pBdr>
          <w:bottom w:val="single" w:sz="8" w:space="1" w:color="C9A02C"/>
        </w:pBdr>
      </w:pPr>
    </w:p>
    <w:p>
      <w:pPr>
        <w:spacing w:after="100"/>
      </w:pPr>
      <w:r>
        <w:rPr>
          <w:rFonts w:ascii="Calibri" w:hAnsi="Calibri"/>
          <w:b w:val="0"/>
          <w:i w:val="0"/>
          <w:color w:val="1A1A2E"/>
          <w:sz w:val="22"/>
        </w:rPr>
        <w:t>The marketing strategy focuses on organic growth through community building, social media presence, and leveraging Al Shumookh Group's existing business reputation. All campaigns will emphasize the real-world utility and business backing of SIG.</w:t>
      </w:r>
    </w:p>
    <w:p/>
    <w:p>
      <w:pPr>
        <w:spacing w:before="160" w:after="120"/>
      </w:pPr>
      <w:r>
        <w:rPr>
          <w:rFonts w:ascii="Calibri" w:hAnsi="Calibri"/>
          <w:b/>
          <w:color w:val="1A1A2E"/>
          <w:sz w:val="40"/>
        </w:rPr>
        <w:t>7.1  Social Media Channels (Launch Immediately — Free)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1A2E"/>
          </w:tcPr>
          <w:p>
            <w:r>
              <w:rPr>
                <w:rFonts w:ascii="Calibri" w:hAnsi="Calibri"/>
                <w:b/>
                <w:color w:val="C9A02C"/>
                <w:sz w:val="20"/>
              </w:rPr>
              <w:t>Platform</w:t>
            </w:r>
          </w:p>
        </w:tc>
        <w:tc>
          <w:tcPr>
            <w:tcW w:type="dxa" w:w="3024"/>
            <w:shd w:val="clear" w:color="auto" w:fill="1A1A2E"/>
          </w:tcPr>
          <w:p>
            <w:r>
              <w:rPr>
                <w:rFonts w:ascii="Calibri" w:hAnsi="Calibri"/>
                <w:b/>
                <w:color w:val="C9A02C"/>
                <w:sz w:val="20"/>
              </w:rPr>
              <w:t>Handle / Name</w:t>
            </w:r>
          </w:p>
        </w:tc>
        <w:tc>
          <w:tcPr>
            <w:tcW w:type="dxa" w:w="3024"/>
            <w:shd w:val="clear" w:color="auto" w:fill="1A1A2E"/>
          </w:tcPr>
          <w:p>
            <w:r>
              <w:rPr>
                <w:rFonts w:ascii="Calibri" w:hAnsi="Calibri"/>
                <w:b/>
                <w:color w:val="C9A02C"/>
                <w:sz w:val="20"/>
              </w:rPr>
              <w:t>Content Focus</w:t>
            </w:r>
          </w:p>
        </w:tc>
      </w:tr>
      <w:tr>
        <w:tc>
          <w:tcPr>
            <w:tcW w:type="dxa" w:w="3024"/>
            <w:shd w:val="clear" w:color="auto" w:fill="F5F5F0"/>
          </w:tcPr>
          <w:p>
            <w:r>
              <w:rPr>
                <w:rFonts w:ascii="Calibri" w:hAnsi="Calibri"/>
                <w:sz w:val="20"/>
              </w:rPr>
              <w:t>Twitter / X</w:t>
            </w:r>
          </w:p>
        </w:tc>
        <w:tc>
          <w:tcPr>
            <w:tcW w:type="dxa" w:w="3024"/>
            <w:shd w:val="clear" w:color="auto" w:fill="F5F5F0"/>
          </w:tcPr>
          <w:p>
            <w:r>
              <w:rPr>
                <w:rFonts w:ascii="Calibri" w:hAnsi="Calibri"/>
                <w:sz w:val="20"/>
              </w:rPr>
              <w:t>@SIG_Token</w:t>
            </w:r>
          </w:p>
        </w:tc>
        <w:tc>
          <w:tcPr>
            <w:tcW w:type="dxa" w:w="3024"/>
            <w:shd w:val="clear" w:color="auto" w:fill="F5F5F0"/>
          </w:tcPr>
          <w:p>
            <w:r>
              <w:rPr>
                <w:rFonts w:ascii="Calibri" w:hAnsi="Calibri"/>
                <w:sz w:val="20"/>
              </w:rPr>
              <w:t>Daily posts: project updates, market data, partnerships</w:t>
            </w:r>
          </w:p>
        </w:tc>
      </w:tr>
      <w:tr>
        <w:tc>
          <w:tcPr>
            <w:tcW w:type="dxa" w:w="3024"/>
            <w:shd w:val="clear" w:color="auto" w:fill="FFFFFF"/>
          </w:tcPr>
          <w:p>
            <w:r>
              <w:rPr>
                <w:rFonts w:ascii="Calibri" w:hAnsi="Calibri"/>
                <w:sz w:val="20"/>
              </w:rPr>
              <w:t>Telegram</w:t>
            </w:r>
          </w:p>
        </w:tc>
        <w:tc>
          <w:tcPr>
            <w:tcW w:type="dxa" w:w="3024"/>
            <w:shd w:val="clear" w:color="auto" w:fill="FFFFFF"/>
          </w:tcPr>
          <w:p>
            <w:r>
              <w:rPr>
                <w:rFonts w:ascii="Calibri" w:hAnsi="Calibri"/>
                <w:sz w:val="20"/>
              </w:rPr>
              <w:t>SIG Token Community</w:t>
            </w:r>
          </w:p>
        </w:tc>
        <w:tc>
          <w:tcPr>
            <w:tcW w:type="dxa" w:w="3024"/>
            <w:shd w:val="clear" w:color="auto" w:fill="FFFFFF"/>
          </w:tcPr>
          <w:p>
            <w:r>
              <w:rPr>
                <w:rFonts w:ascii="Calibri" w:hAnsi="Calibri"/>
                <w:sz w:val="20"/>
              </w:rPr>
              <w:t>Community chat, announcements, AMA sessions</w:t>
            </w:r>
          </w:p>
        </w:tc>
      </w:tr>
      <w:tr>
        <w:tc>
          <w:tcPr>
            <w:tcW w:type="dxa" w:w="3024"/>
            <w:shd w:val="clear" w:color="auto" w:fill="F5F5F0"/>
          </w:tcPr>
          <w:p>
            <w:r>
              <w:rPr>
                <w:rFonts w:ascii="Calibri" w:hAnsi="Calibri"/>
                <w:sz w:val="20"/>
              </w:rPr>
              <w:t>Instagram</w:t>
            </w:r>
          </w:p>
        </w:tc>
        <w:tc>
          <w:tcPr>
            <w:tcW w:type="dxa" w:w="3024"/>
            <w:shd w:val="clear" w:color="auto" w:fill="F5F5F0"/>
          </w:tcPr>
          <w:p>
            <w:r>
              <w:rPr>
                <w:rFonts w:ascii="Calibri" w:hAnsi="Calibri"/>
                <w:sz w:val="20"/>
              </w:rPr>
              <w:t>@SIG_Token_Official</w:t>
            </w:r>
          </w:p>
        </w:tc>
        <w:tc>
          <w:tcPr>
            <w:tcW w:type="dxa" w:w="3024"/>
            <w:shd w:val="clear" w:color="auto" w:fill="F5F5F0"/>
          </w:tcPr>
          <w:p>
            <w:r>
              <w:rPr>
                <w:rFonts w:ascii="Calibri" w:hAnsi="Calibri"/>
                <w:sz w:val="20"/>
              </w:rPr>
              <w:t>Visual content, team photos, company milestones</w:t>
            </w:r>
          </w:p>
        </w:tc>
      </w:tr>
      <w:tr>
        <w:tc>
          <w:tcPr>
            <w:tcW w:type="dxa" w:w="3024"/>
            <w:shd w:val="clear" w:color="auto" w:fill="FFFFFF"/>
          </w:tcPr>
          <w:p>
            <w:r>
              <w:rPr>
                <w:rFonts w:ascii="Calibri" w:hAnsi="Calibri"/>
                <w:sz w:val="20"/>
              </w:rPr>
              <w:t>LinkedIn</w:t>
            </w:r>
          </w:p>
        </w:tc>
        <w:tc>
          <w:tcPr>
            <w:tcW w:type="dxa" w:w="3024"/>
            <w:shd w:val="clear" w:color="auto" w:fill="FFFFFF"/>
          </w:tcPr>
          <w:p>
            <w:r>
              <w:rPr>
                <w:rFonts w:ascii="Calibri" w:hAnsi="Calibri"/>
                <w:sz w:val="20"/>
              </w:rPr>
              <w:t>Al Shumookh SIG Token</w:t>
            </w:r>
          </w:p>
        </w:tc>
        <w:tc>
          <w:tcPr>
            <w:tcW w:type="dxa" w:w="3024"/>
            <w:shd w:val="clear" w:color="auto" w:fill="FFFFFF"/>
          </w:tcPr>
          <w:p>
            <w:r>
              <w:rPr>
                <w:rFonts w:ascii="Calibri" w:hAnsi="Calibri"/>
                <w:sz w:val="20"/>
              </w:rPr>
              <w:t>Professional announcements, B2B partnerships</w:t>
            </w:r>
          </w:p>
        </w:tc>
      </w:tr>
      <w:tr>
        <w:tc>
          <w:tcPr>
            <w:tcW w:type="dxa" w:w="3024"/>
            <w:shd w:val="clear" w:color="auto" w:fill="F5F5F0"/>
          </w:tcPr>
          <w:p>
            <w:r>
              <w:rPr>
                <w:rFonts w:ascii="Calibri" w:hAnsi="Calibri"/>
                <w:sz w:val="20"/>
              </w:rPr>
              <w:t>YouTube</w:t>
            </w:r>
          </w:p>
        </w:tc>
        <w:tc>
          <w:tcPr>
            <w:tcW w:type="dxa" w:w="3024"/>
            <w:shd w:val="clear" w:color="auto" w:fill="F5F5F0"/>
          </w:tcPr>
          <w:p>
            <w:r>
              <w:rPr>
                <w:rFonts w:ascii="Calibri" w:hAnsi="Calibri"/>
                <w:sz w:val="20"/>
              </w:rPr>
              <w:t>SIG Token Channel</w:t>
            </w:r>
          </w:p>
        </w:tc>
        <w:tc>
          <w:tcPr>
            <w:tcW w:type="dxa" w:w="3024"/>
            <w:shd w:val="clear" w:color="auto" w:fill="F5F5F0"/>
          </w:tcPr>
          <w:p>
            <w:r>
              <w:rPr>
                <w:rFonts w:ascii="Calibri" w:hAnsi="Calibri"/>
                <w:sz w:val="20"/>
              </w:rPr>
              <w:t>Explainer videos, Profit Distributor tutorials</w:t>
            </w:r>
          </w:p>
        </w:tc>
      </w:tr>
    </w:tbl>
    <w:p/>
    <w:p>
      <w:pPr>
        <w:spacing w:before="160" w:after="120"/>
      </w:pPr>
      <w:r>
        <w:rPr>
          <w:rFonts w:ascii="Calibri" w:hAnsi="Calibri"/>
          <w:b/>
          <w:color w:val="1A1A2E"/>
          <w:sz w:val="40"/>
        </w:rPr>
        <w:t>7.2  Community Building (Free Platforms)</w:t>
      </w:r>
    </w:p>
    <w:p>
      <w:pPr>
        <w:pStyle w:val="ListBullet"/>
        <w:spacing w:after="60"/>
        <w:ind w:left="432"/>
      </w:pPr>
      <w:r>
        <w:rPr>
          <w:rFonts w:ascii="Calibri" w:hAnsi="Calibri"/>
          <w:b/>
          <w:sz w:val="22"/>
        </w:rPr>
        <w:t xml:space="preserve">Post project announcement with whitepaper link on launch day </w:t>
      </w:r>
      <w:r>
        <w:rPr>
          <w:rFonts w:ascii="Calibri" w:hAnsi="Calibri"/>
          <w:sz w:val="22"/>
        </w:rPr>
        <w:t>Reddit — r/CryptoMoonShots:</w:t>
      </w:r>
    </w:p>
    <w:p>
      <w:pPr>
        <w:pStyle w:val="ListBullet"/>
        <w:spacing w:after="60"/>
        <w:ind w:left="432"/>
      </w:pPr>
      <w:r>
        <w:rPr>
          <w:rFonts w:ascii="Calibri" w:hAnsi="Calibri"/>
          <w:b/>
          <w:sz w:val="22"/>
        </w:rPr>
        <w:t xml:space="preserve">Create official Announcement thread for maximum crypto community exposure </w:t>
      </w:r>
      <w:r>
        <w:rPr>
          <w:rFonts w:ascii="Calibri" w:hAnsi="Calibri"/>
          <w:sz w:val="22"/>
        </w:rPr>
        <w:t>Bitcointalk — ANN Thread:</w:t>
      </w:r>
    </w:p>
    <w:p>
      <w:pPr>
        <w:pStyle w:val="ListBullet"/>
        <w:spacing w:after="60"/>
        <w:ind w:left="432"/>
      </w:pPr>
      <w:r>
        <w:rPr>
          <w:rFonts w:ascii="Calibri" w:hAnsi="Calibri"/>
          <w:b/>
          <w:sz w:val="22"/>
        </w:rPr>
        <w:t xml:space="preserve">Reach out to micro-influencers (1K–50K followers) for organic mentions </w:t>
      </w:r>
      <w:r>
        <w:rPr>
          <w:rFonts w:ascii="Calibri" w:hAnsi="Calibri"/>
          <w:sz w:val="22"/>
        </w:rPr>
        <w:t>CryptoTwitter KOLs:</w:t>
      </w:r>
    </w:p>
    <w:p>
      <w:pPr>
        <w:pStyle w:val="ListBullet"/>
        <w:spacing w:after="60"/>
        <w:ind w:left="432"/>
      </w:pPr>
      <w:r>
        <w:rPr>
          <w:rFonts w:ascii="Calibri" w:hAnsi="Calibri"/>
          <w:b/>
          <w:sz w:val="22"/>
        </w:rPr>
        <w:t xml:space="preserve">Leverage Al Shumookh Group's existing network and reputation in Dubai </w:t>
      </w:r>
      <w:r>
        <w:rPr>
          <w:rFonts w:ascii="Calibri" w:hAnsi="Calibri"/>
          <w:sz w:val="22"/>
        </w:rPr>
        <w:t>UAE Business Community:</w:t>
      </w:r>
    </w:p>
    <w:p>
      <w:pPr>
        <w:pStyle w:val="ListBullet"/>
        <w:spacing w:after="60"/>
        <w:ind w:left="432"/>
      </w:pPr>
      <w:r>
        <w:rPr>
          <w:rFonts w:ascii="Calibri" w:hAnsi="Calibri"/>
          <w:b/>
          <w:sz w:val="22"/>
        </w:rPr>
        <w:t xml:space="preserve">Share in DeFi and Ethereum token discovery groups </w:t>
      </w:r>
      <w:r>
        <w:rPr>
          <w:rFonts w:ascii="Calibri" w:hAnsi="Calibri"/>
          <w:sz w:val="22"/>
        </w:rPr>
        <w:t>Telegram Groups:</w:t>
      </w:r>
    </w:p>
    <w:p/>
    <w:p>
      <w:pPr>
        <w:spacing w:before="160" w:after="120"/>
      </w:pPr>
      <w:r>
        <w:rPr>
          <w:rFonts w:ascii="Calibri" w:hAnsi="Calibri"/>
          <w:b/>
          <w:color w:val="1A1A2E"/>
          <w:sz w:val="40"/>
        </w:rPr>
        <w:t>7.3  Content Strategy</w:t>
      </w:r>
    </w:p>
    <w:p>
      <w:pPr>
        <w:spacing w:after="100"/>
      </w:pPr>
      <w:r>
        <w:rPr>
          <w:rFonts w:ascii="Calibri" w:hAnsi="Calibri"/>
          <w:b/>
          <w:i w:val="0"/>
          <w:color w:val="1A1A2E"/>
          <w:sz w:val="22"/>
        </w:rPr>
        <w:t>Week 1–2 (Pre-Launch): Build awareness</w:t>
      </w:r>
    </w:p>
    <w:p>
      <w:pPr>
        <w:pStyle w:val="ListBullet"/>
        <w:spacing w:after="60"/>
        <w:ind w:left="432"/>
      </w:pPr>
      <w:r>
        <w:rPr>
          <w:rFonts w:ascii="Calibri" w:hAnsi="Calibri"/>
          <w:sz w:val="22"/>
        </w:rPr>
        <w:t>Post daily on Twitter explaining what Al Shumookh Group does</w:t>
      </w:r>
    </w:p>
    <w:p>
      <w:pPr>
        <w:pStyle w:val="ListBullet"/>
        <w:spacing w:after="60"/>
        <w:ind w:left="432"/>
      </w:pPr>
      <w:r>
        <w:rPr>
          <w:rFonts w:ascii="Calibri" w:hAnsi="Calibri"/>
          <w:sz w:val="22"/>
        </w:rPr>
        <w:t>Share the company's 14-year track record, awards, and Dubai presence</w:t>
      </w:r>
    </w:p>
    <w:p>
      <w:pPr>
        <w:pStyle w:val="ListBullet"/>
        <w:spacing w:after="60"/>
        <w:ind w:left="432"/>
      </w:pPr>
      <w:r>
        <w:rPr>
          <w:rFonts w:ascii="Calibri" w:hAnsi="Calibri"/>
          <w:sz w:val="22"/>
        </w:rPr>
        <w:t>Announce the SIG token launch date — build anticipation</w:t>
      </w:r>
    </w:p>
    <w:p/>
    <w:p>
      <w:pPr>
        <w:spacing w:after="100"/>
      </w:pPr>
      <w:r>
        <w:rPr>
          <w:rFonts w:ascii="Calibri" w:hAnsi="Calibri"/>
          <w:b/>
          <w:i w:val="0"/>
          <w:color w:val="1A1A2E"/>
          <w:sz w:val="22"/>
        </w:rPr>
        <w:t>Week 3–4 (Launch Week): Maximum visibility</w:t>
      </w:r>
    </w:p>
    <w:p>
      <w:pPr>
        <w:pStyle w:val="ListBullet"/>
        <w:spacing w:after="60"/>
        <w:ind w:left="432"/>
      </w:pPr>
      <w:r>
        <w:rPr>
          <w:rFonts w:ascii="Calibri" w:hAnsi="Calibri"/>
          <w:sz w:val="22"/>
        </w:rPr>
        <w:t>Launch Uniswap pool — announce across all channels simultaneously</w:t>
      </w:r>
    </w:p>
    <w:p>
      <w:pPr>
        <w:pStyle w:val="ListBullet"/>
        <w:spacing w:after="60"/>
        <w:ind w:left="432"/>
      </w:pPr>
      <w:r>
        <w:rPr>
          <w:rFonts w:ascii="Calibri" w:hAnsi="Calibri"/>
          <w:sz w:val="22"/>
        </w:rPr>
        <w:t>Post the contract address and Uniswap link</w:t>
      </w:r>
    </w:p>
    <w:p>
      <w:pPr>
        <w:pStyle w:val="ListBullet"/>
        <w:spacing w:after="60"/>
        <w:ind w:left="432"/>
      </w:pPr>
      <w:r>
        <w:rPr>
          <w:rFonts w:ascii="Calibri" w:hAnsi="Calibri"/>
          <w:sz w:val="22"/>
        </w:rPr>
        <w:t>Submit whitepaper to crypto directories (Coinpaprika, LiveCoinWatch)</w:t>
      </w:r>
    </w:p>
    <w:p>
      <w:pPr>
        <w:pStyle w:val="ListBullet"/>
        <w:spacing w:after="60"/>
        <w:ind w:left="432"/>
      </w:pPr>
      <w:r>
        <w:rPr>
          <w:rFonts w:ascii="Calibri" w:hAnsi="Calibri"/>
          <w:sz w:val="22"/>
        </w:rPr>
        <w:t>Post on Reddit r/CryptoMoonShots and r/defi</w:t>
      </w:r>
    </w:p>
    <w:p/>
    <w:p>
      <w:pPr>
        <w:spacing w:after="100"/>
      </w:pPr>
      <w:r>
        <w:rPr>
          <w:rFonts w:ascii="Calibri" w:hAnsi="Calibri"/>
          <w:b/>
          <w:i w:val="0"/>
          <w:color w:val="1A1A2E"/>
          <w:sz w:val="22"/>
        </w:rPr>
        <w:t>Month 2+ (Growth Phase): Sustained momentum</w:t>
      </w:r>
    </w:p>
    <w:p>
      <w:pPr>
        <w:pStyle w:val="ListBullet"/>
        <w:spacing w:after="60"/>
        <w:ind w:left="432"/>
      </w:pPr>
      <w:r>
        <w:rPr>
          <w:rFonts w:ascii="Calibri" w:hAnsi="Calibri"/>
          <w:sz w:val="22"/>
        </w:rPr>
        <w:t>Weekly community AMA (Ask Me Anything) sessions on Telegram</w:t>
      </w:r>
    </w:p>
    <w:p>
      <w:pPr>
        <w:pStyle w:val="ListBullet"/>
        <w:spacing w:after="60"/>
        <w:ind w:left="432"/>
      </w:pPr>
      <w:r>
        <w:rPr>
          <w:rFonts w:ascii="Calibri" w:hAnsi="Calibri"/>
          <w:sz w:val="22"/>
        </w:rPr>
        <w:t>Monthly profit distribution announcements to demonstrate real utility</w:t>
      </w:r>
    </w:p>
    <w:p>
      <w:pPr>
        <w:pStyle w:val="ListBullet"/>
        <w:spacing w:after="60"/>
        <w:ind w:left="432"/>
      </w:pPr>
      <w:r>
        <w:rPr>
          <w:rFonts w:ascii="Calibri" w:hAnsi="Calibri"/>
          <w:sz w:val="22"/>
        </w:rPr>
        <w:t>Partnership announcements with Al Shumookh Group subsidiaries</w:t>
      </w:r>
    </w:p>
    <w:p>
      <w:pPr>
        <w:pStyle w:val="ListBullet"/>
        <w:spacing w:after="60"/>
        <w:ind w:left="432"/>
      </w:pPr>
      <w:r>
        <w:rPr>
          <w:rFonts w:ascii="Calibri" w:hAnsi="Calibri"/>
          <w:sz w:val="22"/>
        </w:rPr>
        <w:t>Apply for CoinGecko and CoinMarketCap listings</w:t>
      </w:r>
    </w:p>
    <w:p>
      <w:r>
        <w:br w:type="page"/>
      </w:r>
    </w:p>
    <w:p>
      <w:pPr>
        <w:spacing w:before="280" w:after="120"/>
      </w:pPr>
      <w:r>
        <w:rPr>
          <w:rFonts w:ascii="Calibri" w:hAnsi="Calibri"/>
          <w:b/>
          <w:color w:val="1A1A2E"/>
          <w:sz w:val="56"/>
        </w:rPr>
        <w:t>8. Project Roadmap</w:t>
      </w:r>
    </w:p>
    <w:p>
      <w:pPr>
        <w:spacing w:before="40" w:after="40"/>
        <w:pBdr>
          <w:bottom w:val="single" w:sz="8" w:space="1" w:color="C9A02C"/>
        </w:pBdr>
      </w:pPr>
    </w:p>
    <w:tbl>
      <w:tblPr>
        <w:tblStyle w:val="TableGrid"/>
        <w:tblW w:type="auto" w:w="0"/>
        <w:tblLook w:firstColumn="1" w:firstRow="1" w:lastColumn="0" w:lastRow="0" w:noHBand="0" w:noVBand="1" w:val="04A0"/>
      </w:tblPr>
      <w:tblGrid>
        <w:gridCol w:w="4536"/>
        <w:gridCol w:w="4536"/>
      </w:tblGrid>
      <w:tr>
        <w:tc>
          <w:tcPr>
            <w:tcW w:type="dxa" w:w="2160"/>
            <w:shd w:val="clear" w:color="auto" w:fill="1A1A2E"/>
            <w:vAlign w:val="center"/>
          </w:tcPr>
          <w:p>
            <w:pPr>
              <w:jc w:val="center"/>
            </w:pPr>
            <w:r>
              <w:rPr>
                <w:rFonts w:ascii="Calibri" w:hAnsi="Calibri"/>
                <w:b/>
                <w:color w:val="C9A02C"/>
                <w:sz w:val="18"/>
              </w:rPr>
              <w:t>Phase 1</w:t>
              <w:br/>
              <w:t>Q3 2026</w:t>
              <w:br/>
              <w:t>(July–Sept)</w:t>
              <w:br/>
              <w:t>Foundation</w:t>
            </w:r>
          </w:p>
        </w:tc>
        <w:tc>
          <w:tcPr>
            <w:tcW w:type="dxa" w:w="7920"/>
            <w:shd w:val="clear" w:color="auto" w:fill="F9F9F4"/>
          </w:tcPr>
          <w:p>
            <w:r>
              <w:rPr>
                <w:rFonts w:ascii="Calibri" w:hAnsi="Calibri"/>
                <w:sz w:val="18"/>
              </w:rPr>
              <w:t xml:space="preserve">  •  Publish official whitepaper</w:t>
              <w:br/>
            </w:r>
            <w:r>
              <w:rPr>
                <w:rFonts w:ascii="Calibri" w:hAnsi="Calibri"/>
                <w:sz w:val="18"/>
              </w:rPr>
              <w:t xml:space="preserve">  •  Launch Twitter, Telegram, and all social channels</w:t>
              <w:br/>
            </w:r>
            <w:r>
              <w:rPr>
                <w:rFonts w:ascii="Calibri" w:hAnsi="Calibri"/>
                <w:sz w:val="18"/>
              </w:rPr>
              <w:t xml:space="preserve">  •  Deploy Uniswap V2 liquidity pool</w:t>
              <w:br/>
            </w:r>
            <w:r>
              <w:rPr>
                <w:rFonts w:ascii="Calibri" w:hAnsi="Calibri"/>
                <w:sz w:val="18"/>
              </w:rPr>
              <w:t xml:space="preserve">  •  Lock LP tokens for 12 months</w:t>
              <w:br/>
            </w:r>
            <w:r>
              <w:rPr>
                <w:rFonts w:ascii="Calibri" w:hAnsi="Calibri"/>
                <w:sz w:val="18"/>
              </w:rPr>
              <w:t xml:space="preserve">  •  Submit CoinGecko and CoinMarketCap applications</w:t>
              <w:br/>
            </w:r>
            <w:r>
              <w:rPr>
                <w:rFonts w:ascii="Calibri" w:hAnsi="Calibri"/>
                <w:sz w:val="18"/>
              </w:rPr>
              <w:t xml:space="preserve">  •  Launch Profit Distributor smart contract</w:t>
              <w:br/>
            </w:r>
            <w:r>
              <w:rPr>
                <w:rFonts w:ascii="Calibri" w:hAnsi="Calibri"/>
                <w:sz w:val="18"/>
              </w:rPr>
              <w:t xml:space="preserve">  •  List on DexScreener and DexTools</w:t>
              <w:br/>
            </w:r>
          </w:p>
        </w:tc>
      </w:tr>
    </w:tbl>
    <w:p/>
    <w:tbl>
      <w:tblPr>
        <w:tblStyle w:val="TableGrid"/>
        <w:tblW w:type="auto" w:w="0"/>
        <w:tblLook w:firstColumn="1" w:firstRow="1" w:lastColumn="0" w:lastRow="0" w:noHBand="0" w:noVBand="1" w:val="04A0"/>
      </w:tblPr>
      <w:tblGrid>
        <w:gridCol w:w="4536"/>
        <w:gridCol w:w="4536"/>
      </w:tblGrid>
      <w:tr>
        <w:tc>
          <w:tcPr>
            <w:tcW w:type="dxa" w:w="2160"/>
            <w:shd w:val="clear" w:color="auto" w:fill="1A1A2E"/>
            <w:vAlign w:val="center"/>
          </w:tcPr>
          <w:p>
            <w:pPr>
              <w:jc w:val="center"/>
            </w:pPr>
            <w:r>
              <w:rPr>
                <w:rFonts w:ascii="Calibri" w:hAnsi="Calibri"/>
                <w:b/>
                <w:color w:val="C9A02C"/>
                <w:sz w:val="18"/>
              </w:rPr>
              <w:t>Phase 2</w:t>
              <w:br/>
              <w:t>Q4 2026</w:t>
              <w:br/>
              <w:t>(Oct–Dec)</w:t>
              <w:br/>
              <w:t>Community Growth</w:t>
            </w:r>
          </w:p>
        </w:tc>
        <w:tc>
          <w:tcPr>
            <w:tcW w:type="dxa" w:w="7920"/>
            <w:shd w:val="clear" w:color="auto" w:fill="F9F9F4"/>
          </w:tcPr>
          <w:p>
            <w:r>
              <w:rPr>
                <w:rFonts w:ascii="Calibri" w:hAnsi="Calibri"/>
                <w:sz w:val="18"/>
              </w:rPr>
              <w:t xml:space="preserve">  •  Reach 1,000 SIG token holders</w:t>
              <w:br/>
            </w:r>
            <w:r>
              <w:rPr>
                <w:rFonts w:ascii="Calibri" w:hAnsi="Calibri"/>
                <w:sz w:val="18"/>
              </w:rPr>
              <w:t xml:space="preserve">  •  First official profit distribution to community</w:t>
              <w:br/>
            </w:r>
            <w:r>
              <w:rPr>
                <w:rFonts w:ascii="Calibri" w:hAnsi="Calibri"/>
                <w:sz w:val="18"/>
              </w:rPr>
              <w:t xml:space="preserve">  •  CoinGecko listing achieved</w:t>
              <w:br/>
            </w:r>
            <w:r>
              <w:rPr>
                <w:rFonts w:ascii="Calibri" w:hAnsi="Calibri"/>
                <w:sz w:val="18"/>
              </w:rPr>
              <w:t xml:space="preserve">  •  M1 Tokenization system fully operational</w:t>
              <w:br/>
            </w:r>
            <w:r>
              <w:rPr>
                <w:rFonts w:ascii="Calibri" w:hAnsi="Calibri"/>
                <w:sz w:val="18"/>
              </w:rPr>
              <w:t xml:space="preserve">  •  First B2B partnership announced using SIG</w:t>
              <w:br/>
            </w:r>
            <w:r>
              <w:rPr>
                <w:rFonts w:ascii="Calibri" w:hAnsi="Calibri"/>
                <w:sz w:val="18"/>
              </w:rPr>
              <w:t xml:space="preserve">  •  AMA sessions and community events</w:t>
              <w:br/>
            </w:r>
          </w:p>
        </w:tc>
      </w:tr>
    </w:tbl>
    <w:p/>
    <w:tbl>
      <w:tblPr>
        <w:tblStyle w:val="TableGrid"/>
        <w:tblW w:type="auto" w:w="0"/>
        <w:tblLook w:firstColumn="1" w:firstRow="1" w:lastColumn="0" w:lastRow="0" w:noHBand="0" w:noVBand="1" w:val="04A0"/>
      </w:tblPr>
      <w:tblGrid>
        <w:gridCol w:w="4536"/>
        <w:gridCol w:w="4536"/>
      </w:tblGrid>
      <w:tr>
        <w:tc>
          <w:tcPr>
            <w:tcW w:type="dxa" w:w="2160"/>
            <w:shd w:val="clear" w:color="auto" w:fill="1A1A2E"/>
            <w:vAlign w:val="center"/>
          </w:tcPr>
          <w:p>
            <w:pPr>
              <w:jc w:val="center"/>
            </w:pPr>
            <w:r>
              <w:rPr>
                <w:rFonts w:ascii="Calibri" w:hAnsi="Calibri"/>
                <w:b/>
                <w:color w:val="C9A02C"/>
                <w:sz w:val="18"/>
              </w:rPr>
              <w:t>Phase 3</w:t>
              <w:br/>
              <w:t>Q1 2027</w:t>
              <w:br/>
              <w:t>(Jan–Mar)</w:t>
              <w:br/>
              <w:t>Expansion</w:t>
            </w:r>
          </w:p>
        </w:tc>
        <w:tc>
          <w:tcPr>
            <w:tcW w:type="dxa" w:w="7920"/>
            <w:shd w:val="clear" w:color="auto" w:fill="F9F9F4"/>
          </w:tcPr>
          <w:p>
            <w:r>
              <w:rPr>
                <w:rFonts w:ascii="Calibri" w:hAnsi="Calibri"/>
                <w:sz w:val="18"/>
              </w:rPr>
              <w:t xml:space="preserve">  •  CoinMarketCap listing</w:t>
              <w:br/>
            </w:r>
            <w:r>
              <w:rPr>
                <w:rFonts w:ascii="Calibri" w:hAnsi="Calibri"/>
                <w:sz w:val="18"/>
              </w:rPr>
              <w:t xml:space="preserve">  •  CEX exchange listing application</w:t>
              <w:br/>
            </w:r>
            <w:r>
              <w:rPr>
                <w:rFonts w:ascii="Calibri" w:hAnsi="Calibri"/>
                <w:sz w:val="18"/>
              </w:rPr>
              <w:t xml:space="preserve">  •  Expand liquidity pool with additional ETH</w:t>
              <w:br/>
            </w:r>
            <w:r>
              <w:rPr>
                <w:rFonts w:ascii="Calibri" w:hAnsi="Calibri"/>
                <w:sz w:val="18"/>
              </w:rPr>
              <w:t xml:space="preserve">  •  Launch SIG staking rewards program</w:t>
              <w:br/>
            </w:r>
            <w:r>
              <w:rPr>
                <w:rFonts w:ascii="Calibri" w:hAnsi="Calibri"/>
                <w:sz w:val="18"/>
              </w:rPr>
              <w:t xml:space="preserve">  •  International marketing campaign</w:t>
              <w:br/>
            </w:r>
            <w:r>
              <w:rPr>
                <w:rFonts w:ascii="Calibri" w:hAnsi="Calibri"/>
                <w:sz w:val="18"/>
              </w:rPr>
              <w:t xml:space="preserve">  •  Explore mobile app for SIG wallet management</w:t>
              <w:br/>
            </w:r>
          </w:p>
        </w:tc>
      </w:tr>
    </w:tbl>
    <w:p/>
    <w:tbl>
      <w:tblPr>
        <w:tblStyle w:val="TableGrid"/>
        <w:tblW w:type="auto" w:w="0"/>
        <w:tblLook w:firstColumn="1" w:firstRow="1" w:lastColumn="0" w:lastRow="0" w:noHBand="0" w:noVBand="1" w:val="04A0"/>
      </w:tblPr>
      <w:tblGrid>
        <w:gridCol w:w="4536"/>
        <w:gridCol w:w="4536"/>
      </w:tblGrid>
      <w:tr>
        <w:tc>
          <w:tcPr>
            <w:tcW w:type="dxa" w:w="2160"/>
            <w:shd w:val="clear" w:color="auto" w:fill="1A1A2E"/>
            <w:vAlign w:val="center"/>
          </w:tcPr>
          <w:p>
            <w:pPr>
              <w:jc w:val="center"/>
            </w:pPr>
            <w:r>
              <w:rPr>
                <w:rFonts w:ascii="Calibri" w:hAnsi="Calibri"/>
                <w:b/>
                <w:color w:val="C9A02C"/>
                <w:sz w:val="18"/>
              </w:rPr>
              <w:t>Phase 4</w:t>
              <w:br/>
              <w:t>Q2 2027+</w:t>
              <w:br/>
              <w:t>(Apr onwards)</w:t>
              <w:br/>
              <w:t>Mainstream Adoption</w:t>
            </w:r>
          </w:p>
        </w:tc>
        <w:tc>
          <w:tcPr>
            <w:tcW w:type="dxa" w:w="7920"/>
            <w:shd w:val="clear" w:color="auto" w:fill="F9F9F4"/>
          </w:tcPr>
          <w:p>
            <w:r>
              <w:rPr>
                <w:rFonts w:ascii="Calibri" w:hAnsi="Calibri"/>
                <w:sz w:val="18"/>
              </w:rPr>
              <w:t xml:space="preserve">  •  Major CEX listing</w:t>
              <w:br/>
            </w:r>
            <w:r>
              <w:rPr>
                <w:rFonts w:ascii="Calibri" w:hAnsi="Calibri"/>
                <w:sz w:val="18"/>
              </w:rPr>
              <w:t xml:space="preserve">  •  Integration with Al Shumookh real estate tokenization</w:t>
              <w:br/>
            </w:r>
            <w:r>
              <w:rPr>
                <w:rFonts w:ascii="Calibri" w:hAnsi="Calibri"/>
                <w:sz w:val="18"/>
              </w:rPr>
              <w:t xml:space="preserve">  •  Gold-backed SIG token variant (backed by Group gold reserves)</w:t>
              <w:br/>
            </w:r>
            <w:r>
              <w:rPr>
                <w:rFonts w:ascii="Calibri" w:hAnsi="Calibri"/>
                <w:sz w:val="18"/>
              </w:rPr>
              <w:t xml:space="preserve">  •  Cross-chain bridge (Polygon, BSC)</w:t>
              <w:br/>
            </w:r>
            <w:r>
              <w:rPr>
                <w:rFonts w:ascii="Calibri" w:hAnsi="Calibri"/>
                <w:sz w:val="18"/>
              </w:rPr>
              <w:t xml:space="preserve">  •  DAO governance for token holders</w:t>
              <w:br/>
            </w:r>
          </w:p>
        </w:tc>
      </w:tr>
    </w:tbl>
    <w:p/>
    <w:p>
      <w:r>
        <w:br w:type="page"/>
      </w:r>
    </w:p>
    <w:p>
      <w:pPr>
        <w:spacing w:before="280" w:after="120"/>
      </w:pPr>
      <w:r>
        <w:rPr>
          <w:rFonts w:ascii="Calibri" w:hAnsi="Calibri"/>
          <w:b/>
          <w:color w:val="1A1A2E"/>
          <w:sz w:val="56"/>
        </w:rPr>
        <w:t>9. Risk Disclosure</w:t>
      </w:r>
    </w:p>
    <w:p>
      <w:pPr>
        <w:spacing w:before="40" w:after="40"/>
        <w:pBdr>
          <w:bottom w:val="single" w:sz="8" w:space="1" w:color="C9A02C"/>
        </w:pBdr>
      </w:pPr>
    </w:p>
    <w:p>
      <w:pPr>
        <w:spacing w:after="100"/>
      </w:pPr>
      <w:r>
        <w:rPr>
          <w:rFonts w:ascii="Calibri" w:hAnsi="Calibri"/>
          <w:b w:val="0"/>
          <w:i w:val="0"/>
          <w:color w:val="1A1A2E"/>
          <w:sz w:val="22"/>
        </w:rPr>
        <w:t>Investing in cryptocurrency tokens involves significant risk. Prospective purchasers should carefully consider the following risk factors before participating:</w:t>
      </w:r>
    </w:p>
    <w:p>
      <w:pPr>
        <w:spacing w:after="100"/>
      </w:pPr>
      <w:r>
        <w:rPr>
          <w:rFonts w:ascii="Calibri" w:hAnsi="Calibri"/>
          <w:b/>
          <w:i w:val="0"/>
          <w:color w:val="1A1A2E"/>
          <w:sz w:val="22"/>
        </w:rPr>
        <w:t>Market Risk:</w:t>
      </w:r>
    </w:p>
    <w:p>
      <w:pPr>
        <w:spacing w:after="100"/>
        <w:ind w:left="432"/>
      </w:pPr>
      <w:r>
        <w:rPr>
          <w:rFonts w:ascii="Calibri" w:hAnsi="Calibri"/>
          <w:b w:val="0"/>
          <w:i w:val="0"/>
          <w:color w:val="1A1A2E"/>
          <w:sz w:val="22"/>
        </w:rPr>
        <w:t>The price of SIG tokens on Uniswap is determined by supply and demand. Token prices can be highly volatile, and investors may lose their entire investment.</w:t>
      </w:r>
    </w:p>
    <w:p>
      <w:pPr>
        <w:spacing w:after="100"/>
      </w:pPr>
      <w:r>
        <w:rPr>
          <w:rFonts w:ascii="Calibri" w:hAnsi="Calibri"/>
          <w:b/>
          <w:i w:val="0"/>
          <w:color w:val="1A1A2E"/>
          <w:sz w:val="22"/>
        </w:rPr>
        <w:t>Liquidity Risk:</w:t>
      </w:r>
    </w:p>
    <w:p>
      <w:pPr>
        <w:spacing w:after="100"/>
        <w:ind w:left="432"/>
      </w:pPr>
      <w:r>
        <w:rPr>
          <w:rFonts w:ascii="Calibri" w:hAnsi="Calibri"/>
          <w:b w:val="0"/>
          <w:i w:val="0"/>
          <w:color w:val="1A1A2E"/>
          <w:sz w:val="22"/>
        </w:rPr>
        <w:t>As a newly launched token, SIG may have limited trading volume and liquidity, making it difficult to buy or sell large amounts at a stable price.</w:t>
      </w:r>
    </w:p>
    <w:p>
      <w:pPr>
        <w:spacing w:after="100"/>
      </w:pPr>
      <w:r>
        <w:rPr>
          <w:rFonts w:ascii="Calibri" w:hAnsi="Calibri"/>
          <w:b/>
          <w:i w:val="0"/>
          <w:color w:val="1A1A2E"/>
          <w:sz w:val="22"/>
        </w:rPr>
        <w:t>Regulatory Risk:</w:t>
      </w:r>
    </w:p>
    <w:p>
      <w:pPr>
        <w:spacing w:after="100"/>
        <w:ind w:left="432"/>
      </w:pPr>
      <w:r>
        <w:rPr>
          <w:rFonts w:ascii="Calibri" w:hAnsi="Calibri"/>
          <w:b w:val="0"/>
          <w:i w:val="0"/>
          <w:color w:val="1A1A2E"/>
          <w:sz w:val="22"/>
        </w:rPr>
        <w:t>Cryptocurrency regulations vary by jurisdiction and may change. Investors are responsible for ensuring their participation complies with local laws.</w:t>
      </w:r>
    </w:p>
    <w:p>
      <w:pPr>
        <w:spacing w:after="100"/>
      </w:pPr>
      <w:r>
        <w:rPr>
          <w:rFonts w:ascii="Calibri" w:hAnsi="Calibri"/>
          <w:b/>
          <w:i w:val="0"/>
          <w:color w:val="1A1A2E"/>
          <w:sz w:val="22"/>
        </w:rPr>
        <w:t>Smart Contract Risk:</w:t>
      </w:r>
    </w:p>
    <w:p>
      <w:pPr>
        <w:spacing w:after="100"/>
        <w:ind w:left="432"/>
      </w:pPr>
      <w:r>
        <w:rPr>
          <w:rFonts w:ascii="Calibri" w:hAnsi="Calibri"/>
          <w:b w:val="0"/>
          <w:i w:val="0"/>
          <w:color w:val="1A1A2E"/>
          <w:sz w:val="22"/>
        </w:rPr>
        <w:t>While the Profit Distributor contract has been designed with security in mind, no smart contract is completely immune from bugs or vulnerabilities.</w:t>
      </w:r>
    </w:p>
    <w:p>
      <w:pPr>
        <w:spacing w:after="100"/>
      </w:pPr>
      <w:r>
        <w:rPr>
          <w:rFonts w:ascii="Calibri" w:hAnsi="Calibri"/>
          <w:b w:val="0"/>
          <w:i/>
          <w:color w:val="555555"/>
          <w:sz w:val="22"/>
        </w:rPr>
        <w:t>This whitepaper is for informational purposes only and does not constitute financial advice. Always conduct your own due diligence before investing.</w:t>
      </w:r>
    </w:p>
    <w:p/>
    <w:p>
      <w:pPr>
        <w:spacing w:before="280" w:after="120"/>
      </w:pPr>
      <w:r>
        <w:rPr>
          <w:rFonts w:ascii="Calibri" w:hAnsi="Calibri"/>
          <w:b/>
          <w:color w:val="1A1A2E"/>
          <w:sz w:val="56"/>
        </w:rPr>
        <w:t>10. Contact &amp; Links</w:t>
      </w:r>
    </w:p>
    <w:p>
      <w:pPr>
        <w:spacing w:before="40" w:after="40"/>
        <w:pBdr>
          <w:bottom w:val="single" w:sz="8" w:space="1" w:color="C9A02C"/>
        </w:pBdr>
      </w:pPr>
    </w:p>
    <w:p>
      <w:pPr>
        <w:spacing w:after="60"/>
      </w:pPr>
      <w:r>
        <w:rPr>
          <w:rFonts w:ascii="Calibri" w:hAnsi="Calibri"/>
          <w:b/>
          <w:sz w:val="22"/>
        </w:rPr>
        <w:t xml:space="preserve">Website: </w:t>
      </w:r>
      <w:r>
        <w:rPr>
          <w:rFonts w:ascii="Calibri" w:hAnsi="Calibri"/>
          <w:color w:val="0070C0"/>
          <w:sz w:val="22"/>
        </w:rPr>
        <w:t>www.alshumookhgroup.com</w:t>
      </w:r>
    </w:p>
    <w:p>
      <w:pPr>
        <w:spacing w:after="60"/>
      </w:pPr>
      <w:r>
        <w:rPr>
          <w:rFonts w:ascii="Calibri" w:hAnsi="Calibri"/>
          <w:b/>
          <w:sz w:val="22"/>
        </w:rPr>
        <w:t xml:space="preserve">Email: </w:t>
      </w:r>
      <w:r>
        <w:rPr>
          <w:rFonts w:ascii="Calibri" w:hAnsi="Calibri"/>
          <w:color w:val="0070C0"/>
          <w:sz w:val="22"/>
        </w:rPr>
        <w:t>info@alshumookhgroup.com</w:t>
      </w:r>
    </w:p>
    <w:p>
      <w:pPr>
        <w:spacing w:after="60"/>
      </w:pPr>
      <w:r>
        <w:rPr>
          <w:rFonts w:ascii="Calibri" w:hAnsi="Calibri"/>
          <w:b/>
          <w:sz w:val="22"/>
        </w:rPr>
        <w:t xml:space="preserve">Dubai Phone: </w:t>
      </w:r>
      <w:r>
        <w:rPr>
          <w:rFonts w:ascii="Calibri" w:hAnsi="Calibri"/>
          <w:color w:val="0070C0"/>
          <w:sz w:val="22"/>
        </w:rPr>
        <w:t>+971 4 2999 121</w:t>
      </w:r>
    </w:p>
    <w:p>
      <w:pPr>
        <w:spacing w:after="60"/>
      </w:pPr>
      <w:r>
        <w:rPr>
          <w:rFonts w:ascii="Calibri" w:hAnsi="Calibri"/>
          <w:b/>
          <w:sz w:val="22"/>
        </w:rPr>
        <w:t xml:space="preserve">Twitter: </w:t>
      </w:r>
      <w:r>
        <w:rPr>
          <w:rFonts w:ascii="Calibri" w:hAnsi="Calibri"/>
          <w:color w:val="0070C0"/>
          <w:sz w:val="22"/>
        </w:rPr>
        <w:t>@alshumookhuae</w:t>
      </w:r>
    </w:p>
    <w:p>
      <w:pPr>
        <w:spacing w:after="60"/>
      </w:pPr>
      <w:r>
        <w:rPr>
          <w:rFonts w:ascii="Calibri" w:hAnsi="Calibri"/>
          <w:b/>
          <w:sz w:val="22"/>
        </w:rPr>
        <w:t xml:space="preserve">Instagram: </w:t>
      </w:r>
      <w:r>
        <w:rPr>
          <w:rFonts w:ascii="Calibri" w:hAnsi="Calibri"/>
          <w:color w:val="0070C0"/>
          <w:sz w:val="22"/>
        </w:rPr>
        <w:t>@alshumookh_uae</w:t>
      </w:r>
    </w:p>
    <w:p>
      <w:pPr>
        <w:spacing w:after="60"/>
      </w:pPr>
      <w:r>
        <w:rPr>
          <w:rFonts w:ascii="Calibri" w:hAnsi="Calibri"/>
          <w:b/>
          <w:sz w:val="22"/>
        </w:rPr>
        <w:t xml:space="preserve">SIG Contract: </w:t>
      </w:r>
      <w:r>
        <w:rPr>
          <w:rFonts w:ascii="Calibri" w:hAnsi="Calibri"/>
          <w:color w:val="0070C0"/>
          <w:sz w:val="22"/>
        </w:rPr>
        <w:t>0xc2ac880e474c3576cc3afb7c560e402ce24d5b37</w:t>
      </w:r>
    </w:p>
    <w:p>
      <w:pPr>
        <w:spacing w:after="60"/>
      </w:pPr>
      <w:r>
        <w:rPr>
          <w:rFonts w:ascii="Calibri" w:hAnsi="Calibri"/>
          <w:b/>
          <w:sz w:val="22"/>
        </w:rPr>
        <w:t xml:space="preserve">Uniswap Pool: </w:t>
      </w:r>
      <w:r>
        <w:rPr>
          <w:rFonts w:ascii="Calibri" w:hAnsi="Calibri"/>
          <w:color w:val="0070C0"/>
          <w:sz w:val="22"/>
        </w:rPr>
        <w:t>app.uniswap.org (search SIG token)</w:t>
      </w:r>
    </w:p>
    <w:p>
      <w:pPr>
        <w:spacing w:after="60"/>
      </w:pPr>
      <w:r>
        <w:rPr>
          <w:rFonts w:ascii="Calibri" w:hAnsi="Calibri"/>
          <w:b/>
          <w:sz w:val="22"/>
        </w:rPr>
        <w:t xml:space="preserve">Etherscan: </w:t>
      </w:r>
      <w:r>
        <w:rPr>
          <w:rFonts w:ascii="Calibri" w:hAnsi="Calibri"/>
          <w:color w:val="0070C0"/>
          <w:sz w:val="22"/>
        </w:rPr>
        <w:t>etherscan.io/token/0xc2ac880e474c3576cc3afb7c560e402ce24d5b37</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