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9A84C"/>
          <w:sz w:val="18"/>
        </w:rPr>
        <w:t>CONFIDENTIAL — FOR DISTRIBUTION TO QUALIFIED INVESTORS</w:t>
      </w:r>
    </w:p>
    <w:p>
      <w:pPr>
        <w:spacing w:before="80" w:after="80"/>
        <w:pBdr>
          <w:bottom w:val="single" w:sz="6" w:space="1" w:color="C9A84C"/>
        </w:pBdr>
      </w:pPr>
    </w:p>
    <w:p/>
    <w:p>
      <w:pPr>
        <w:spacing w:before="240" w:after="120"/>
        <w:jc w:val="center"/>
      </w:pPr>
      <w:r>
        <w:rPr>
          <w:b/>
          <w:i w:val="0"/>
          <w:color w:val="0D2240"/>
          <w:sz w:val="56"/>
        </w:rPr>
        <w:t>AL SHUMOOKH INTERNATIONAL GROUP TOKEN</w:t>
      </w:r>
    </w:p>
    <w:p>
      <w:pPr>
        <w:spacing w:after="120"/>
        <w:jc w:val="center"/>
      </w:pPr>
      <w:r>
        <w:rPr>
          <w:b/>
          <w:i w:val="0"/>
          <w:color w:val="C9A84C"/>
          <w:sz w:val="96"/>
        </w:rPr>
        <w:t>SIG</w:t>
      </w:r>
    </w:p>
    <w:p>
      <w:pPr>
        <w:spacing w:after="120"/>
        <w:jc w:val="center"/>
      </w:pPr>
      <w:r>
        <w:rPr>
          <w:b w:val="0"/>
          <w:i/>
          <w:color w:val="55657A"/>
          <w:sz w:val="22"/>
        </w:rPr>
        <w:t>Token Whitepaper  ·  v1.0  ·  June 2026</w:t>
      </w:r>
    </w:p>
    <w:p>
      <w:pPr>
        <w:spacing w:before="80" w:after="80"/>
        <w:pBdr>
          <w:bottom w:val="single" w:sz="6" w:space="1" w:color="C9A84C"/>
        </w:pBdr>
      </w:pP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0D2240"/>
          </w:tcPr>
          <w:p>
            <w:r>
              <w:rPr>
                <w:b/>
                <w:color w:val="C9A84C"/>
                <w:sz w:val="18"/>
              </w:rPr>
              <w:t>Blockchain Network</w:t>
            </w:r>
          </w:p>
        </w:tc>
        <w:tc>
          <w:tcPr>
            <w:tcW w:type="dxa" w:w="4680"/>
          </w:tcPr>
          <w:p>
            <w:r>
              <w:rPr>
                <w:sz w:val="18"/>
              </w:rPr>
              <w:t>Ethereum (ERC-20)</w:t>
            </w:r>
          </w:p>
        </w:tc>
      </w:tr>
      <w:tr>
        <w:tc>
          <w:tcPr>
            <w:tcW w:type="dxa" w:w="4680"/>
            <w:shd w:val="clear" w:color="auto" w:fill="0D2240"/>
          </w:tcPr>
          <w:p>
            <w:r>
              <w:rPr>
                <w:b/>
                <w:color w:val="C9A84C"/>
                <w:sz w:val="18"/>
              </w:rPr>
              <w:t>DEX Liquidity Pool</w:t>
            </w:r>
          </w:p>
        </w:tc>
        <w:tc>
          <w:tcPr>
            <w:tcW w:type="dxa" w:w="4680"/>
          </w:tcPr>
          <w:p>
            <w:r>
              <w:rPr>
                <w:sz w:val="18"/>
              </w:rPr>
              <w:t>Uniswap V2  —  USDC / SIG</w:t>
            </w:r>
          </w:p>
        </w:tc>
      </w:tr>
      <w:tr>
        <w:tc>
          <w:tcPr>
            <w:tcW w:type="dxa" w:w="4680"/>
            <w:shd w:val="clear" w:color="auto" w:fill="0D2240"/>
          </w:tcPr>
          <w:p>
            <w:r>
              <w:rPr>
                <w:b/>
                <w:color w:val="C9A84C"/>
                <w:sz w:val="18"/>
              </w:rPr>
              <w:t>Issuing Entity</w:t>
            </w:r>
          </w:p>
        </w:tc>
        <w:tc>
          <w:tcPr>
            <w:tcW w:type="dxa" w:w="4680"/>
          </w:tcPr>
          <w:p>
            <w:r>
              <w:rPr>
                <w:sz w:val="18"/>
              </w:rPr>
              <w:t>Al Shumookh International Group, Dubai UAE</w:t>
            </w:r>
          </w:p>
        </w:tc>
      </w:tr>
      <w:tr>
        <w:tc>
          <w:tcPr>
            <w:tcW w:type="dxa" w:w="4680"/>
            <w:shd w:val="clear" w:color="auto" w:fill="0D2240"/>
          </w:tcPr>
          <w:p>
            <w:r>
              <w:rPr>
                <w:b/>
                <w:color w:val="C9A84C"/>
                <w:sz w:val="18"/>
              </w:rPr>
              <w:t>Total Supply</w:t>
            </w:r>
          </w:p>
        </w:tc>
        <w:tc>
          <w:tcPr>
            <w:tcW w:type="dxa" w:w="4680"/>
          </w:tcPr>
          <w:p>
            <w:r>
              <w:rPr>
                <w:sz w:val="18"/>
              </w:rPr>
              <w:t>1,000,000,000 SIG</w:t>
            </w:r>
          </w:p>
        </w:tc>
      </w:tr>
      <w:tr>
        <w:tc>
          <w:tcPr>
            <w:tcW w:type="dxa" w:w="4680"/>
            <w:shd w:val="clear" w:color="auto" w:fill="0D2240"/>
          </w:tcPr>
          <w:p>
            <w:r>
              <w:rPr>
                <w:b/>
                <w:color w:val="C9A84C"/>
                <w:sz w:val="18"/>
              </w:rPr>
              <w:t>Contract Address</w:t>
            </w:r>
          </w:p>
        </w:tc>
        <w:tc>
          <w:tcPr>
            <w:tcW w:type="dxa" w:w="4680"/>
          </w:tcPr>
          <w:p>
            <w:r>
              <w:rPr>
                <w:sz w:val="18"/>
              </w:rPr>
              <w:t>[TO BE ADDED — Etherscan verified]</w:t>
            </w:r>
          </w:p>
        </w:tc>
      </w:tr>
      <w:tr>
        <w:tc>
          <w:tcPr>
            <w:tcW w:type="dxa" w:w="4680"/>
            <w:shd w:val="clear" w:color="auto" w:fill="0D2240"/>
          </w:tcPr>
          <w:p>
            <w:r>
              <w:rPr>
                <w:b/>
                <w:color w:val="C9A84C"/>
                <w:sz w:val="18"/>
              </w:rPr>
              <w:t>Issue Date</w:t>
            </w:r>
          </w:p>
        </w:tc>
        <w:tc>
          <w:tcPr>
            <w:tcW w:type="dxa" w:w="4680"/>
          </w:tcPr>
          <w:p>
            <w:r>
              <w:rPr>
                <w:sz w:val="18"/>
              </w:rPr>
              <w:t>June 17, 2026</w:t>
            </w:r>
          </w:p>
        </w:tc>
      </w:tr>
    </w:tbl>
    <w:p>
      <w:r>
        <w:br w:type="page"/>
      </w:r>
    </w:p>
    <w:p>
      <w:pPr>
        <w:pStyle w:val="Heading1"/>
      </w:pPr>
      <w:r>
        <w:rPr>
          <w:b/>
          <w:color w:val="0D2240"/>
          <w:sz w:val="40"/>
        </w:rPr>
        <w:t>1. Executive Summary</w:t>
      </w:r>
    </w:p>
    <w:p>
      <w:pPr>
        <w:spacing w:before="80" w:after="80"/>
        <w:pBdr>
          <w:bottom w:val="single" w:sz="6" w:space="1" w:color="C9A84C"/>
        </w:pBdr>
      </w:pPr>
    </w:p>
    <w:p>
      <w:pPr>
        <w:spacing w:after="120"/>
      </w:pPr>
      <w:r>
        <w:rPr>
          <w:b w:val="0"/>
          <w:i w:val="0"/>
          <w:sz w:val="20"/>
        </w:rPr>
        <w:t>Al Shumookh International Group (ALSIG) is a UAE-based diversified financial conglomerate founded in Dubai, recognized with the prestigious Taqdeer Award 2022. The SIG Token is a utility and governance token issued on the Ethereum blockchain, designed to power the Group's digital payment infrastructure, cross-border settlement network, and M1 tokenization engine.</w:t>
      </w:r>
    </w:p>
    <w:p>
      <w:pPr>
        <w:spacing w:after="120"/>
      </w:pPr>
      <w:r>
        <w:rPr>
          <w:b w:val="0"/>
          <w:i w:val="0"/>
          <w:sz w:val="20"/>
        </w:rPr>
        <w:t>SIG enables holders to participate in the Group's financial ecosystem including: real-time payment settlement, tokenized asset management, outbound transfer operations, and future revenue-sharing mechanisms. The token was launched on June 17, 2026, with an active USDC/SIG liquidity pool on Uniswap V2.</w:t>
      </w:r>
    </w:p>
    <w:p>
      <w:pPr>
        <w:pStyle w:val="Heading1"/>
      </w:pPr>
      <w:r>
        <w:rPr>
          <w:b/>
          <w:color w:val="0D2240"/>
          <w:sz w:val="40"/>
        </w:rPr>
        <w:t>2. About Al Shumookh International Group</w:t>
      </w:r>
    </w:p>
    <w:p>
      <w:pPr>
        <w:spacing w:before="80" w:after="80"/>
        <w:pBdr>
          <w:bottom w:val="single" w:sz="6" w:space="1" w:color="C9A84C"/>
        </w:pBdr>
      </w:pPr>
    </w:p>
    <w:p>
      <w:pPr>
        <w:spacing w:after="120"/>
      </w:pPr>
      <w:r>
        <w:rPr>
          <w:b/>
          <w:i w:val="0"/>
          <w:color w:val="0D2240"/>
          <w:sz w:val="22"/>
        </w:rPr>
        <w:t>Company Overview</w:t>
      </w:r>
    </w:p>
    <w:p>
      <w:pPr>
        <w:spacing w:after="120"/>
      </w:pPr>
      <w:r>
        <w:rPr>
          <w:b w:val="0"/>
          <w:i w:val="0"/>
          <w:sz w:val="20"/>
        </w:rPr>
        <w:t>Al Shumookh International Group is an established financial services conglomerate headquartered in Dubai, UAE. The Group operates a comprehensive digital banking and payment infrastructure serving corporate clients across the MENA region and beyond.</w:t>
      </w:r>
    </w:p>
    <w:p>
      <w:pPr>
        <w:spacing w:before="120" w:after="120"/>
      </w:pPr>
      <w:r>
        <w:rPr>
          <w:b/>
          <w:i w:val="0"/>
          <w:color w:val="0D2240"/>
          <w:sz w:val="22"/>
        </w:rPr>
        <w:t>Core Business Lines</w:t>
      </w:r>
    </w:p>
    <w:p>
      <w:pPr>
        <w:pStyle w:val="ListBullet"/>
        <w:spacing w:after="60"/>
      </w:pPr>
      <w:r>
        <w:rPr>
          <w:sz w:val="20"/>
        </w:rPr>
        <w:t>Payment Processing — Cross-border fiat and crypto payment orders</w:t>
      </w:r>
    </w:p>
    <w:p>
      <w:pPr>
        <w:pStyle w:val="ListBullet"/>
        <w:spacing w:after="60"/>
      </w:pPr>
      <w:r>
        <w:rPr>
          <w:sz w:val="20"/>
        </w:rPr>
        <w:t>M1 Tokenization — EUR-to-SIG conversion engine with full blockchain settlement</w:t>
      </w:r>
    </w:p>
    <w:p>
      <w:pPr>
        <w:pStyle w:val="ListBullet"/>
        <w:spacing w:after="60"/>
      </w:pPr>
      <w:r>
        <w:rPr>
          <w:sz w:val="20"/>
        </w:rPr>
        <w:t>Settlement Payloads — Real-time USDT/SIG outbound transfer infrastructure</w:t>
      </w:r>
    </w:p>
    <w:p>
      <w:pPr>
        <w:pStyle w:val="ListBullet"/>
        <w:spacing w:after="60"/>
      </w:pPr>
      <w:r>
        <w:rPr>
          <w:sz w:val="20"/>
        </w:rPr>
        <w:t>Counterparty Management — Institutional-grade KYB/KYC compliance system</w:t>
      </w:r>
    </w:p>
    <w:p>
      <w:pPr>
        <w:pStyle w:val="ListBullet"/>
        <w:spacing w:after="60"/>
      </w:pPr>
      <w:r>
        <w:rPr>
          <w:sz w:val="20"/>
        </w:rPr>
        <w:t>Top-Up Services — Card and wallet funding via multiple payment providers</w:t>
      </w:r>
    </w:p>
    <w:p>
      <w:pPr>
        <w:spacing w:before="120" w:after="120"/>
      </w:pPr>
      <w:r>
        <w:rPr>
          <w:b/>
          <w:i w:val="0"/>
          <w:color w:val="0D2240"/>
          <w:sz w:val="22"/>
        </w:rPr>
        <w:t>Recognition &amp; Credentials</w:t>
      </w:r>
    </w:p>
    <w:p>
      <w:pPr>
        <w:pStyle w:val="ListBullet"/>
        <w:spacing w:after="60"/>
      </w:pPr>
      <w:r>
        <w:rPr>
          <w:sz w:val="20"/>
        </w:rPr>
        <w:t>Taqdeer Award 2022 Winner — Dubai Department of Human Resources</w:t>
      </w:r>
    </w:p>
    <w:p>
      <w:pPr>
        <w:pStyle w:val="ListBullet"/>
        <w:spacing w:after="60"/>
      </w:pPr>
      <w:r>
        <w:rPr>
          <w:sz w:val="20"/>
        </w:rPr>
        <w:t>Registered financial entity, United Arab Emirates</w:t>
      </w:r>
    </w:p>
    <w:p>
      <w:pPr>
        <w:pStyle w:val="ListBullet"/>
        <w:spacing w:after="60"/>
      </w:pPr>
      <w:r>
        <w:rPr>
          <w:sz w:val="20"/>
        </w:rPr>
        <w:t>BIC: ALSHAEXXXX  |  Reg: UAE/FIN/2024/0081</w:t>
      </w:r>
    </w:p>
    <w:p>
      <w:pPr>
        <w:pStyle w:val="Heading1"/>
      </w:pPr>
      <w:r>
        <w:rPr>
          <w:b/>
          <w:color w:val="0D2240"/>
          <w:sz w:val="40"/>
        </w:rPr>
        <w:t>3. Token Economics (Tokenomics)</w:t>
      </w:r>
    </w:p>
    <w:p>
      <w:pPr>
        <w:spacing w:before="80" w:after="80"/>
        <w:pBdr>
          <w:bottom w:val="single" w:sz="6" w:space="1" w:color="C9A84C"/>
        </w:pBdr>
      </w:pPr>
    </w:p>
    <w:tbl>
      <w:tblPr>
        <w:tblStyle w:val="TableGrid"/>
        <w:tblW w:type="auto" w:w="0"/>
        <w:tblLook w:firstColumn="1" w:firstRow="1" w:lastColumn="0" w:lastRow="0" w:noHBand="0" w:noVBand="1" w:val="04A0"/>
      </w:tblPr>
      <w:tblGrid>
        <w:gridCol w:w="4680"/>
        <w:gridCol w:w="4680"/>
      </w:tblGrid>
      <w:tr>
        <w:tc>
          <w:tcPr>
            <w:tcW w:type="dxa" w:w="4680"/>
            <w:shd w:val="clear" w:color="auto" w:fill="F0F4F8"/>
          </w:tcPr>
          <w:p>
            <w:r>
              <w:rPr>
                <w:b/>
                <w:sz w:val="18"/>
              </w:rPr>
              <w:t>Token Name</w:t>
            </w:r>
          </w:p>
        </w:tc>
        <w:tc>
          <w:tcPr>
            <w:tcW w:type="dxa" w:w="4680"/>
          </w:tcPr>
          <w:p>
            <w:r>
              <w:rPr>
                <w:sz w:val="18"/>
              </w:rPr>
              <w:t>Al Shumookh International Group Token</w:t>
            </w:r>
          </w:p>
        </w:tc>
      </w:tr>
      <w:tr>
        <w:tc>
          <w:tcPr>
            <w:tcW w:type="dxa" w:w="4680"/>
            <w:shd w:val="clear" w:color="auto" w:fill="F0F4F8"/>
          </w:tcPr>
          <w:p>
            <w:r>
              <w:rPr>
                <w:b/>
                <w:sz w:val="18"/>
              </w:rPr>
              <w:t>Ticker Symbol</w:t>
            </w:r>
          </w:p>
        </w:tc>
        <w:tc>
          <w:tcPr>
            <w:tcW w:type="dxa" w:w="4680"/>
          </w:tcPr>
          <w:p>
            <w:r>
              <w:rPr>
                <w:sz w:val="18"/>
              </w:rPr>
              <w:t>SIG</w:t>
            </w:r>
          </w:p>
        </w:tc>
      </w:tr>
      <w:tr>
        <w:tc>
          <w:tcPr>
            <w:tcW w:type="dxa" w:w="4680"/>
            <w:shd w:val="clear" w:color="auto" w:fill="F0F4F8"/>
          </w:tcPr>
          <w:p>
            <w:r>
              <w:rPr>
                <w:b/>
                <w:sz w:val="18"/>
              </w:rPr>
              <w:t>Blockchain</w:t>
            </w:r>
          </w:p>
        </w:tc>
        <w:tc>
          <w:tcPr>
            <w:tcW w:type="dxa" w:w="4680"/>
          </w:tcPr>
          <w:p>
            <w:r>
              <w:rPr>
                <w:sz w:val="18"/>
              </w:rPr>
              <w:t>Ethereum (ERC-20)</w:t>
            </w:r>
          </w:p>
        </w:tc>
      </w:tr>
      <w:tr>
        <w:tc>
          <w:tcPr>
            <w:tcW w:type="dxa" w:w="4680"/>
            <w:shd w:val="clear" w:color="auto" w:fill="F0F4F8"/>
          </w:tcPr>
          <w:p>
            <w:r>
              <w:rPr>
                <w:b/>
                <w:sz w:val="18"/>
              </w:rPr>
              <w:t>Total Supply</w:t>
            </w:r>
          </w:p>
        </w:tc>
        <w:tc>
          <w:tcPr>
            <w:tcW w:type="dxa" w:w="4680"/>
          </w:tcPr>
          <w:p>
            <w:r>
              <w:rPr>
                <w:sz w:val="18"/>
              </w:rPr>
              <w:t>1,000,000,000 SIG (Fixed — No Minting)</w:t>
            </w:r>
          </w:p>
        </w:tc>
      </w:tr>
      <w:tr>
        <w:tc>
          <w:tcPr>
            <w:tcW w:type="dxa" w:w="4680"/>
            <w:shd w:val="clear" w:color="auto" w:fill="F0F4F8"/>
          </w:tcPr>
          <w:p>
            <w:r>
              <w:rPr>
                <w:b/>
                <w:sz w:val="18"/>
              </w:rPr>
              <w:t>Decimals</w:t>
            </w:r>
          </w:p>
        </w:tc>
        <w:tc>
          <w:tcPr>
            <w:tcW w:type="dxa" w:w="4680"/>
          </w:tcPr>
          <w:p>
            <w:r>
              <w:rPr>
                <w:sz w:val="18"/>
              </w:rPr>
              <w:t>18</w:t>
            </w:r>
          </w:p>
        </w:tc>
      </w:tr>
      <w:tr>
        <w:tc>
          <w:tcPr>
            <w:tcW w:type="dxa" w:w="4680"/>
            <w:shd w:val="clear" w:color="auto" w:fill="F0F4F8"/>
          </w:tcPr>
          <w:p>
            <w:r>
              <w:rPr>
                <w:b/>
                <w:sz w:val="18"/>
              </w:rPr>
              <w:t>Initial Liquidity</w:t>
            </w:r>
          </w:p>
        </w:tc>
        <w:tc>
          <w:tcPr>
            <w:tcW w:type="dxa" w:w="4680"/>
          </w:tcPr>
          <w:p>
            <w:r>
              <w:rPr>
                <w:sz w:val="18"/>
              </w:rPr>
              <w:t>Uniswap V2 USDC/SIG Pool</w:t>
            </w:r>
          </w:p>
        </w:tc>
      </w:tr>
      <w:tr>
        <w:tc>
          <w:tcPr>
            <w:tcW w:type="dxa" w:w="4680"/>
            <w:shd w:val="clear" w:color="auto" w:fill="F0F4F8"/>
          </w:tcPr>
          <w:p>
            <w:r>
              <w:rPr>
                <w:b/>
                <w:sz w:val="18"/>
              </w:rPr>
              <w:t>Contract</w:t>
            </w:r>
          </w:p>
        </w:tc>
        <w:tc>
          <w:tcPr>
            <w:tcW w:type="dxa" w:w="4680"/>
          </w:tcPr>
          <w:p>
            <w:r>
              <w:rPr>
                <w:sz w:val="18"/>
              </w:rPr>
              <w:t>[Etherscan Verified Contract Address]</w:t>
            </w:r>
          </w:p>
        </w:tc>
      </w:tr>
    </w:tbl>
    <w:p/>
    <w:p>
      <w:pPr>
        <w:spacing w:before="120" w:after="120"/>
      </w:pPr>
      <w:r>
        <w:rPr>
          <w:b/>
          <w:i w:val="0"/>
          <w:color w:val="0D2240"/>
          <w:sz w:val="22"/>
        </w:rPr>
        <w:t>Token Allocation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2240"/>
          </w:tcPr>
          <w:p>
            <w:r>
              <w:rPr>
                <w:b/>
                <w:color w:val="C9A84C"/>
                <w:sz w:val="18"/>
              </w:rPr>
              <w:t>Category</w:t>
            </w:r>
          </w:p>
        </w:tc>
        <w:tc>
          <w:tcPr>
            <w:tcW w:type="dxa" w:w="3120"/>
            <w:shd w:val="clear" w:color="auto" w:fill="0D2240"/>
          </w:tcPr>
          <w:p>
            <w:r>
              <w:rPr>
                <w:b/>
                <w:color w:val="C9A84C"/>
                <w:sz w:val="18"/>
              </w:rPr>
              <w:t>Allocation</w:t>
            </w:r>
          </w:p>
        </w:tc>
        <w:tc>
          <w:tcPr>
            <w:tcW w:type="dxa" w:w="3120"/>
            <w:shd w:val="clear" w:color="auto" w:fill="0D2240"/>
          </w:tcPr>
          <w:p>
            <w:r>
              <w:rPr>
                <w:b/>
                <w:color w:val="C9A84C"/>
                <w:sz w:val="18"/>
              </w:rPr>
              <w:t>Notes</w:t>
            </w:r>
          </w:p>
        </w:tc>
      </w:tr>
      <w:tr>
        <w:tc>
          <w:tcPr>
            <w:tcW w:type="dxa" w:w="3120"/>
            <w:shd w:val="clear" w:color="auto" w:fill="F9FBFD"/>
          </w:tcPr>
          <w:p>
            <w:r>
              <w:rPr>
                <w:sz w:val="18"/>
              </w:rPr>
              <w:t>Ecosystem &amp; Liquidity</w:t>
            </w:r>
          </w:p>
        </w:tc>
        <w:tc>
          <w:tcPr>
            <w:tcW w:type="dxa" w:w="3120"/>
            <w:shd w:val="clear" w:color="auto" w:fill="F9FBFD"/>
          </w:tcPr>
          <w:p>
            <w:r>
              <w:rPr>
                <w:sz w:val="18"/>
              </w:rPr>
              <w:t>40%</w:t>
            </w:r>
          </w:p>
        </w:tc>
        <w:tc>
          <w:tcPr>
            <w:tcW w:type="dxa" w:w="3120"/>
            <w:shd w:val="clear" w:color="auto" w:fill="F9FBFD"/>
          </w:tcPr>
          <w:p>
            <w:r>
              <w:rPr>
                <w:sz w:val="18"/>
              </w:rPr>
              <w:t>Supporting DEX pools and payment infrastructure</w:t>
            </w:r>
          </w:p>
        </w:tc>
      </w:tr>
      <w:tr>
        <w:tc>
          <w:tcPr>
            <w:tcW w:type="dxa" w:w="3120"/>
          </w:tcPr>
          <w:p>
            <w:r>
              <w:rPr>
                <w:sz w:val="18"/>
              </w:rPr>
              <w:t>Company Reserve</w:t>
            </w:r>
          </w:p>
        </w:tc>
        <w:tc>
          <w:tcPr>
            <w:tcW w:type="dxa" w:w="3120"/>
          </w:tcPr>
          <w:p>
            <w:r>
              <w:rPr>
                <w:sz w:val="18"/>
              </w:rPr>
              <w:t>25%</w:t>
            </w:r>
          </w:p>
        </w:tc>
        <w:tc>
          <w:tcPr>
            <w:tcW w:type="dxa" w:w="3120"/>
          </w:tcPr>
          <w:p>
            <w:r>
              <w:rPr>
                <w:sz w:val="18"/>
              </w:rPr>
              <w:t>Locked for 24 months — operational reserves</w:t>
            </w:r>
          </w:p>
        </w:tc>
      </w:tr>
      <w:tr>
        <w:tc>
          <w:tcPr>
            <w:tcW w:type="dxa" w:w="3120"/>
            <w:shd w:val="clear" w:color="auto" w:fill="F9FBFD"/>
          </w:tcPr>
          <w:p>
            <w:r>
              <w:rPr>
                <w:sz w:val="18"/>
              </w:rPr>
              <w:t>Team &amp; Advisors</w:t>
            </w:r>
          </w:p>
        </w:tc>
        <w:tc>
          <w:tcPr>
            <w:tcW w:type="dxa" w:w="3120"/>
            <w:shd w:val="clear" w:color="auto" w:fill="F9FBFD"/>
          </w:tcPr>
          <w:p>
            <w:r>
              <w:rPr>
                <w:sz w:val="18"/>
              </w:rPr>
              <w:t>15%</w:t>
            </w:r>
          </w:p>
        </w:tc>
        <w:tc>
          <w:tcPr>
            <w:tcW w:type="dxa" w:w="3120"/>
            <w:shd w:val="clear" w:color="auto" w:fill="F9FBFD"/>
          </w:tcPr>
          <w:p>
            <w:r>
              <w:rPr>
                <w:sz w:val="18"/>
              </w:rPr>
              <w:t>Vested over 36 months — 12-month cliff</w:t>
            </w:r>
          </w:p>
        </w:tc>
      </w:tr>
      <w:tr>
        <w:tc>
          <w:tcPr>
            <w:tcW w:type="dxa" w:w="3120"/>
          </w:tcPr>
          <w:p>
            <w:r>
              <w:rPr>
                <w:sz w:val="18"/>
              </w:rPr>
              <w:t>Public Sale</w:t>
            </w:r>
          </w:p>
        </w:tc>
        <w:tc>
          <w:tcPr>
            <w:tcW w:type="dxa" w:w="3120"/>
          </w:tcPr>
          <w:p>
            <w:r>
              <w:rPr>
                <w:sz w:val="18"/>
              </w:rPr>
              <w:t>10%</w:t>
            </w:r>
          </w:p>
        </w:tc>
        <w:tc>
          <w:tcPr>
            <w:tcW w:type="dxa" w:w="3120"/>
          </w:tcPr>
          <w:p>
            <w:r>
              <w:rPr>
                <w:sz w:val="18"/>
              </w:rPr>
              <w:t>Available via DEX at launch</w:t>
            </w:r>
          </w:p>
        </w:tc>
      </w:tr>
      <w:tr>
        <w:tc>
          <w:tcPr>
            <w:tcW w:type="dxa" w:w="3120"/>
            <w:shd w:val="clear" w:color="auto" w:fill="F9FBFD"/>
          </w:tcPr>
          <w:p>
            <w:r>
              <w:rPr>
                <w:sz w:val="18"/>
              </w:rPr>
              <w:t>Partnerships</w:t>
            </w:r>
          </w:p>
        </w:tc>
        <w:tc>
          <w:tcPr>
            <w:tcW w:type="dxa" w:w="3120"/>
            <w:shd w:val="clear" w:color="auto" w:fill="F9FBFD"/>
          </w:tcPr>
          <w:p>
            <w:r>
              <w:rPr>
                <w:sz w:val="18"/>
              </w:rPr>
              <w:t>10%</w:t>
            </w:r>
          </w:p>
        </w:tc>
        <w:tc>
          <w:tcPr>
            <w:tcW w:type="dxa" w:w="3120"/>
            <w:shd w:val="clear" w:color="auto" w:fill="F9FBFD"/>
          </w:tcPr>
          <w:p>
            <w:r>
              <w:rPr>
                <w:sz w:val="18"/>
              </w:rPr>
              <w:t>Strategic integrations and exchange listings</w:t>
            </w:r>
          </w:p>
        </w:tc>
      </w:tr>
    </w:tbl>
    <w:p>
      <w:r>
        <w:br w:type="page"/>
      </w:r>
    </w:p>
    <w:p>
      <w:pPr>
        <w:pStyle w:val="Heading1"/>
      </w:pPr>
      <w:r>
        <w:rPr>
          <w:b/>
          <w:color w:val="0D2240"/>
          <w:sz w:val="40"/>
        </w:rPr>
        <w:t>4. Technology &amp; Infrastructure</w:t>
      </w:r>
    </w:p>
    <w:p>
      <w:pPr>
        <w:spacing w:before="80" w:after="80"/>
        <w:pBdr>
          <w:bottom w:val="single" w:sz="6" w:space="1" w:color="C9A84C"/>
        </w:pBdr>
      </w:pPr>
    </w:p>
    <w:p>
      <w:pPr>
        <w:spacing w:after="120"/>
      </w:pPr>
      <w:r>
        <w:rPr>
          <w:b w:val="0"/>
          <w:i w:val="0"/>
          <w:sz w:val="20"/>
        </w:rPr>
        <w:t>The SIG payment system is built on a proprietary FastAPI-based backend infrastructure with the following components:</w:t>
      </w:r>
    </w:p>
    <w:p>
      <w:pPr>
        <w:pStyle w:val="ListBullet"/>
        <w:spacing w:after="60"/>
      </w:pPr>
      <w:r>
        <w:rPr>
          <w:sz w:val="20"/>
        </w:rPr>
        <w:t>Payment Order Engine — Real-time fiat-to-crypto conversion and settlement</w:t>
      </w:r>
    </w:p>
    <w:p>
      <w:pPr>
        <w:pStyle w:val="ListBullet"/>
        <w:spacing w:after="60"/>
      </w:pPr>
      <w:r>
        <w:rPr>
          <w:sz w:val="20"/>
        </w:rPr>
        <w:t>M1 Tokenization Module — EUR → USD → SIG conversion with on-chain delivery</w:t>
      </w:r>
    </w:p>
    <w:p>
      <w:pPr>
        <w:pStyle w:val="ListBullet"/>
        <w:spacing w:after="60"/>
      </w:pPr>
      <w:r>
        <w:rPr>
          <w:sz w:val="20"/>
        </w:rPr>
        <w:t>Smart Contract Settlement — ERC-20 transfers via Ethereum and Base networks</w:t>
      </w:r>
    </w:p>
    <w:p>
      <w:pPr>
        <w:pStyle w:val="ListBullet"/>
        <w:spacing w:after="60"/>
      </w:pPr>
      <w:r>
        <w:rPr>
          <w:sz w:val="20"/>
        </w:rPr>
        <w:t>Admin Dashboard — Full transaction monitoring and private reporting suite</w:t>
      </w:r>
    </w:p>
    <w:p>
      <w:pPr>
        <w:pStyle w:val="ListBullet"/>
        <w:spacing w:after="60"/>
      </w:pPr>
      <w:r>
        <w:rPr>
          <w:sz w:val="20"/>
        </w:rPr>
        <w:t>Webhook &amp; Notification System — Real-time status updates via HTTPS callbacks</w:t>
      </w:r>
    </w:p>
    <w:p>
      <w:pPr>
        <w:pStyle w:val="ListBullet"/>
        <w:spacing w:after="60"/>
      </w:pPr>
      <w:r>
        <w:rPr>
          <w:sz w:val="20"/>
        </w:rPr>
        <w:t>Multi-Provider Support — Integrated with MoonPay, Circle USDC, Stripe, Alchemy</w:t>
      </w:r>
    </w:p>
    <w:p>
      <w:pPr>
        <w:pStyle w:val="Heading1"/>
      </w:pPr>
      <w:r>
        <w:rPr>
          <w:b/>
          <w:color w:val="0D2240"/>
          <w:sz w:val="40"/>
        </w:rPr>
        <w:t>5. Use Cases</w:t>
      </w:r>
    </w:p>
    <w:p>
      <w:pPr>
        <w:spacing w:before="80" w:after="80"/>
        <w:pBdr>
          <w:bottom w:val="single" w:sz="6" w:space="1" w:color="C9A84C"/>
        </w:pBdr>
      </w:pPr>
    </w:p>
    <w:p>
      <w:pPr>
        <w:spacing w:before="120" w:after="120"/>
      </w:pPr>
      <w:r>
        <w:rPr>
          <w:b/>
          <w:i w:val="0"/>
          <w:color w:val="0D2240"/>
          <w:sz w:val="20"/>
        </w:rPr>
        <w:t>Payment Settlement</w:t>
      </w:r>
    </w:p>
    <w:p>
      <w:pPr>
        <w:spacing w:after="60"/>
      </w:pPr>
      <w:r>
        <w:rPr>
          <w:b w:val="0"/>
          <w:i w:val="0"/>
          <w:sz w:val="20"/>
        </w:rPr>
        <w:t>SIG is used as the settlement asset for cross-border B2B payments processed through the ALSIG payment gateway.</w:t>
      </w:r>
    </w:p>
    <w:p>
      <w:pPr>
        <w:spacing w:before="120" w:after="120"/>
      </w:pPr>
      <w:r>
        <w:rPr>
          <w:b/>
          <w:i w:val="0"/>
          <w:color w:val="0D2240"/>
          <w:sz w:val="20"/>
        </w:rPr>
        <w:t>M1 Tokenization</w:t>
      </w:r>
    </w:p>
    <w:p>
      <w:pPr>
        <w:spacing w:after="60"/>
      </w:pPr>
      <w:r>
        <w:rPr>
          <w:b w:val="0"/>
          <w:i w:val="0"/>
          <w:sz w:val="20"/>
        </w:rPr>
        <w:t>EUR-denominated wire transfers from European banks are converted to SIG through the M1 Tokenization engine, providing instant liquidity.</w:t>
      </w:r>
    </w:p>
    <w:p>
      <w:pPr>
        <w:spacing w:before="120" w:after="120"/>
      </w:pPr>
      <w:r>
        <w:rPr>
          <w:b/>
          <w:i w:val="0"/>
          <w:color w:val="0D2240"/>
          <w:sz w:val="20"/>
        </w:rPr>
        <w:t>Treasury Management</w:t>
      </w:r>
    </w:p>
    <w:p>
      <w:pPr>
        <w:spacing w:after="60"/>
      </w:pPr>
      <w:r>
        <w:rPr>
          <w:b w:val="0"/>
          <w:i w:val="0"/>
          <w:sz w:val="20"/>
        </w:rPr>
        <w:t>Corporate clients hold SIG in their digital treasury accounts for rapid deployment in payment operations.</w:t>
      </w:r>
    </w:p>
    <w:p>
      <w:pPr>
        <w:spacing w:before="120" w:after="120"/>
      </w:pPr>
      <w:r>
        <w:rPr>
          <w:b/>
          <w:i w:val="0"/>
          <w:color w:val="0D2240"/>
          <w:sz w:val="20"/>
        </w:rPr>
        <w:t>Governance (Future)</w:t>
      </w:r>
    </w:p>
    <w:p>
      <w:pPr>
        <w:spacing w:after="60"/>
      </w:pPr>
      <w:r>
        <w:rPr>
          <w:b w:val="0"/>
          <w:i w:val="0"/>
          <w:sz w:val="20"/>
        </w:rPr>
        <w:t>SIG holders will participate in platform governance decisions including fee structures and new feature prioritization.</w:t>
      </w:r>
    </w:p>
    <w:p>
      <w:pPr>
        <w:spacing w:before="120" w:after="120"/>
      </w:pPr>
      <w:r>
        <w:rPr>
          <w:b/>
          <w:i w:val="0"/>
          <w:color w:val="0D2240"/>
          <w:sz w:val="20"/>
        </w:rPr>
        <w:t>Staking (Roadmap)</w:t>
      </w:r>
    </w:p>
    <w:p>
      <w:pPr>
        <w:spacing w:after="60"/>
      </w:pPr>
      <w:r>
        <w:rPr>
          <w:b w:val="0"/>
          <w:i w:val="0"/>
          <w:sz w:val="20"/>
        </w:rPr>
        <w:t>Future staking mechanism will allow SIG holders to earn yield proportional to platform transaction volume.</w:t>
      </w:r>
    </w:p>
    <w:p>
      <w:r>
        <w:br w:type="page"/>
      </w:r>
    </w:p>
    <w:p>
      <w:pPr>
        <w:pStyle w:val="Heading1"/>
      </w:pPr>
      <w:r>
        <w:rPr>
          <w:b/>
          <w:color w:val="0D2240"/>
          <w:sz w:val="40"/>
        </w:rPr>
        <w:t>6. Roadmap</w:t>
      </w:r>
    </w:p>
    <w:p>
      <w:pPr>
        <w:spacing w:before="80" w:after="80"/>
        <w:pBdr>
          <w:bottom w:val="single" w:sz="6" w:space="1" w:color="C9A84C"/>
        </w:pBdr>
      </w:pPr>
    </w:p>
    <w:p>
      <w:pPr>
        <w:spacing w:before="160" w:after="120"/>
      </w:pPr>
      <w:r>
        <w:rPr>
          <w:b/>
          <w:i w:val="0"/>
          <w:color w:val="C9A84C"/>
          <w:sz w:val="22"/>
        </w:rPr>
        <w:t>Q2 2026 ✓</w:t>
      </w:r>
    </w:p>
    <w:p>
      <w:pPr>
        <w:pStyle w:val="ListBullet"/>
        <w:spacing w:after="60"/>
      </w:pPr>
      <w:r>
        <w:rPr>
          <w:sz w:val="20"/>
        </w:rPr>
        <w:t>Token Generation Event (TGE) on Ethereum — June 17, 2026</w:t>
      </w:r>
    </w:p>
    <w:p>
      <w:pPr>
        <w:pStyle w:val="ListBullet"/>
        <w:spacing w:after="60"/>
      </w:pPr>
      <w:r>
        <w:rPr>
          <w:sz w:val="20"/>
        </w:rPr>
        <w:t>Uniswap V2 USDC/SIG liquidity pool launched</w:t>
      </w:r>
    </w:p>
    <w:p>
      <w:pPr>
        <w:pStyle w:val="ListBullet"/>
        <w:spacing w:after="60"/>
      </w:pPr>
      <w:r>
        <w:rPr>
          <w:sz w:val="20"/>
        </w:rPr>
        <w:t>Admin payment dashboard deployed on Render</w:t>
      </w:r>
    </w:p>
    <w:p>
      <w:pPr>
        <w:spacing w:before="160" w:after="120"/>
      </w:pPr>
      <w:r>
        <w:rPr>
          <w:b/>
          <w:i w:val="0"/>
          <w:color w:val="C9A84C"/>
          <w:sz w:val="22"/>
        </w:rPr>
        <w:t>Q3 2026</w:t>
      </w:r>
    </w:p>
    <w:p>
      <w:pPr>
        <w:pStyle w:val="ListBullet"/>
        <w:spacing w:after="60"/>
      </w:pPr>
      <w:r>
        <w:rPr>
          <w:sz w:val="20"/>
        </w:rPr>
        <w:t>CoinGecko &amp; CoinMarketCap listing</w:t>
      </w:r>
    </w:p>
    <w:p>
      <w:pPr>
        <w:pStyle w:val="ListBullet"/>
        <w:spacing w:after="60"/>
      </w:pPr>
      <w:r>
        <w:rPr>
          <w:sz w:val="20"/>
        </w:rPr>
        <w:t>Base network deployment for lower-cost transactions</w:t>
      </w:r>
    </w:p>
    <w:p>
      <w:pPr>
        <w:pStyle w:val="ListBullet"/>
        <w:spacing w:after="60"/>
      </w:pPr>
      <w:r>
        <w:rPr>
          <w:sz w:val="20"/>
        </w:rPr>
        <w:t>Mobile app for SIG wallet management</w:t>
      </w:r>
    </w:p>
    <w:p>
      <w:pPr>
        <w:pStyle w:val="ListBullet"/>
        <w:spacing w:after="60"/>
      </w:pPr>
      <w:r>
        <w:rPr>
          <w:sz w:val="20"/>
        </w:rPr>
        <w:t>First CEX listing negotiations</w:t>
      </w:r>
    </w:p>
    <w:p>
      <w:pPr>
        <w:spacing w:before="160" w:after="120"/>
      </w:pPr>
      <w:r>
        <w:rPr>
          <w:b/>
          <w:i w:val="0"/>
          <w:color w:val="C9A84C"/>
          <w:sz w:val="22"/>
        </w:rPr>
        <w:t>Q4 2026</w:t>
      </w:r>
    </w:p>
    <w:p>
      <w:pPr>
        <w:pStyle w:val="ListBullet"/>
        <w:spacing w:after="60"/>
      </w:pPr>
      <w:r>
        <w:rPr>
          <w:sz w:val="20"/>
        </w:rPr>
        <w:t>SIG staking protocol launch</w:t>
      </w:r>
    </w:p>
    <w:p>
      <w:pPr>
        <w:pStyle w:val="ListBullet"/>
        <w:spacing w:after="60"/>
      </w:pPr>
      <w:r>
        <w:rPr>
          <w:sz w:val="20"/>
        </w:rPr>
        <w:t>Governance module activation</w:t>
      </w:r>
    </w:p>
    <w:p>
      <w:pPr>
        <w:pStyle w:val="ListBullet"/>
        <w:spacing w:after="60"/>
      </w:pPr>
      <w:r>
        <w:rPr>
          <w:sz w:val="20"/>
        </w:rPr>
        <w:t>Expansion to 3 additional DEX platforms</w:t>
      </w:r>
    </w:p>
    <w:p>
      <w:pPr>
        <w:pStyle w:val="ListBullet"/>
        <w:spacing w:after="60"/>
      </w:pPr>
      <w:r>
        <w:rPr>
          <w:sz w:val="20"/>
        </w:rPr>
        <w:t>Institutional OTC desk for SIG</w:t>
      </w:r>
    </w:p>
    <w:p>
      <w:pPr>
        <w:spacing w:before="160" w:after="120"/>
      </w:pPr>
      <w:r>
        <w:rPr>
          <w:b/>
          <w:i w:val="0"/>
          <w:color w:val="C9A84C"/>
          <w:sz w:val="22"/>
        </w:rPr>
        <w:t>Q1 2027</w:t>
      </w:r>
    </w:p>
    <w:p>
      <w:pPr>
        <w:pStyle w:val="ListBullet"/>
        <w:spacing w:after="60"/>
      </w:pPr>
      <w:r>
        <w:rPr>
          <w:sz w:val="20"/>
        </w:rPr>
        <w:t>SIG payment gateway open to third-party merchants</w:t>
      </w:r>
    </w:p>
    <w:p>
      <w:pPr>
        <w:pStyle w:val="ListBullet"/>
        <w:spacing w:after="60"/>
      </w:pPr>
      <w:r>
        <w:rPr>
          <w:sz w:val="20"/>
        </w:rPr>
        <w:t>API SDK for payment integration</w:t>
      </w:r>
    </w:p>
    <w:p>
      <w:pPr>
        <w:pStyle w:val="ListBullet"/>
        <w:spacing w:after="60"/>
      </w:pPr>
      <w:r>
        <w:rPr>
          <w:sz w:val="20"/>
        </w:rPr>
        <w:t>Regulatory approval (VARA UAE)</w:t>
      </w:r>
    </w:p>
    <w:p>
      <w:pPr>
        <w:pStyle w:val="Heading1"/>
      </w:pPr>
      <w:r>
        <w:rPr>
          <w:b/>
          <w:color w:val="0D2240"/>
          <w:sz w:val="40"/>
        </w:rPr>
        <w:t>7. Legal &amp; Compliance</w:t>
      </w:r>
    </w:p>
    <w:p>
      <w:pPr>
        <w:spacing w:before="80" w:after="80"/>
        <w:pBdr>
          <w:bottom w:val="single" w:sz="6" w:space="1" w:color="C9A84C"/>
        </w:pBdr>
      </w:pPr>
    </w:p>
    <w:p>
      <w:pPr>
        <w:spacing w:after="120"/>
      </w:pPr>
      <w:r>
        <w:rPr>
          <w:b w:val="0"/>
          <w:i w:val="0"/>
          <w:sz w:val="20"/>
        </w:rPr>
        <w:t>Al Shumookh International Group operates in full compliance with UAE financial regulations. The SIG Token is a utility token and does not constitute a security, investment contract, or financial instrument under UAE law.</w:t>
      </w:r>
    </w:p>
    <w:p>
      <w:pPr>
        <w:spacing w:after="120"/>
      </w:pPr>
      <w:r>
        <w:rPr>
          <w:b w:val="0"/>
          <w:i/>
          <w:color w:val="55657A"/>
          <w:sz w:val="18"/>
        </w:rPr>
        <w:t>Risk Disclosure: Cryptocurrency investments carry significant risk. The value of SIG may fluctuate. Past performance does not guarantee future results. This document is for informational purposes only and does not constitute investment advice.</w:t>
      </w:r>
    </w:p>
    <w:p>
      <w:pPr>
        <w:spacing w:before="80" w:after="80"/>
        <w:pBdr>
          <w:bottom w:val="single" w:sz="6" w:space="1" w:color="C9A84C"/>
        </w:pBdr>
      </w:pPr>
    </w:p>
    <w:p>
      <w:pPr>
        <w:spacing w:after="120"/>
        <w:jc w:val="center"/>
      </w:pPr>
      <w:r>
        <w:rPr>
          <w:b w:val="0"/>
          <w:i w:val="0"/>
          <w:color w:val="55657A"/>
          <w:sz w:val="16"/>
        </w:rPr>
        <w:t>Al Shumookh International Group  ·  Dubai, UAE  ·  BIC: ALSHAEXXXX  ·  June 18, 2026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