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C9A227"/>
      </w:pPr>
      <w:r>
        <w:rPr>
          <w:rFonts w:ascii="Calibri" w:hAnsi="Calibri"/>
          <w:b w:val="0"/>
          <w:i w:val="0"/>
          <w:sz w:val="8"/>
        </w:rPr>
        <w:t xml:space="preserve">                                                                                                                        </w:t>
      </w:r>
    </w:p>
    <w:p>
      <w:pPr>
        <w:spacing w:before="0" w:after="0"/>
        <w:shd w:val="clear" w:color="auto" w:fill="0A1A35"/>
      </w:pPr>
      <w:r>
        <w:rPr>
          <w:rFonts w:ascii="Calibri" w:hAnsi="Calibri"/>
          <w:b w:val="0"/>
          <w:i w:val="0"/>
          <w:sz w:val="16"/>
        </w:rPr>
        <w:t xml:space="preserve"> </w:t>
      </w:r>
    </w:p>
    <w:p>
      <w:pPr>
        <w:spacing w:before="0" w:after="0"/>
        <w:shd w:val="clear" w:color="auto" w:fill="0A1A35"/>
      </w:pPr>
      <w:r>
        <w:rPr>
          <w:rFonts w:ascii="Calibri" w:hAnsi="Calibri"/>
          <w:b w:val="0"/>
          <w:i w:val="0"/>
          <w:sz w:val="16"/>
        </w:rPr>
        <w:t xml:space="preserve"> </w:t>
      </w:r>
    </w:p>
    <w:p>
      <w:pPr>
        <w:spacing w:before="0" w:after="0"/>
        <w:shd w:val="clear" w:color="auto" w:fill="0A1A35"/>
        <w:jc w:val="center"/>
      </w:pPr>
      <w:r>
        <w:rPr>
          <w:rFonts w:ascii="Calibri" w:hAnsi="Calibri"/>
          <w:b/>
          <w:i w:val="0"/>
          <w:color w:val="C9A227"/>
          <w:sz w:val="18"/>
        </w:rPr>
        <w:t>OFFICIAL TOKEN DOCUMENTATION</w:t>
      </w:r>
    </w:p>
    <w:p>
      <w:pPr>
        <w:spacing w:before="0" w:after="0"/>
        <w:shd w:val="clear" w:color="auto" w:fill="0A1A35"/>
      </w:pPr>
      <w:r>
        <w:rPr>
          <w:rFonts w:ascii="Calibri" w:hAnsi="Calibri"/>
          <w:b w:val="0"/>
          <w:i w:val="0"/>
          <w:sz w:val="16"/>
        </w:rPr>
        <w:t xml:space="preserve"> </w:t>
      </w:r>
    </w:p>
    <w:p>
      <w:pPr>
        <w:spacing w:before="0" w:after="0"/>
        <w:shd w:val="clear" w:color="auto" w:fill="0A1A35"/>
      </w:pPr>
      <w:r>
        <w:rPr>
          <w:rFonts w:ascii="Calibri" w:hAnsi="Calibri"/>
          <w:b w:val="0"/>
          <w:i w:val="0"/>
          <w:sz w:val="16"/>
        </w:rPr>
        <w:t xml:space="preserve"> </w:t>
      </w:r>
    </w:p>
    <w:p>
      <w:pPr>
        <w:spacing w:before="0" w:after="0"/>
        <w:shd w:val="clear" w:color="auto" w:fill="0A1A35"/>
      </w:pPr>
      <w:r>
        <w:rPr>
          <w:rFonts w:ascii="Calibri" w:hAnsi="Calibri"/>
          <w:b w:val="0"/>
          <w:i w:val="0"/>
          <w:sz w:val="16"/>
        </w:rPr>
        <w:t xml:space="preserve"> </w:t>
      </w:r>
    </w:p>
    <w:p>
      <w:pPr>
        <w:spacing w:before="0" w:after="0"/>
        <w:shd w:val="clear" w:color="auto" w:fill="0A1A35"/>
        <w:jc w:val="center"/>
      </w:pPr>
      <w:r>
        <w:rPr>
          <w:rFonts w:ascii="Calibri" w:hAnsi="Calibri"/>
          <w:b/>
          <w:i w:val="0"/>
          <w:color w:val="FFFFFF"/>
          <w:sz w:val="52"/>
        </w:rPr>
        <w:t>Al Shumookh International Group Token</w:t>
      </w:r>
    </w:p>
    <w:p>
      <w:pPr>
        <w:spacing w:before="0" w:after="0"/>
        <w:shd w:val="clear" w:color="auto" w:fill="0A1A35"/>
        <w:jc w:val="center"/>
      </w:pPr>
      <w:r>
        <w:rPr>
          <w:rFonts w:ascii="Calibri" w:hAnsi="Calibri"/>
          <w:b/>
          <w:i w:val="0"/>
          <w:color w:val="C9A227"/>
          <w:sz w:val="104"/>
        </w:rPr>
        <w:t>SIG</w:t>
      </w:r>
    </w:p>
    <w:p>
      <w:pPr>
        <w:spacing w:before="0" w:after="0"/>
        <w:shd w:val="clear" w:color="auto" w:fill="0A1A35"/>
      </w:pPr>
      <w:r>
        <w:rPr>
          <w:rFonts w:ascii="Calibri" w:hAnsi="Calibri"/>
          <w:b w:val="0"/>
          <w:i w:val="0"/>
          <w:sz w:val="16"/>
        </w:rPr>
        <w:t xml:space="preserve"> </w:t>
      </w:r>
    </w:p>
    <w:p>
      <w:pPr>
        <w:spacing w:before="0" w:after="0"/>
        <w:shd w:val="clear" w:color="auto" w:fill="0A1A35"/>
      </w:pPr>
      <w:r>
        <w:rPr>
          <w:rFonts w:ascii="Calibri" w:hAnsi="Calibri"/>
          <w:b w:val="0"/>
          <w:i w:val="0"/>
          <w:sz w:val="16"/>
        </w:rPr>
        <w:t xml:space="preserve"> </w:t>
      </w:r>
    </w:p>
    <w:p>
      <w:pPr>
        <w:spacing w:before="0" w:after="0"/>
        <w:shd w:val="clear" w:color="auto" w:fill="0A1A35"/>
        <w:jc w:val="center"/>
      </w:pPr>
      <w:r>
        <w:rPr>
          <w:rFonts w:ascii="Calibri" w:hAnsi="Calibri"/>
          <w:b w:val="0"/>
          <w:i/>
          <w:color w:val="94A3B8"/>
          <w:sz w:val="22"/>
        </w:rPr>
        <w:t>Token Whitepaper  ·  Version 1.0  ·  June 18, 2026</w:t>
      </w:r>
    </w:p>
    <w:p>
      <w:pPr>
        <w:spacing w:before="0" w:after="0"/>
        <w:shd w:val="clear" w:color="auto" w:fill="0A1A35"/>
      </w:pPr>
      <w:r>
        <w:rPr>
          <w:rFonts w:ascii="Calibri" w:hAnsi="Calibri"/>
          <w:b w:val="0"/>
          <w:i w:val="0"/>
          <w:sz w:val="16"/>
        </w:rPr>
        <w:t xml:space="preserve"> </w:t>
      </w:r>
    </w:p>
    <w:p>
      <w:pPr>
        <w:spacing w:before="0" w:after="0"/>
        <w:shd w:val="clear" w:color="auto" w:fill="0A1A35"/>
      </w:pPr>
      <w:r>
        <w:rPr>
          <w:rFonts w:ascii="Calibri" w:hAnsi="Calibri"/>
          <w:b w:val="0"/>
          <w:i w:val="0"/>
          <w:sz w:val="16"/>
        </w:rPr>
        <w:t xml:space="preserve"> </w:t>
      </w:r>
    </w:p>
    <w:p>
      <w:pPr>
        <w:spacing w:before="0" w:after="0"/>
        <w:shd w:val="clear" w:color="auto" w:fill="0A1A35"/>
      </w:pPr>
      <w:r>
        <w:rPr>
          <w:rFonts w:ascii="Calibri" w:hAnsi="Calibri"/>
          <w:b w:val="0"/>
          <w:i w:val="0"/>
          <w:sz w:val="16"/>
        </w:rPr>
        <w:t xml:space="preserve"> </w:t>
      </w:r>
    </w:p>
    <w:p>
      <w:pPr>
        <w:spacing w:before="0" w:after="0"/>
        <w:shd w:val="clear" w:color="auto" w:fill="C9A227"/>
      </w:pPr>
      <w:r>
        <w:rPr>
          <w:rFonts w:ascii="Calibri" w:hAnsi="Calibri"/>
          <w:b w:val="0"/>
          <w:i w:val="0"/>
          <w:sz w:val="8"/>
        </w:rPr>
        <w:t xml:space="preserve">                                                                                                                        </w:t>
      </w:r>
    </w:p>
    <w:p>
      <w:pPr>
        <w:spacing w:after="320"/>
      </w:pP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bl>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0A1A35"/>
            <w:tcMar>
              <w:top w:w="80" w:type="dxa"/>
              <w:bottom w:w="80" w:type="dxa"/>
              <w:left w:w="160" w:type="dxa"/>
              <w:right w:w="160" w:type="dxa"/>
            </w:tcMar>
            <w:vAlign w:val="center"/>
          </w:tcPr>
          <w:p>
            <w:pPr>
              <w:jc w:val="left"/>
            </w:pPr>
            <w:r>
              <w:rPr>
                <w:rFonts w:ascii="Calibri" w:hAnsi="Calibri"/>
                <w:b/>
                <w:i w:val="0"/>
                <w:color w:val="C9A227"/>
                <w:sz w:val="18"/>
              </w:rPr>
              <w:t>Blockchain</w:t>
            </w:r>
          </w:p>
        </w:tc>
        <w:tc>
          <w:tcPr>
            <w:tcW w:type="dxa" w:w="4320"/>
            <w:shd w:val="clear" w:color="auto" w:fill="EBF2FA"/>
            <w:tcMar>
              <w:top w:w="80" w:type="dxa"/>
              <w:bottom w:w="80" w:type="dxa"/>
              <w:left w:w="160" w:type="dxa"/>
              <w:right w:w="160" w:type="dxa"/>
            </w:tcMar>
            <w:vAlign w:val="center"/>
          </w:tcPr>
          <w:p>
            <w:r>
              <w:rPr>
                <w:rFonts w:ascii="Calibri" w:hAnsi="Calibri"/>
                <w:b/>
                <w:i w:val="0"/>
                <w:color w:val="0A1A35"/>
                <w:sz w:val="18"/>
              </w:rPr>
              <w:t>Ethereum  (ERC-20)</w:t>
            </w:r>
          </w:p>
        </w:tc>
        <w:tc>
          <w:tcPr>
            <w:tcW w:type="dxa" w:w="2448"/>
            <w:shd w:val="clear" w:color="auto" w:fill="EBF2FA"/>
            <w:tcMar>
              <w:top w:w="80" w:type="dxa"/>
              <w:bottom w:w="80" w:type="dxa"/>
              <w:left w:w="160" w:type="dxa"/>
              <w:right w:w="160" w:type="dxa"/>
            </w:tcMar>
            <w:vAlign w:val="center"/>
          </w:tcPr>
          <w:p>
            <w:r>
              <w:rPr>
                <w:rFonts w:ascii="Calibri" w:hAnsi="Calibri"/>
                <w:b w:val="0"/>
                <w:i/>
                <w:color w:val="55657A"/>
                <w:sz w:val="16"/>
              </w:rPr>
              <w:t>Network</w:t>
            </w:r>
          </w:p>
        </w:tc>
      </w:tr>
      <w:tr>
        <w:tc>
          <w:tcPr>
            <w:tcW w:type="dxa" w:w="2592"/>
            <w:shd w:val="clear" w:color="auto" w:fill="0A1A35"/>
            <w:tcMar>
              <w:top w:w="80" w:type="dxa"/>
              <w:bottom w:w="80" w:type="dxa"/>
              <w:left w:w="160" w:type="dxa"/>
              <w:right w:w="160" w:type="dxa"/>
            </w:tcMar>
            <w:vAlign w:val="center"/>
          </w:tcPr>
          <w:p>
            <w:pPr>
              <w:jc w:val="left"/>
            </w:pPr>
            <w:r>
              <w:rPr>
                <w:rFonts w:ascii="Calibri" w:hAnsi="Calibri"/>
                <w:b/>
                <w:i w:val="0"/>
                <w:color w:val="C9A227"/>
                <w:sz w:val="18"/>
              </w:rPr>
              <w:t>DEX Listing</w:t>
            </w:r>
          </w:p>
        </w:tc>
        <w:tc>
          <w:tcPr>
            <w:tcW w:type="dxa" w:w="4320"/>
            <w:shd w:val="clear" w:color="auto" w:fill="FFFFFF"/>
            <w:tcMar>
              <w:top w:w="80" w:type="dxa"/>
              <w:bottom w:w="80" w:type="dxa"/>
              <w:left w:w="160" w:type="dxa"/>
              <w:right w:w="160" w:type="dxa"/>
            </w:tcMar>
            <w:vAlign w:val="center"/>
          </w:tcPr>
          <w:p>
            <w:r>
              <w:rPr>
                <w:rFonts w:ascii="Calibri" w:hAnsi="Calibri"/>
                <w:b/>
                <w:i w:val="0"/>
                <w:color w:val="0A1A35"/>
                <w:sz w:val="18"/>
              </w:rPr>
              <w:t>Uniswap V2 USDC/SIG</w:t>
            </w:r>
          </w:p>
        </w:tc>
        <w:tc>
          <w:tcPr>
            <w:tcW w:type="dxa" w:w="2448"/>
            <w:shd w:val="clear" w:color="auto" w:fill="FFFFFF"/>
            <w:tcMar>
              <w:top w:w="80" w:type="dxa"/>
              <w:bottom w:w="80" w:type="dxa"/>
              <w:left w:w="160" w:type="dxa"/>
              <w:right w:w="160" w:type="dxa"/>
            </w:tcMar>
            <w:vAlign w:val="center"/>
          </w:tcPr>
          <w:p>
            <w:r>
              <w:rPr>
                <w:rFonts w:ascii="Calibri" w:hAnsi="Calibri"/>
                <w:b w:val="0"/>
                <w:i/>
                <w:color w:val="55657A"/>
                <w:sz w:val="16"/>
              </w:rPr>
              <w:t>Exchange</w:t>
            </w:r>
          </w:p>
        </w:tc>
      </w:tr>
      <w:tr>
        <w:tc>
          <w:tcPr>
            <w:tcW w:type="dxa" w:w="2592"/>
            <w:shd w:val="clear" w:color="auto" w:fill="0A1A35"/>
            <w:tcMar>
              <w:top w:w="80" w:type="dxa"/>
              <w:bottom w:w="80" w:type="dxa"/>
              <w:left w:w="160" w:type="dxa"/>
              <w:right w:w="160" w:type="dxa"/>
            </w:tcMar>
            <w:vAlign w:val="center"/>
          </w:tcPr>
          <w:p>
            <w:pPr>
              <w:jc w:val="left"/>
            </w:pPr>
            <w:r>
              <w:rPr>
                <w:rFonts w:ascii="Calibri" w:hAnsi="Calibri"/>
                <w:b/>
                <w:i w:val="0"/>
                <w:color w:val="C9A227"/>
                <w:sz w:val="18"/>
              </w:rPr>
              <w:t>Incorporated</w:t>
            </w:r>
          </w:p>
        </w:tc>
        <w:tc>
          <w:tcPr>
            <w:tcW w:type="dxa" w:w="4320"/>
            <w:shd w:val="clear" w:color="auto" w:fill="EBF2FA"/>
            <w:tcMar>
              <w:top w:w="80" w:type="dxa"/>
              <w:bottom w:w="80" w:type="dxa"/>
              <w:left w:w="160" w:type="dxa"/>
              <w:right w:w="160" w:type="dxa"/>
            </w:tcMar>
            <w:vAlign w:val="center"/>
          </w:tcPr>
          <w:p>
            <w:r>
              <w:rPr>
                <w:rFonts w:ascii="Calibri" w:hAnsi="Calibri"/>
                <w:b/>
                <w:i w:val="0"/>
                <w:color w:val="0A1A35"/>
                <w:sz w:val="18"/>
              </w:rPr>
              <w:t>Dubai, UAE</w:t>
            </w:r>
          </w:p>
        </w:tc>
        <w:tc>
          <w:tcPr>
            <w:tcW w:type="dxa" w:w="2448"/>
            <w:shd w:val="clear" w:color="auto" w:fill="EBF2FA"/>
            <w:tcMar>
              <w:top w:w="80" w:type="dxa"/>
              <w:bottom w:w="80" w:type="dxa"/>
              <w:left w:w="160" w:type="dxa"/>
              <w:right w:w="160" w:type="dxa"/>
            </w:tcMar>
            <w:vAlign w:val="center"/>
          </w:tcPr>
          <w:p>
            <w:r>
              <w:rPr>
                <w:rFonts w:ascii="Calibri" w:hAnsi="Calibri"/>
                <w:b w:val="0"/>
                <w:i/>
                <w:color w:val="55657A"/>
                <w:sz w:val="16"/>
              </w:rPr>
              <w:t>Jurisdiction</w:t>
            </w:r>
          </w:p>
        </w:tc>
      </w:tr>
      <w:tr>
        <w:tc>
          <w:tcPr>
            <w:tcW w:type="dxa" w:w="2592"/>
            <w:shd w:val="clear" w:color="auto" w:fill="0A1A35"/>
            <w:tcMar>
              <w:top w:w="80" w:type="dxa"/>
              <w:bottom w:w="80" w:type="dxa"/>
              <w:left w:w="160" w:type="dxa"/>
              <w:right w:w="160" w:type="dxa"/>
            </w:tcMar>
            <w:vAlign w:val="center"/>
          </w:tcPr>
          <w:p>
            <w:pPr>
              <w:jc w:val="left"/>
            </w:pPr>
            <w:r>
              <w:rPr>
                <w:rFonts w:ascii="Calibri" w:hAnsi="Calibri"/>
                <w:b/>
                <w:i w:val="0"/>
                <w:color w:val="C9A227"/>
                <w:sz w:val="18"/>
              </w:rPr>
              <w:t>Total Supply</w:t>
            </w:r>
          </w:p>
        </w:tc>
        <w:tc>
          <w:tcPr>
            <w:tcW w:type="dxa" w:w="4320"/>
            <w:shd w:val="clear" w:color="auto" w:fill="FFFFFF"/>
            <w:tcMar>
              <w:top w:w="80" w:type="dxa"/>
              <w:bottom w:w="80" w:type="dxa"/>
              <w:left w:w="160" w:type="dxa"/>
              <w:right w:w="160" w:type="dxa"/>
            </w:tcMar>
            <w:vAlign w:val="center"/>
          </w:tcPr>
          <w:p>
            <w:r>
              <w:rPr>
                <w:rFonts w:ascii="Calibri" w:hAnsi="Calibri"/>
                <w:b/>
                <w:i w:val="0"/>
                <w:color w:val="0A1A35"/>
                <w:sz w:val="18"/>
              </w:rPr>
              <w:t>1,000,000,000 SIG</w:t>
            </w:r>
          </w:p>
        </w:tc>
        <w:tc>
          <w:tcPr>
            <w:tcW w:type="dxa" w:w="2448"/>
            <w:shd w:val="clear" w:color="auto" w:fill="FFFFFF"/>
            <w:tcMar>
              <w:top w:w="80" w:type="dxa"/>
              <w:bottom w:w="80" w:type="dxa"/>
              <w:left w:w="160" w:type="dxa"/>
              <w:right w:w="160" w:type="dxa"/>
            </w:tcMar>
            <w:vAlign w:val="center"/>
          </w:tcPr>
          <w:p>
            <w:r>
              <w:rPr>
                <w:rFonts w:ascii="Calibri" w:hAnsi="Calibri"/>
                <w:b w:val="0"/>
                <w:i/>
                <w:color w:val="55657A"/>
                <w:sz w:val="16"/>
              </w:rPr>
              <w:t>Fixed — No Minting</w:t>
            </w:r>
          </w:p>
        </w:tc>
      </w:tr>
      <w:tr>
        <w:tc>
          <w:tcPr>
            <w:tcW w:type="dxa" w:w="2592"/>
            <w:shd w:val="clear" w:color="auto" w:fill="0A1A35"/>
            <w:tcMar>
              <w:top w:w="80" w:type="dxa"/>
              <w:bottom w:w="80" w:type="dxa"/>
              <w:left w:w="160" w:type="dxa"/>
              <w:right w:w="160" w:type="dxa"/>
            </w:tcMar>
            <w:vAlign w:val="center"/>
          </w:tcPr>
          <w:p>
            <w:pPr>
              <w:jc w:val="left"/>
            </w:pPr>
            <w:r>
              <w:rPr>
                <w:rFonts w:ascii="Calibri" w:hAnsi="Calibri"/>
                <w:b/>
                <w:i w:val="0"/>
                <w:color w:val="C9A227"/>
                <w:sz w:val="18"/>
              </w:rPr>
              <w:t>Issue Date</w:t>
            </w:r>
          </w:p>
        </w:tc>
        <w:tc>
          <w:tcPr>
            <w:tcW w:type="dxa" w:w="4320"/>
            <w:shd w:val="clear" w:color="auto" w:fill="EBF2FA"/>
            <w:tcMar>
              <w:top w:w="80" w:type="dxa"/>
              <w:bottom w:w="80" w:type="dxa"/>
              <w:left w:w="160" w:type="dxa"/>
              <w:right w:w="160" w:type="dxa"/>
            </w:tcMar>
            <w:vAlign w:val="center"/>
          </w:tcPr>
          <w:p>
            <w:r>
              <w:rPr>
                <w:rFonts w:ascii="Calibri" w:hAnsi="Calibri"/>
                <w:b/>
                <w:i w:val="0"/>
                <w:color w:val="0A1A35"/>
                <w:sz w:val="18"/>
              </w:rPr>
              <w:t>June 17, 2026</w:t>
            </w:r>
          </w:p>
        </w:tc>
        <w:tc>
          <w:tcPr>
            <w:tcW w:type="dxa" w:w="2448"/>
            <w:shd w:val="clear" w:color="auto" w:fill="EBF2FA"/>
            <w:tcMar>
              <w:top w:w="80" w:type="dxa"/>
              <w:bottom w:w="80" w:type="dxa"/>
              <w:left w:w="160" w:type="dxa"/>
              <w:right w:w="160" w:type="dxa"/>
            </w:tcMar>
            <w:vAlign w:val="center"/>
          </w:tcPr>
          <w:p>
            <w:r>
              <w:rPr>
                <w:rFonts w:ascii="Calibri" w:hAnsi="Calibri"/>
                <w:b w:val="0"/>
                <w:i/>
                <w:color w:val="55657A"/>
                <w:sz w:val="16"/>
              </w:rPr>
              <w:t>TGE Date</w:t>
            </w:r>
          </w:p>
        </w:tc>
      </w:tr>
      <w:tr>
        <w:tc>
          <w:tcPr>
            <w:tcW w:type="dxa" w:w="2592"/>
            <w:shd w:val="clear" w:color="auto" w:fill="0A1A35"/>
            <w:tcMar>
              <w:top w:w="80" w:type="dxa"/>
              <w:bottom w:w="80" w:type="dxa"/>
              <w:left w:w="160" w:type="dxa"/>
              <w:right w:w="160" w:type="dxa"/>
            </w:tcMar>
            <w:vAlign w:val="center"/>
          </w:tcPr>
          <w:p>
            <w:pPr>
              <w:jc w:val="left"/>
            </w:pPr>
            <w:r>
              <w:rPr>
                <w:rFonts w:ascii="Calibri" w:hAnsi="Calibri"/>
                <w:b/>
                <w:i w:val="0"/>
                <w:color w:val="C9A227"/>
                <w:sz w:val="18"/>
              </w:rPr>
              <w:t>Recognition</w:t>
            </w:r>
          </w:p>
        </w:tc>
        <w:tc>
          <w:tcPr>
            <w:tcW w:type="dxa" w:w="4320"/>
            <w:shd w:val="clear" w:color="auto" w:fill="FFFFFF"/>
            <w:tcMar>
              <w:top w:w="80" w:type="dxa"/>
              <w:bottom w:w="80" w:type="dxa"/>
              <w:left w:w="160" w:type="dxa"/>
              <w:right w:w="160" w:type="dxa"/>
            </w:tcMar>
            <w:vAlign w:val="center"/>
          </w:tcPr>
          <w:p>
            <w:r>
              <w:rPr>
                <w:rFonts w:ascii="Calibri" w:hAnsi="Calibri"/>
                <w:b/>
                <w:i w:val="0"/>
                <w:color w:val="0A1A35"/>
                <w:sz w:val="18"/>
              </w:rPr>
              <w:t>Taqdeer Award 2022</w:t>
            </w:r>
          </w:p>
        </w:tc>
        <w:tc>
          <w:tcPr>
            <w:tcW w:type="dxa" w:w="2448"/>
            <w:shd w:val="clear" w:color="auto" w:fill="FFFFFF"/>
            <w:tcMar>
              <w:top w:w="80" w:type="dxa"/>
              <w:bottom w:w="80" w:type="dxa"/>
              <w:left w:w="160" w:type="dxa"/>
              <w:right w:w="160" w:type="dxa"/>
            </w:tcMar>
            <w:vAlign w:val="center"/>
          </w:tcPr>
          <w:p>
            <w:r>
              <w:rPr>
                <w:rFonts w:ascii="Calibri" w:hAnsi="Calibri"/>
                <w:b w:val="0"/>
                <w:i/>
                <w:color w:val="55657A"/>
                <w:sz w:val="16"/>
              </w:rPr>
              <w:t>Dubai — UAE</w:t>
            </w:r>
          </w:p>
        </w:tc>
      </w:tr>
    </w:tbl>
    <w:p>
      <w:pPr>
        <w:spacing w:after="200"/>
      </w:pPr>
    </w:p>
    <w:p>
      <w:pPr>
        <w:spacing w:before="160" w:after="80"/>
      </w:pPr>
      <w:r>
        <w:rPr>
          <w:rFonts w:ascii="Calibri" w:hAnsi="Calibri"/>
          <w:b w:val="0"/>
          <w:i/>
          <w:color w:val="94A3B8"/>
          <w:sz w:val="16"/>
        </w:rPr>
        <w:t>This document is confidential and intended solely for the recipient. The information contained herein does not constitute investment advice or a solicitation to purchase securities.</w:t>
      </w:r>
    </w:p>
    <w:p>
      <w:r>
        <w:br w:type="page"/>
      </w:r>
    </w:p>
    <w:p>
      <w:pPr>
        <w:spacing w:before="280" w:after="160"/>
        <w:shd w:val="clear" w:color="auto" w:fill="0A1A35"/>
        <w:ind w:left="0" w:right="0"/>
      </w:pPr>
      <w:r>
        <w:rPr>
          <w:rFonts w:ascii="Calibri" w:hAnsi="Calibri"/>
          <w:b/>
          <w:i w:val="0"/>
          <w:color w:val="C9A227"/>
          <w:sz w:val="26"/>
        </w:rPr>
        <w:t xml:space="preserve">  01  —  EXECUTIVE SUMMARY</w:t>
      </w:r>
    </w:p>
    <w:p>
      <w:pPr>
        <w:spacing w:before="0" w:after="160"/>
      </w:pPr>
      <w:r>
        <w:rPr>
          <w:rFonts w:ascii="Calibri" w:hAnsi="Calibri"/>
          <w:b w:val="0"/>
          <w:i w:val="0"/>
          <w:color w:val="0A1A35"/>
          <w:sz w:val="20"/>
        </w:rPr>
        <w:t xml:space="preserve">Al Shumookh International Group (ALSIG) is a UAE-based diversified financial conglomerate headquartered in Dubai — winner of the prestigious </w:t>
      </w:r>
      <w:r>
        <w:rPr>
          <w:rFonts w:ascii="Calibri" w:hAnsi="Calibri"/>
          <w:b/>
          <w:i w:val="0"/>
          <w:color w:val="0A1A35"/>
          <w:sz w:val="20"/>
        </w:rPr>
        <w:t>Taqdeer Award 2022</w:t>
      </w:r>
      <w:r>
        <w:rPr>
          <w:rFonts w:ascii="Calibri" w:hAnsi="Calibri"/>
          <w:b w:val="0"/>
          <w:i w:val="0"/>
          <w:color w:val="0A1A35"/>
          <w:sz w:val="20"/>
        </w:rPr>
        <w:t>. The Group operates a comprehensive digital banking and cross-border payment infrastructure serving institutional and corporate clients across the MENA region and beyond.</w:t>
      </w:r>
    </w:p>
    <w:p>
      <w:pPr>
        <w:spacing w:before="0" w:after="160"/>
      </w:pPr>
      <w:r>
        <w:rPr>
          <w:rFonts w:ascii="Calibri" w:hAnsi="Calibri"/>
          <w:b w:val="0"/>
          <w:i w:val="0"/>
          <w:sz w:val="20"/>
        </w:rPr>
        <w:t xml:space="preserve">The </w:t>
      </w:r>
      <w:r>
        <w:rPr>
          <w:rFonts w:ascii="Calibri" w:hAnsi="Calibri"/>
          <w:b/>
          <w:i w:val="0"/>
          <w:color w:val="1E3A6E"/>
          <w:sz w:val="20"/>
        </w:rPr>
        <w:t>SIG Token</w:t>
      </w:r>
      <w:r>
        <w:rPr>
          <w:rFonts w:ascii="Calibri" w:hAnsi="Calibri"/>
          <w:b w:val="0"/>
          <w:i w:val="0"/>
          <w:sz w:val="20"/>
        </w:rPr>
        <w:t xml:space="preserve"> is a utility and settlement token issued on the Ethereum blockchain (ERC-20), designed to power ALSIG's real-time payment infrastructure. SIG serves as the primary settlement asset for the Group's M1 Tokenization Engine — which converts EUR wire transfers into on-chain SIG deliveries — and enables frictionless cross-border B2B payment settlement.</w:t>
      </w:r>
    </w:p>
    <w:p>
      <w:pPr>
        <w:spacing w:before="0" w:after="80"/>
      </w:pPr>
      <w:r>
        <w:rPr>
          <w:rFonts w:ascii="Calibri" w:hAnsi="Calibri"/>
          <w:b w:val="0"/>
          <w:i w:val="0"/>
          <w:sz w:val="20"/>
        </w:rPr>
        <w:t xml:space="preserve">The token launched on June 17, 2026, with an active </w:t>
      </w:r>
      <w:r>
        <w:rPr>
          <w:rFonts w:ascii="Calibri" w:hAnsi="Calibri"/>
          <w:b/>
          <w:i w:val="0"/>
          <w:sz w:val="20"/>
        </w:rPr>
        <w:t>Uniswap V2 USDC/SIG liquidity pool</w:t>
      </w:r>
      <w:r>
        <w:rPr>
          <w:rFonts w:ascii="Calibri" w:hAnsi="Calibri"/>
          <w:b w:val="0"/>
          <w:i w:val="0"/>
          <w:sz w:val="20"/>
        </w:rPr>
        <w:t xml:space="preserve"> on Ethereum. Total supply is fixed at 1,000,000,000 SIG with no minting mechanism.</w:t>
      </w:r>
    </w:p>
    <w:p>
      <w:pPr>
        <w:spacing w:after="8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A1A35"/>
            <w:tcMar>
              <w:top w:w="120" w:type="dxa"/>
              <w:bottom w:w="120" w:type="dxa"/>
              <w:left w:w="160" w:type="dxa"/>
              <w:right w:w="160" w:type="dxa"/>
            </w:tcMar>
            <w:vAlign w:val="center"/>
          </w:tcPr>
          <w:p>
            <w:pPr>
              <w:jc w:val="center"/>
            </w:pPr>
            <w:r>
              <w:rPr>
                <w:rFonts w:ascii="Calibri" w:hAnsi="Calibri"/>
                <w:b/>
                <w:i w:val="0"/>
                <w:color w:val="C9A227"/>
                <w:sz w:val="28"/>
              </w:rPr>
              <w:t>1,000,000,000</w:t>
              <w:br/>
            </w:r>
            <w:r>
              <w:rPr>
                <w:rFonts w:ascii="Calibri" w:hAnsi="Calibri"/>
                <w:b w:val="0"/>
                <w:i w:val="0"/>
                <w:color w:val="94A3B8"/>
                <w:sz w:val="16"/>
              </w:rPr>
              <w:t>Total Supply</w:t>
            </w:r>
          </w:p>
        </w:tc>
        <w:tc>
          <w:tcPr>
            <w:tcW w:type="dxa" w:w="2340"/>
            <w:shd w:val="clear" w:color="auto" w:fill="0A1A35"/>
            <w:tcMar>
              <w:top w:w="120" w:type="dxa"/>
              <w:bottom w:w="120" w:type="dxa"/>
              <w:left w:w="160" w:type="dxa"/>
              <w:right w:w="160" w:type="dxa"/>
            </w:tcMar>
            <w:vAlign w:val="center"/>
          </w:tcPr>
          <w:p>
            <w:pPr>
              <w:jc w:val="center"/>
            </w:pPr>
            <w:r>
              <w:rPr>
                <w:rFonts w:ascii="Calibri" w:hAnsi="Calibri"/>
                <w:b/>
                <w:i w:val="0"/>
                <w:color w:val="C9A227"/>
                <w:sz w:val="28"/>
              </w:rPr>
              <w:t>ERC-20</w:t>
              <w:br/>
            </w:r>
            <w:r>
              <w:rPr>
                <w:rFonts w:ascii="Calibri" w:hAnsi="Calibri"/>
                <w:b w:val="0"/>
                <w:i w:val="0"/>
                <w:color w:val="94A3B8"/>
                <w:sz w:val="16"/>
              </w:rPr>
              <w:t>Token Standard</w:t>
            </w:r>
          </w:p>
        </w:tc>
        <w:tc>
          <w:tcPr>
            <w:tcW w:type="dxa" w:w="2340"/>
            <w:shd w:val="clear" w:color="auto" w:fill="0A1A35"/>
            <w:tcMar>
              <w:top w:w="120" w:type="dxa"/>
              <w:bottom w:w="120" w:type="dxa"/>
              <w:left w:w="160" w:type="dxa"/>
              <w:right w:w="160" w:type="dxa"/>
            </w:tcMar>
            <w:vAlign w:val="center"/>
          </w:tcPr>
          <w:p>
            <w:pPr>
              <w:jc w:val="center"/>
            </w:pPr>
            <w:r>
              <w:rPr>
                <w:rFonts w:ascii="Calibri" w:hAnsi="Calibri"/>
                <w:b/>
                <w:i w:val="0"/>
                <w:color w:val="C9A227"/>
                <w:sz w:val="28"/>
              </w:rPr>
              <w:t>Uniswap V2</w:t>
              <w:br/>
            </w:r>
            <w:r>
              <w:rPr>
                <w:rFonts w:ascii="Calibri" w:hAnsi="Calibri"/>
                <w:b w:val="0"/>
                <w:i w:val="0"/>
                <w:color w:val="94A3B8"/>
                <w:sz w:val="16"/>
              </w:rPr>
              <w:t>Primary DEX</w:t>
            </w:r>
          </w:p>
        </w:tc>
        <w:tc>
          <w:tcPr>
            <w:tcW w:type="dxa" w:w="2340"/>
            <w:shd w:val="clear" w:color="auto" w:fill="0A1A35"/>
            <w:tcMar>
              <w:top w:w="120" w:type="dxa"/>
              <w:bottom w:w="120" w:type="dxa"/>
              <w:left w:w="160" w:type="dxa"/>
              <w:right w:w="160" w:type="dxa"/>
            </w:tcMar>
            <w:vAlign w:val="center"/>
          </w:tcPr>
          <w:p>
            <w:pPr>
              <w:jc w:val="center"/>
            </w:pPr>
            <w:r>
              <w:rPr>
                <w:rFonts w:ascii="Calibri" w:hAnsi="Calibri"/>
                <w:b/>
                <w:i w:val="0"/>
                <w:color w:val="C9A227"/>
                <w:sz w:val="28"/>
              </w:rPr>
              <w:t>Fixed</w:t>
              <w:br/>
            </w:r>
            <w:r>
              <w:rPr>
                <w:rFonts w:ascii="Calibri" w:hAnsi="Calibri"/>
                <w:b w:val="0"/>
                <w:i w:val="0"/>
                <w:color w:val="94A3B8"/>
                <w:sz w:val="16"/>
              </w:rPr>
              <w:t>Inflation Policy</w:t>
            </w:r>
          </w:p>
        </w:tc>
      </w:tr>
    </w:tbl>
    <w:p>
      <w:pPr>
        <w:spacing w:after="160"/>
      </w:pPr>
    </w:p>
    <w:p>
      <w:pPr>
        <w:spacing w:before="280" w:after="0"/>
        <w:shd w:val="clear" w:color="auto" w:fill="0A1A35"/>
        <w:ind w:left="0" w:right="0"/>
      </w:pPr>
      <w:r>
        <w:rPr>
          <w:rFonts w:ascii="Calibri" w:hAnsi="Calibri"/>
          <w:b/>
          <w:i w:val="0"/>
          <w:color w:val="C9A227"/>
          <w:sz w:val="26"/>
        </w:rPr>
        <w:t xml:space="preserve">  02  —  ABOUT AL SHUMOOKH INTERNATIONAL GROUP</w:t>
      </w:r>
    </w:p>
    <w:p>
      <w:pPr>
        <w:spacing w:before="0" w:after="160"/>
        <w:shd w:val="clear" w:color="auto" w:fill="1E3A6E"/>
      </w:pPr>
      <w:r>
        <w:rPr>
          <w:rFonts w:ascii="Calibri" w:hAnsi="Calibri"/>
          <w:b w:val="0"/>
          <w:i/>
          <w:color w:val="FFFFFF"/>
          <w:sz w:val="18"/>
        </w:rPr>
        <w:t xml:space="preserve">  Established Financial Conglomerate · Dubai, UAE · Taqdeer Award 2022</w:t>
      </w:r>
    </w:p>
    <w:p>
      <w:pPr>
        <w:spacing w:before="0" w:after="120"/>
      </w:pPr>
      <w:r>
        <w:rPr>
          <w:rFonts w:ascii="Calibri" w:hAnsi="Calibri"/>
          <w:b w:val="0"/>
          <w:i w:val="0"/>
          <w:sz w:val="20"/>
        </w:rPr>
        <w:t>Al Shumookh International Group is an established multi-sector financial group with a proven track record in digital payments, asset tokenization, and cross-border settlement infrastructure. The Group serves a broad institutional client base across the GCC and European markets.</w:t>
      </w:r>
    </w:p>
    <w:tbl>
      <w:tblPr>
        <w:tblStyle w:val="TableGrid"/>
        <w:tblW w:type="auto" w:w="0"/>
        <w:tblLook w:firstColumn="1" w:firstRow="1" w:lastColumn="0" w:lastRow="0" w:noHBand="0" w:noVBand="1" w:val="04A0"/>
      </w:tblPr>
      <w:tblGrid>
        <w:gridCol w:w="4680"/>
        <w:gridCol w:w="4680"/>
      </w:tblGrid>
      <w:tr>
        <w:trPr>
          <w:trHeight w:val="440"/>
        </w:trPr>
        <w:tc>
          <w:tcPr>
            <w:tcW w:type="dxa" w:w="3168"/>
            <w:shd w:val="clear" w:color="auto" w:fill="EBF2FA"/>
            <w:tcMar>
              <w:top w:w="60" w:type="dxa"/>
              <w:bottom w:w="60" w:type="dxa"/>
              <w:left w:w="160" w:type="dxa"/>
              <w:right w:w="80" w:type="dxa"/>
            </w:tcMar>
            <w:vAlign w:val="center"/>
          </w:tcPr>
          <w:p>
            <w:r>
              <w:rPr>
                <w:rFonts w:ascii="Calibri" w:hAnsi="Calibri"/>
                <w:b/>
                <w:i w:val="0"/>
                <w:color w:val="1E3A6E"/>
                <w:sz w:val="18"/>
              </w:rPr>
              <w:t>Legal Name</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Al Shumookh International Group</w:t>
            </w:r>
          </w:p>
        </w:tc>
      </w:tr>
      <w:tr>
        <w:trPr>
          <w:trHeight w:val="440"/>
        </w:trPr>
        <w:tc>
          <w:tcPr>
            <w:tcW w:type="dxa" w:w="3168"/>
            <w:shd w:val="clear" w:color="auto" w:fill="F7FAFD"/>
            <w:tcMar>
              <w:top w:w="60" w:type="dxa"/>
              <w:bottom w:w="60" w:type="dxa"/>
              <w:left w:w="160" w:type="dxa"/>
              <w:right w:w="80" w:type="dxa"/>
            </w:tcMar>
            <w:vAlign w:val="center"/>
          </w:tcPr>
          <w:p>
            <w:r>
              <w:rPr>
                <w:rFonts w:ascii="Calibri" w:hAnsi="Calibri"/>
                <w:b/>
                <w:i w:val="0"/>
                <w:color w:val="1E3A6E"/>
                <w:sz w:val="18"/>
              </w:rPr>
              <w:t>Headquarters</w:t>
            </w:r>
          </w:p>
        </w:tc>
        <w:tc>
          <w:tcPr>
            <w:tcW w:type="dxa" w:w="6192"/>
            <w:shd w:val="clear" w:color="auto" w:fill="FAFBFC"/>
            <w:tcMar>
              <w:top w:w="60" w:type="dxa"/>
              <w:bottom w:w="60" w:type="dxa"/>
              <w:left w:w="160" w:type="dxa"/>
              <w:right w:w="80" w:type="dxa"/>
            </w:tcMar>
            <w:vAlign w:val="center"/>
          </w:tcPr>
          <w:p>
            <w:r>
              <w:rPr>
                <w:rFonts w:ascii="Calibri" w:hAnsi="Calibri"/>
                <w:b w:val="0"/>
                <w:i w:val="0"/>
                <w:color w:val="0A1A35"/>
                <w:sz w:val="18"/>
              </w:rPr>
              <w:t>Dubai, United Arab Emirates</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i w:val="0"/>
                <w:color w:val="1E3A6E"/>
                <w:sz w:val="18"/>
              </w:rPr>
              <w:t>BIC Code</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ALSHAEXXXX</w:t>
            </w:r>
          </w:p>
        </w:tc>
      </w:tr>
      <w:tr>
        <w:trPr>
          <w:trHeight w:val="440"/>
        </w:trPr>
        <w:tc>
          <w:tcPr>
            <w:tcW w:type="dxa" w:w="3168"/>
            <w:shd w:val="clear" w:color="auto" w:fill="F7FAFD"/>
            <w:tcMar>
              <w:top w:w="60" w:type="dxa"/>
              <w:bottom w:w="60" w:type="dxa"/>
              <w:left w:w="160" w:type="dxa"/>
              <w:right w:w="80" w:type="dxa"/>
            </w:tcMar>
            <w:vAlign w:val="center"/>
          </w:tcPr>
          <w:p>
            <w:r>
              <w:rPr>
                <w:rFonts w:ascii="Calibri" w:hAnsi="Calibri"/>
                <w:b/>
                <w:i w:val="0"/>
                <w:color w:val="1E3A6E"/>
                <w:sz w:val="18"/>
              </w:rPr>
              <w:t>Registration</w:t>
            </w:r>
          </w:p>
        </w:tc>
        <w:tc>
          <w:tcPr>
            <w:tcW w:type="dxa" w:w="6192"/>
            <w:shd w:val="clear" w:color="auto" w:fill="FAFBFC"/>
            <w:tcMar>
              <w:top w:w="60" w:type="dxa"/>
              <w:bottom w:w="60" w:type="dxa"/>
              <w:left w:w="160" w:type="dxa"/>
              <w:right w:w="80" w:type="dxa"/>
            </w:tcMar>
            <w:vAlign w:val="center"/>
          </w:tcPr>
          <w:p>
            <w:r>
              <w:rPr>
                <w:rFonts w:ascii="Calibri" w:hAnsi="Calibri"/>
                <w:b w:val="0"/>
                <w:i w:val="0"/>
                <w:color w:val="0A1A35"/>
                <w:sz w:val="18"/>
              </w:rPr>
              <w:t>UAE/FIN/2024/0081</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i w:val="0"/>
                <w:color w:val="1E3A6E"/>
                <w:sz w:val="18"/>
              </w:rPr>
              <w:t>Recognition</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Taqdeer Award 2022 — Dubai Department of Human Resources</w:t>
            </w:r>
          </w:p>
        </w:tc>
      </w:tr>
      <w:tr>
        <w:trPr>
          <w:trHeight w:val="440"/>
        </w:trPr>
        <w:tc>
          <w:tcPr>
            <w:tcW w:type="dxa" w:w="3168"/>
            <w:shd w:val="clear" w:color="auto" w:fill="F7FAFD"/>
            <w:tcMar>
              <w:top w:w="60" w:type="dxa"/>
              <w:bottom w:w="60" w:type="dxa"/>
              <w:left w:w="160" w:type="dxa"/>
              <w:right w:w="80" w:type="dxa"/>
            </w:tcMar>
            <w:vAlign w:val="center"/>
          </w:tcPr>
          <w:p>
            <w:r>
              <w:rPr>
                <w:rFonts w:ascii="Calibri" w:hAnsi="Calibri"/>
                <w:b/>
                <w:i w:val="0"/>
                <w:color w:val="1E3A6E"/>
                <w:sz w:val="18"/>
              </w:rPr>
              <w:t>Website</w:t>
            </w:r>
          </w:p>
        </w:tc>
        <w:tc>
          <w:tcPr>
            <w:tcW w:type="dxa" w:w="6192"/>
            <w:shd w:val="clear" w:color="auto" w:fill="FAFBFC"/>
            <w:tcMar>
              <w:top w:w="60" w:type="dxa"/>
              <w:bottom w:w="60" w:type="dxa"/>
              <w:left w:w="160" w:type="dxa"/>
              <w:right w:w="80" w:type="dxa"/>
            </w:tcMar>
            <w:vAlign w:val="center"/>
          </w:tcPr>
          <w:p>
            <w:r>
              <w:rPr>
                <w:rFonts w:ascii="Calibri" w:hAnsi="Calibri"/>
                <w:b w:val="0"/>
                <w:i w:val="0"/>
                <w:color w:val="0A1A35"/>
                <w:sz w:val="18"/>
              </w:rPr>
              <w:t>[www.alshumookh-pay.com]</w:t>
            </w:r>
          </w:p>
        </w:tc>
      </w:tr>
    </w:tbl>
    <w:p>
      <w:pPr>
        <w:spacing w:after="80"/>
      </w:pPr>
    </w:p>
    <w:p>
      <w:pPr>
        <w:spacing w:before="120" w:after="80"/>
      </w:pPr>
      <w:r>
        <w:rPr>
          <w:rFonts w:ascii="Calibri" w:hAnsi="Calibri"/>
          <w:b/>
          <w:i w:val="0"/>
          <w:color w:val="1E3A6E"/>
          <w:sz w:val="20"/>
        </w:rPr>
        <w:t>Core Business Lines</w:t>
      </w:r>
    </w:p>
    <w:tbl>
      <w:tblPr>
        <w:tblStyle w:val="TableGrid"/>
        <w:tblW w:type="auto" w:w="0"/>
        <w:tblLook w:firstColumn="1" w:firstRow="1" w:lastColumn="0" w:lastRow="0" w:noHBand="0" w:noVBand="1" w:val="04A0"/>
      </w:tblPr>
      <w:tblGrid>
        <w:gridCol w:w="4680"/>
        <w:gridCol w:w="4680"/>
      </w:tblGrid>
      <w:tr>
        <w:tc>
          <w:tcPr>
            <w:tcW w:type="dxa" w:w="3168"/>
            <w:shd w:val="clear" w:color="auto" w:fill="0A1A35"/>
            <w:tcMar>
              <w:top w:w="80" w:type="dxa"/>
              <w:bottom w:w="80" w:type="dxa"/>
              <w:left w:w="160" w:type="dxa"/>
              <w:right w:w="80" w:type="dxa"/>
            </w:tcMar>
          </w:tcPr>
          <w:p>
            <w:pPr>
              <w:jc w:val="center"/>
            </w:pPr>
            <w:r>
              <w:rPr>
                <w:rFonts w:ascii="Calibri" w:hAnsi="Calibri"/>
                <w:b/>
                <w:i w:val="0"/>
                <w:color w:val="C9A227"/>
                <w:sz w:val="18"/>
              </w:rPr>
              <w:t>Division</w:t>
            </w:r>
          </w:p>
        </w:tc>
        <w:tc>
          <w:tcPr>
            <w:tcW w:type="dxa" w:w="6192"/>
            <w:shd w:val="clear" w:color="auto" w:fill="0A1A35"/>
            <w:tcMar>
              <w:top w:w="80" w:type="dxa"/>
              <w:bottom w:w="80" w:type="dxa"/>
              <w:left w:w="160" w:type="dxa"/>
              <w:right w:w="80" w:type="dxa"/>
            </w:tcMar>
          </w:tcPr>
          <w:p>
            <w:pPr>
              <w:jc w:val="center"/>
            </w:pPr>
            <w:r>
              <w:rPr>
                <w:rFonts w:ascii="Calibri" w:hAnsi="Calibri"/>
                <w:b/>
                <w:i w:val="0"/>
                <w:color w:val="C9A227"/>
                <w:sz w:val="18"/>
              </w:rPr>
              <w:t>Description</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val="0"/>
                <w:i w:val="0"/>
                <w:color w:val="0A1A35"/>
                <w:sz w:val="18"/>
              </w:rPr>
              <w:t>Payment Processing</w:t>
            </w:r>
          </w:p>
        </w:tc>
        <w:tc>
          <w:tcPr>
            <w:tcW w:type="dxa" w:w="6192"/>
            <w:shd w:val="clear" w:color="auto" w:fill="EBF2FA"/>
            <w:tcMar>
              <w:top w:w="60" w:type="dxa"/>
              <w:bottom w:w="60" w:type="dxa"/>
              <w:left w:w="160" w:type="dxa"/>
              <w:right w:w="80" w:type="dxa"/>
            </w:tcMar>
            <w:vAlign w:val="center"/>
          </w:tcPr>
          <w:p>
            <w:r>
              <w:rPr>
                <w:rFonts w:ascii="Calibri" w:hAnsi="Calibri"/>
                <w:b w:val="0"/>
                <w:i w:val="0"/>
                <w:color w:val="0A1A35"/>
                <w:sz w:val="18"/>
              </w:rPr>
              <w:t>Real-time fiat and crypto payment order management</w:t>
            </w:r>
          </w:p>
        </w:tc>
      </w:tr>
      <w:tr>
        <w:trPr>
          <w:trHeight w:val="440"/>
        </w:trPr>
        <w:tc>
          <w:tcPr>
            <w:tcW w:type="dxa" w:w="3168"/>
            <w:shd w:val="clear" w:color="auto" w:fill="FFFFFF"/>
            <w:tcMar>
              <w:top w:w="60" w:type="dxa"/>
              <w:bottom w:w="60" w:type="dxa"/>
              <w:left w:w="160" w:type="dxa"/>
              <w:right w:w="80" w:type="dxa"/>
            </w:tcMar>
            <w:vAlign w:val="center"/>
          </w:tcPr>
          <w:p>
            <w:r>
              <w:rPr>
                <w:rFonts w:ascii="Calibri" w:hAnsi="Calibri"/>
                <w:b w:val="0"/>
                <w:i w:val="0"/>
                <w:color w:val="0A1A35"/>
                <w:sz w:val="18"/>
              </w:rPr>
              <w:t>M1 Tokenization</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EUR wire transfer → on-chain SIG delivery via M1 Engine</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val="0"/>
                <w:i w:val="0"/>
                <w:color w:val="0A1A35"/>
                <w:sz w:val="18"/>
              </w:rPr>
              <w:t>Settlement Payloads</w:t>
            </w:r>
          </w:p>
        </w:tc>
        <w:tc>
          <w:tcPr>
            <w:tcW w:type="dxa" w:w="6192"/>
            <w:shd w:val="clear" w:color="auto" w:fill="EBF2FA"/>
            <w:tcMar>
              <w:top w:w="60" w:type="dxa"/>
              <w:bottom w:w="60" w:type="dxa"/>
              <w:left w:w="160" w:type="dxa"/>
              <w:right w:w="80" w:type="dxa"/>
            </w:tcMar>
            <w:vAlign w:val="center"/>
          </w:tcPr>
          <w:p>
            <w:r>
              <w:rPr>
                <w:rFonts w:ascii="Calibri" w:hAnsi="Calibri"/>
                <w:b w:val="0"/>
                <w:i w:val="0"/>
                <w:color w:val="0A1A35"/>
                <w:sz w:val="18"/>
              </w:rPr>
              <w:t>USDT/SIG multi-network outbound transfer infrastructure</w:t>
            </w:r>
          </w:p>
        </w:tc>
      </w:tr>
      <w:tr>
        <w:trPr>
          <w:trHeight w:val="440"/>
        </w:trPr>
        <w:tc>
          <w:tcPr>
            <w:tcW w:type="dxa" w:w="3168"/>
            <w:shd w:val="clear" w:color="auto" w:fill="FFFFFF"/>
            <w:tcMar>
              <w:top w:w="60" w:type="dxa"/>
              <w:bottom w:w="60" w:type="dxa"/>
              <w:left w:w="160" w:type="dxa"/>
              <w:right w:w="80" w:type="dxa"/>
            </w:tcMar>
            <w:vAlign w:val="center"/>
          </w:tcPr>
          <w:p>
            <w:r>
              <w:rPr>
                <w:rFonts w:ascii="Calibri" w:hAnsi="Calibri"/>
                <w:b w:val="0"/>
                <w:i w:val="0"/>
                <w:color w:val="0A1A35"/>
                <w:sz w:val="18"/>
              </w:rPr>
              <w:t>Counterparty Management</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Institutional KYB/KYC compliance and account management</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val="0"/>
                <w:i w:val="0"/>
                <w:color w:val="0A1A35"/>
                <w:sz w:val="18"/>
              </w:rPr>
              <w:t>Top-Up Services</w:t>
            </w:r>
          </w:p>
        </w:tc>
        <w:tc>
          <w:tcPr>
            <w:tcW w:type="dxa" w:w="6192"/>
            <w:shd w:val="clear" w:color="auto" w:fill="EBF2FA"/>
            <w:tcMar>
              <w:top w:w="60" w:type="dxa"/>
              <w:bottom w:w="60" w:type="dxa"/>
              <w:left w:w="160" w:type="dxa"/>
              <w:right w:w="80" w:type="dxa"/>
            </w:tcMar>
            <w:vAlign w:val="center"/>
          </w:tcPr>
          <w:p>
            <w:r>
              <w:rPr>
                <w:rFonts w:ascii="Calibri" w:hAnsi="Calibri"/>
                <w:b w:val="0"/>
                <w:i w:val="0"/>
                <w:color w:val="0A1A35"/>
                <w:sz w:val="18"/>
              </w:rPr>
              <w:t>Card and digital wallet funding via MoonPay, Stripe, Circle</w:t>
            </w:r>
          </w:p>
        </w:tc>
      </w:tr>
      <w:tr>
        <w:trPr>
          <w:trHeight w:val="440"/>
        </w:trPr>
        <w:tc>
          <w:tcPr>
            <w:tcW w:type="dxa" w:w="3168"/>
            <w:shd w:val="clear" w:color="auto" w:fill="FFFFFF"/>
            <w:tcMar>
              <w:top w:w="60" w:type="dxa"/>
              <w:bottom w:w="60" w:type="dxa"/>
              <w:left w:w="160" w:type="dxa"/>
              <w:right w:w="80" w:type="dxa"/>
            </w:tcMar>
            <w:vAlign w:val="center"/>
          </w:tcPr>
          <w:p>
            <w:r>
              <w:rPr>
                <w:rFonts w:ascii="Calibri" w:hAnsi="Calibri"/>
                <w:b w:val="0"/>
                <w:i w:val="0"/>
                <w:color w:val="0A1A35"/>
                <w:sz w:val="18"/>
              </w:rPr>
              <w:t>SWIFT Connectivity</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International SWIFT messaging and financial document management</w:t>
            </w:r>
          </w:p>
        </w:tc>
      </w:tr>
    </w:tbl>
    <w:p>
      <w:pPr>
        <w:spacing w:after="160"/>
      </w:pPr>
    </w:p>
    <w:p>
      <w:r>
        <w:br w:type="page"/>
      </w:r>
    </w:p>
    <w:p>
      <w:pPr>
        <w:spacing w:before="280" w:after="0"/>
        <w:shd w:val="clear" w:color="auto" w:fill="0A1A35"/>
        <w:ind w:left="0" w:right="0"/>
      </w:pPr>
      <w:r>
        <w:rPr>
          <w:rFonts w:ascii="Calibri" w:hAnsi="Calibri"/>
          <w:b/>
          <w:i w:val="0"/>
          <w:color w:val="C9A227"/>
          <w:sz w:val="26"/>
        </w:rPr>
        <w:t xml:space="preserve">  03  —  TOKEN ECONOMICS (TOKENOMICS)</w:t>
      </w:r>
    </w:p>
    <w:p>
      <w:pPr>
        <w:spacing w:before="0" w:after="160"/>
        <w:shd w:val="clear" w:color="auto" w:fill="1E3A6E"/>
      </w:pPr>
      <w:r>
        <w:rPr>
          <w:rFonts w:ascii="Calibri" w:hAnsi="Calibri"/>
          <w:b w:val="0"/>
          <w:i/>
          <w:color w:val="FFFFFF"/>
          <w:sz w:val="18"/>
        </w:rPr>
        <w:t xml:space="preserve">  Fixed Supply · ERC-20 · Ethereum Mainnet</w:t>
      </w:r>
    </w:p>
    <w:tbl>
      <w:tblPr>
        <w:tblStyle w:val="TableGrid"/>
        <w:tblW w:type="auto" w:w="0"/>
        <w:tblLook w:firstColumn="1" w:firstRow="1" w:lastColumn="0" w:lastRow="0" w:noHBand="0" w:noVBand="1" w:val="04A0"/>
      </w:tblPr>
      <w:tblGrid>
        <w:gridCol w:w="4680"/>
        <w:gridCol w:w="4680"/>
      </w:tblGrid>
      <w:tr>
        <w:trPr>
          <w:trHeight w:val="440"/>
        </w:trPr>
        <w:tc>
          <w:tcPr>
            <w:tcW w:type="dxa" w:w="3168"/>
            <w:shd w:val="clear" w:color="auto" w:fill="EBF2FA"/>
            <w:tcMar>
              <w:top w:w="60" w:type="dxa"/>
              <w:bottom w:w="60" w:type="dxa"/>
              <w:left w:w="160" w:type="dxa"/>
              <w:right w:w="80" w:type="dxa"/>
            </w:tcMar>
            <w:vAlign w:val="center"/>
          </w:tcPr>
          <w:p>
            <w:r>
              <w:rPr>
                <w:rFonts w:ascii="Calibri" w:hAnsi="Calibri"/>
                <w:b/>
                <w:i w:val="0"/>
                <w:color w:val="1E3A6E"/>
                <w:sz w:val="18"/>
              </w:rPr>
              <w:t>Token Name</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Al Shumookh International Group Token</w:t>
            </w:r>
          </w:p>
        </w:tc>
      </w:tr>
      <w:tr>
        <w:trPr>
          <w:trHeight w:val="440"/>
        </w:trPr>
        <w:tc>
          <w:tcPr>
            <w:tcW w:type="dxa" w:w="3168"/>
            <w:shd w:val="clear" w:color="auto" w:fill="F7FAFD"/>
            <w:tcMar>
              <w:top w:w="60" w:type="dxa"/>
              <w:bottom w:w="60" w:type="dxa"/>
              <w:left w:w="160" w:type="dxa"/>
              <w:right w:w="80" w:type="dxa"/>
            </w:tcMar>
            <w:vAlign w:val="center"/>
          </w:tcPr>
          <w:p>
            <w:r>
              <w:rPr>
                <w:rFonts w:ascii="Calibri" w:hAnsi="Calibri"/>
                <w:b/>
                <w:i w:val="0"/>
                <w:color w:val="1E3A6E"/>
                <w:sz w:val="18"/>
              </w:rPr>
              <w:t>Ticker Symbol</w:t>
            </w:r>
          </w:p>
        </w:tc>
        <w:tc>
          <w:tcPr>
            <w:tcW w:type="dxa" w:w="6192"/>
            <w:shd w:val="clear" w:color="auto" w:fill="FAFBFC"/>
            <w:tcMar>
              <w:top w:w="60" w:type="dxa"/>
              <w:bottom w:w="60" w:type="dxa"/>
              <w:left w:w="160" w:type="dxa"/>
              <w:right w:w="80" w:type="dxa"/>
            </w:tcMar>
            <w:vAlign w:val="center"/>
          </w:tcPr>
          <w:p>
            <w:r>
              <w:rPr>
                <w:rFonts w:ascii="Calibri" w:hAnsi="Calibri"/>
                <w:b w:val="0"/>
                <w:i w:val="0"/>
                <w:color w:val="0A1A35"/>
                <w:sz w:val="18"/>
              </w:rPr>
              <w:t>SIG</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i w:val="0"/>
                <w:color w:val="1E3A6E"/>
                <w:sz w:val="18"/>
              </w:rPr>
              <w:t>Blockchain</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Ethereum Mainnet  (ERC-20)</w:t>
            </w:r>
          </w:p>
        </w:tc>
      </w:tr>
      <w:tr>
        <w:trPr>
          <w:trHeight w:val="440"/>
        </w:trPr>
        <w:tc>
          <w:tcPr>
            <w:tcW w:type="dxa" w:w="3168"/>
            <w:shd w:val="clear" w:color="auto" w:fill="F7FAFD"/>
            <w:tcMar>
              <w:top w:w="60" w:type="dxa"/>
              <w:bottom w:w="60" w:type="dxa"/>
              <w:left w:w="160" w:type="dxa"/>
              <w:right w:w="80" w:type="dxa"/>
            </w:tcMar>
            <w:vAlign w:val="center"/>
          </w:tcPr>
          <w:p>
            <w:r>
              <w:rPr>
                <w:rFonts w:ascii="Calibri" w:hAnsi="Calibri"/>
                <w:b/>
                <w:i w:val="0"/>
                <w:color w:val="1E3A6E"/>
                <w:sz w:val="18"/>
              </w:rPr>
              <w:t>Total Supply</w:t>
            </w:r>
          </w:p>
        </w:tc>
        <w:tc>
          <w:tcPr>
            <w:tcW w:type="dxa" w:w="6192"/>
            <w:shd w:val="clear" w:color="auto" w:fill="FAFBFC"/>
            <w:tcMar>
              <w:top w:w="60" w:type="dxa"/>
              <w:bottom w:w="60" w:type="dxa"/>
              <w:left w:w="160" w:type="dxa"/>
              <w:right w:w="80" w:type="dxa"/>
            </w:tcMar>
            <w:vAlign w:val="center"/>
          </w:tcPr>
          <w:p>
            <w:r>
              <w:rPr>
                <w:rFonts w:ascii="Calibri" w:hAnsi="Calibri"/>
                <w:b w:val="0"/>
                <w:i w:val="0"/>
                <w:color w:val="0A1A35"/>
                <w:sz w:val="18"/>
              </w:rPr>
              <w:t>1,000,000,000 SIG  —  Fixed, No Minting</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i w:val="0"/>
                <w:color w:val="1E3A6E"/>
                <w:sz w:val="18"/>
              </w:rPr>
              <w:t>Decimals</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18</w:t>
            </w:r>
          </w:p>
        </w:tc>
      </w:tr>
      <w:tr>
        <w:trPr>
          <w:trHeight w:val="440"/>
        </w:trPr>
        <w:tc>
          <w:tcPr>
            <w:tcW w:type="dxa" w:w="3168"/>
            <w:shd w:val="clear" w:color="auto" w:fill="F7FAFD"/>
            <w:tcMar>
              <w:top w:w="60" w:type="dxa"/>
              <w:bottom w:w="60" w:type="dxa"/>
              <w:left w:w="160" w:type="dxa"/>
              <w:right w:w="80" w:type="dxa"/>
            </w:tcMar>
            <w:vAlign w:val="center"/>
          </w:tcPr>
          <w:p>
            <w:r>
              <w:rPr>
                <w:rFonts w:ascii="Calibri" w:hAnsi="Calibri"/>
                <w:b/>
                <w:i w:val="0"/>
                <w:color w:val="1E3A6E"/>
                <w:sz w:val="18"/>
              </w:rPr>
              <w:t>Contract Address</w:t>
            </w:r>
          </w:p>
        </w:tc>
        <w:tc>
          <w:tcPr>
            <w:tcW w:type="dxa" w:w="6192"/>
            <w:shd w:val="clear" w:color="auto" w:fill="FAFBFC"/>
            <w:tcMar>
              <w:top w:w="60" w:type="dxa"/>
              <w:bottom w:w="60" w:type="dxa"/>
              <w:left w:w="160" w:type="dxa"/>
              <w:right w:w="80" w:type="dxa"/>
            </w:tcMar>
            <w:vAlign w:val="center"/>
          </w:tcPr>
          <w:p>
            <w:r>
              <w:rPr>
                <w:rFonts w:ascii="Calibri" w:hAnsi="Calibri"/>
                <w:b w:val="0"/>
                <w:i w:val="0"/>
                <w:color w:val="0A1A35"/>
                <w:sz w:val="18"/>
              </w:rPr>
              <w:t>[Verified on Etherscan — Insert Address]</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i w:val="0"/>
                <w:color w:val="1E3A6E"/>
                <w:sz w:val="18"/>
              </w:rPr>
              <w:t>DEX</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Uniswap V2  ·  USDC / SIG Pool</w:t>
            </w:r>
          </w:p>
        </w:tc>
      </w:tr>
      <w:tr>
        <w:trPr>
          <w:trHeight w:val="440"/>
        </w:trPr>
        <w:tc>
          <w:tcPr>
            <w:tcW w:type="dxa" w:w="3168"/>
            <w:shd w:val="clear" w:color="auto" w:fill="F7FAFD"/>
            <w:tcMar>
              <w:top w:w="60" w:type="dxa"/>
              <w:bottom w:w="60" w:type="dxa"/>
              <w:left w:w="160" w:type="dxa"/>
              <w:right w:w="80" w:type="dxa"/>
            </w:tcMar>
            <w:vAlign w:val="center"/>
          </w:tcPr>
          <w:p>
            <w:r>
              <w:rPr>
                <w:rFonts w:ascii="Calibri" w:hAnsi="Calibri"/>
                <w:b/>
                <w:i w:val="0"/>
                <w:color w:val="1E3A6E"/>
                <w:sz w:val="18"/>
              </w:rPr>
              <w:t>Launch Date</w:t>
            </w:r>
          </w:p>
        </w:tc>
        <w:tc>
          <w:tcPr>
            <w:tcW w:type="dxa" w:w="6192"/>
            <w:shd w:val="clear" w:color="auto" w:fill="FAFBFC"/>
            <w:tcMar>
              <w:top w:w="60" w:type="dxa"/>
              <w:bottom w:w="60" w:type="dxa"/>
              <w:left w:w="160" w:type="dxa"/>
              <w:right w:w="80" w:type="dxa"/>
            </w:tcMar>
            <w:vAlign w:val="center"/>
          </w:tcPr>
          <w:p>
            <w:r>
              <w:rPr>
                <w:rFonts w:ascii="Calibri" w:hAnsi="Calibri"/>
                <w:b w:val="0"/>
                <w:i w:val="0"/>
                <w:color w:val="0A1A35"/>
                <w:sz w:val="18"/>
              </w:rPr>
              <w:t>June 17, 2026</w:t>
            </w:r>
          </w:p>
        </w:tc>
      </w:tr>
    </w:tbl>
    <w:p>
      <w:pPr>
        <w:spacing w:after="80"/>
      </w:pPr>
    </w:p>
    <w:p>
      <w:pPr>
        <w:spacing w:before="200" w:after="80"/>
      </w:pPr>
      <w:r>
        <w:rPr>
          <w:rFonts w:ascii="Calibri" w:hAnsi="Calibri"/>
          <w:b/>
          <w:i w:val="0"/>
          <w:color w:val="1E3A6E"/>
          <w:sz w:val="20"/>
        </w:rPr>
        <w:t>Token Allocation</w:t>
      </w:r>
    </w:p>
    <w:tbl>
      <w:tblPr>
        <w:tblStyle w:val="TableGrid"/>
        <w:tblW w:type="auto" w:w="0"/>
        <w:tblLook w:firstColumn="1" w:firstRow="1" w:lastColumn="0" w:lastRow="0" w:noHBand="0" w:noVBand="1" w:val="04A0"/>
      </w:tblPr>
      <w:tblGrid>
        <w:gridCol w:w="2340"/>
        <w:gridCol w:w="2340"/>
        <w:gridCol w:w="2340"/>
        <w:gridCol w:w="2340"/>
      </w:tblGrid>
      <w:tr>
        <w:tc>
          <w:tcPr>
            <w:tcW w:type="dxa" w:w="3024"/>
            <w:shd w:val="clear" w:color="auto" w:fill="0A1A35"/>
            <w:tcMar>
              <w:top w:w="80" w:type="dxa"/>
              <w:bottom w:w="80" w:type="dxa"/>
              <w:left w:w="160" w:type="dxa"/>
              <w:right w:w="80" w:type="dxa"/>
            </w:tcMar>
          </w:tcPr>
          <w:p>
            <w:pPr>
              <w:jc w:val="center"/>
            </w:pPr>
            <w:r>
              <w:rPr>
                <w:rFonts w:ascii="Calibri" w:hAnsi="Calibri"/>
                <w:b/>
                <w:i w:val="0"/>
                <w:color w:val="C9A227"/>
                <w:sz w:val="18"/>
              </w:rPr>
              <w:t>Category</w:t>
            </w:r>
          </w:p>
        </w:tc>
        <w:tc>
          <w:tcPr>
            <w:tcW w:type="dxa" w:w="1584"/>
            <w:shd w:val="clear" w:color="auto" w:fill="0A1A35"/>
            <w:tcMar>
              <w:top w:w="80" w:type="dxa"/>
              <w:bottom w:w="80" w:type="dxa"/>
              <w:left w:w="160" w:type="dxa"/>
              <w:right w:w="80" w:type="dxa"/>
            </w:tcMar>
          </w:tcPr>
          <w:p>
            <w:pPr>
              <w:jc w:val="center"/>
            </w:pPr>
            <w:r>
              <w:rPr>
                <w:rFonts w:ascii="Calibri" w:hAnsi="Calibri"/>
                <w:b/>
                <w:i w:val="0"/>
                <w:color w:val="C9A227"/>
                <w:sz w:val="18"/>
              </w:rPr>
              <w:t>Allocation %</w:t>
            </w:r>
          </w:p>
        </w:tc>
        <w:tc>
          <w:tcPr>
            <w:tcW w:type="dxa" w:w="2160"/>
            <w:shd w:val="clear" w:color="auto" w:fill="0A1A35"/>
            <w:tcMar>
              <w:top w:w="80" w:type="dxa"/>
              <w:bottom w:w="80" w:type="dxa"/>
              <w:left w:w="160" w:type="dxa"/>
              <w:right w:w="80" w:type="dxa"/>
            </w:tcMar>
          </w:tcPr>
          <w:p>
            <w:pPr>
              <w:jc w:val="center"/>
            </w:pPr>
            <w:r>
              <w:rPr>
                <w:rFonts w:ascii="Calibri" w:hAnsi="Calibri"/>
                <w:b/>
                <w:i w:val="0"/>
                <w:color w:val="C9A227"/>
                <w:sz w:val="18"/>
              </w:rPr>
              <w:t>Token Amount</w:t>
            </w:r>
          </w:p>
        </w:tc>
        <w:tc>
          <w:tcPr>
            <w:tcW w:type="dxa" w:w="2592"/>
            <w:shd w:val="clear" w:color="auto" w:fill="0A1A35"/>
            <w:tcMar>
              <w:top w:w="80" w:type="dxa"/>
              <w:bottom w:w="80" w:type="dxa"/>
              <w:left w:w="160" w:type="dxa"/>
              <w:right w:w="80" w:type="dxa"/>
            </w:tcMar>
          </w:tcPr>
          <w:p>
            <w:pPr>
              <w:jc w:val="center"/>
            </w:pPr>
            <w:r>
              <w:rPr>
                <w:rFonts w:ascii="Calibri" w:hAnsi="Calibri"/>
                <w:b/>
                <w:i w:val="0"/>
                <w:color w:val="C9A227"/>
                <w:sz w:val="18"/>
              </w:rPr>
              <w:t>Notes</w:t>
            </w:r>
          </w:p>
        </w:tc>
      </w:tr>
      <w:tr>
        <w:trPr>
          <w:trHeight w:val="440"/>
        </w:trPr>
        <w:tc>
          <w:tcPr>
            <w:tcW w:type="dxa" w:w="3024"/>
            <w:shd w:val="clear" w:color="auto" w:fill="EBF2FA"/>
            <w:tcMar>
              <w:top w:w="60" w:type="dxa"/>
              <w:bottom w:w="60" w:type="dxa"/>
              <w:left w:w="160" w:type="dxa"/>
              <w:right w:w="80" w:type="dxa"/>
            </w:tcMar>
            <w:vAlign w:val="center"/>
          </w:tcPr>
          <w:p>
            <w:r>
              <w:rPr>
                <w:rFonts w:ascii="Calibri" w:hAnsi="Calibri"/>
                <w:b w:val="0"/>
                <w:i w:val="0"/>
                <w:color w:val="0A1A35"/>
                <w:sz w:val="18"/>
              </w:rPr>
              <w:t>Ecosystem &amp; Liquidity</w:t>
            </w:r>
          </w:p>
        </w:tc>
        <w:tc>
          <w:tcPr>
            <w:tcW w:type="dxa" w:w="1584"/>
            <w:shd w:val="clear" w:color="auto" w:fill="EBF2FA"/>
            <w:tcMar>
              <w:top w:w="60" w:type="dxa"/>
              <w:bottom w:w="60" w:type="dxa"/>
              <w:left w:w="160" w:type="dxa"/>
              <w:right w:w="80" w:type="dxa"/>
            </w:tcMar>
            <w:vAlign w:val="center"/>
          </w:tcPr>
          <w:p>
            <w:r>
              <w:rPr>
                <w:rFonts w:ascii="Calibri" w:hAnsi="Calibri"/>
                <w:b w:val="0"/>
                <w:i w:val="0"/>
                <w:color w:val="0A1A35"/>
                <w:sz w:val="18"/>
              </w:rPr>
              <w:t>40%</w:t>
            </w:r>
          </w:p>
        </w:tc>
        <w:tc>
          <w:tcPr>
            <w:tcW w:type="dxa" w:w="2160"/>
            <w:shd w:val="clear" w:color="auto" w:fill="EBF2FA"/>
            <w:tcMar>
              <w:top w:w="60" w:type="dxa"/>
              <w:bottom w:w="60" w:type="dxa"/>
              <w:left w:w="160" w:type="dxa"/>
              <w:right w:w="80" w:type="dxa"/>
            </w:tcMar>
            <w:vAlign w:val="center"/>
          </w:tcPr>
          <w:p>
            <w:r>
              <w:rPr>
                <w:rFonts w:ascii="Calibri" w:hAnsi="Calibri"/>
                <w:b w:val="0"/>
                <w:i w:val="0"/>
                <w:color w:val="0A1A35"/>
                <w:sz w:val="18"/>
              </w:rPr>
              <w:t>400,000,000</w:t>
            </w:r>
          </w:p>
        </w:tc>
        <w:tc>
          <w:tcPr>
            <w:tcW w:type="dxa" w:w="2592"/>
            <w:shd w:val="clear" w:color="auto" w:fill="EBF2FA"/>
            <w:tcMar>
              <w:top w:w="60" w:type="dxa"/>
              <w:bottom w:w="60" w:type="dxa"/>
              <w:left w:w="160" w:type="dxa"/>
              <w:right w:w="80" w:type="dxa"/>
            </w:tcMar>
            <w:vAlign w:val="center"/>
          </w:tcPr>
          <w:p>
            <w:r>
              <w:rPr>
                <w:rFonts w:ascii="Calibri" w:hAnsi="Calibri"/>
                <w:b w:val="0"/>
                <w:i w:val="0"/>
                <w:color w:val="0A1A35"/>
                <w:sz w:val="18"/>
              </w:rPr>
              <w:t>Supporting DEX pools and payment rails</w:t>
            </w:r>
          </w:p>
        </w:tc>
      </w:tr>
      <w:tr>
        <w:trPr>
          <w:trHeight w:val="440"/>
        </w:trPr>
        <w:tc>
          <w:tcPr>
            <w:tcW w:type="dxa" w:w="3024"/>
            <w:shd w:val="clear" w:color="auto" w:fill="FFFFFF"/>
            <w:tcMar>
              <w:top w:w="60" w:type="dxa"/>
              <w:bottom w:w="60" w:type="dxa"/>
              <w:left w:w="160" w:type="dxa"/>
              <w:right w:w="80" w:type="dxa"/>
            </w:tcMar>
            <w:vAlign w:val="center"/>
          </w:tcPr>
          <w:p>
            <w:r>
              <w:rPr>
                <w:rFonts w:ascii="Calibri" w:hAnsi="Calibri"/>
                <w:b w:val="0"/>
                <w:i w:val="0"/>
                <w:color w:val="0A1A35"/>
                <w:sz w:val="18"/>
              </w:rPr>
              <w:t>Company Reserve</w:t>
            </w:r>
          </w:p>
        </w:tc>
        <w:tc>
          <w:tcPr>
            <w:tcW w:type="dxa" w:w="1584"/>
            <w:shd w:val="clear" w:color="auto" w:fill="FFFFFF"/>
            <w:tcMar>
              <w:top w:w="60" w:type="dxa"/>
              <w:bottom w:w="60" w:type="dxa"/>
              <w:left w:w="160" w:type="dxa"/>
              <w:right w:w="80" w:type="dxa"/>
            </w:tcMar>
            <w:vAlign w:val="center"/>
          </w:tcPr>
          <w:p>
            <w:r>
              <w:rPr>
                <w:rFonts w:ascii="Calibri" w:hAnsi="Calibri"/>
                <w:b w:val="0"/>
                <w:i w:val="0"/>
                <w:color w:val="0A1A35"/>
                <w:sz w:val="18"/>
              </w:rPr>
              <w:t>25%</w:t>
            </w:r>
          </w:p>
        </w:tc>
        <w:tc>
          <w:tcPr>
            <w:tcW w:type="dxa" w:w="2160"/>
            <w:shd w:val="clear" w:color="auto" w:fill="FFFFFF"/>
            <w:tcMar>
              <w:top w:w="60" w:type="dxa"/>
              <w:bottom w:w="60" w:type="dxa"/>
              <w:left w:w="160" w:type="dxa"/>
              <w:right w:w="80" w:type="dxa"/>
            </w:tcMar>
            <w:vAlign w:val="center"/>
          </w:tcPr>
          <w:p>
            <w:r>
              <w:rPr>
                <w:rFonts w:ascii="Calibri" w:hAnsi="Calibri"/>
                <w:b w:val="0"/>
                <w:i w:val="0"/>
                <w:color w:val="0A1A35"/>
                <w:sz w:val="18"/>
              </w:rPr>
              <w:t>250,000,000</w:t>
            </w:r>
          </w:p>
        </w:tc>
        <w:tc>
          <w:tcPr>
            <w:tcW w:type="dxa" w:w="2592"/>
            <w:shd w:val="clear" w:color="auto" w:fill="FFFFFF"/>
            <w:tcMar>
              <w:top w:w="60" w:type="dxa"/>
              <w:bottom w:w="60" w:type="dxa"/>
              <w:left w:w="160" w:type="dxa"/>
              <w:right w:w="80" w:type="dxa"/>
            </w:tcMar>
            <w:vAlign w:val="center"/>
          </w:tcPr>
          <w:p>
            <w:r>
              <w:rPr>
                <w:rFonts w:ascii="Calibri" w:hAnsi="Calibri"/>
                <w:b w:val="0"/>
                <w:i w:val="0"/>
                <w:color w:val="0A1A35"/>
                <w:sz w:val="18"/>
              </w:rPr>
              <w:t>24-month lock-up — operational reserves</w:t>
            </w:r>
          </w:p>
        </w:tc>
      </w:tr>
      <w:tr>
        <w:trPr>
          <w:trHeight w:val="440"/>
        </w:trPr>
        <w:tc>
          <w:tcPr>
            <w:tcW w:type="dxa" w:w="3024"/>
            <w:shd w:val="clear" w:color="auto" w:fill="EBF2FA"/>
            <w:tcMar>
              <w:top w:w="60" w:type="dxa"/>
              <w:bottom w:w="60" w:type="dxa"/>
              <w:left w:w="160" w:type="dxa"/>
              <w:right w:w="80" w:type="dxa"/>
            </w:tcMar>
            <w:vAlign w:val="center"/>
          </w:tcPr>
          <w:p>
            <w:r>
              <w:rPr>
                <w:rFonts w:ascii="Calibri" w:hAnsi="Calibri"/>
                <w:b w:val="0"/>
                <w:i w:val="0"/>
                <w:color w:val="0A1A35"/>
                <w:sz w:val="18"/>
              </w:rPr>
              <w:t>Team &amp; Advisors</w:t>
            </w:r>
          </w:p>
        </w:tc>
        <w:tc>
          <w:tcPr>
            <w:tcW w:type="dxa" w:w="1584"/>
            <w:shd w:val="clear" w:color="auto" w:fill="EBF2FA"/>
            <w:tcMar>
              <w:top w:w="60" w:type="dxa"/>
              <w:bottom w:w="60" w:type="dxa"/>
              <w:left w:w="160" w:type="dxa"/>
              <w:right w:w="80" w:type="dxa"/>
            </w:tcMar>
            <w:vAlign w:val="center"/>
          </w:tcPr>
          <w:p>
            <w:r>
              <w:rPr>
                <w:rFonts w:ascii="Calibri" w:hAnsi="Calibri"/>
                <w:b w:val="0"/>
                <w:i w:val="0"/>
                <w:color w:val="0A1A35"/>
                <w:sz w:val="18"/>
              </w:rPr>
              <w:t>15%</w:t>
            </w:r>
          </w:p>
        </w:tc>
        <w:tc>
          <w:tcPr>
            <w:tcW w:type="dxa" w:w="2160"/>
            <w:shd w:val="clear" w:color="auto" w:fill="EBF2FA"/>
            <w:tcMar>
              <w:top w:w="60" w:type="dxa"/>
              <w:bottom w:w="60" w:type="dxa"/>
              <w:left w:w="160" w:type="dxa"/>
              <w:right w:w="80" w:type="dxa"/>
            </w:tcMar>
            <w:vAlign w:val="center"/>
          </w:tcPr>
          <w:p>
            <w:r>
              <w:rPr>
                <w:rFonts w:ascii="Calibri" w:hAnsi="Calibri"/>
                <w:b w:val="0"/>
                <w:i w:val="0"/>
                <w:color w:val="0A1A35"/>
                <w:sz w:val="18"/>
              </w:rPr>
              <w:t>150,000,000</w:t>
            </w:r>
          </w:p>
        </w:tc>
        <w:tc>
          <w:tcPr>
            <w:tcW w:type="dxa" w:w="2592"/>
            <w:shd w:val="clear" w:color="auto" w:fill="EBF2FA"/>
            <w:tcMar>
              <w:top w:w="60" w:type="dxa"/>
              <w:bottom w:w="60" w:type="dxa"/>
              <w:left w:w="160" w:type="dxa"/>
              <w:right w:w="80" w:type="dxa"/>
            </w:tcMar>
            <w:vAlign w:val="center"/>
          </w:tcPr>
          <w:p>
            <w:r>
              <w:rPr>
                <w:rFonts w:ascii="Calibri" w:hAnsi="Calibri"/>
                <w:b w:val="0"/>
                <w:i w:val="0"/>
                <w:color w:val="0A1A35"/>
                <w:sz w:val="18"/>
              </w:rPr>
              <w:t>36-month vest · 12-month cliff</w:t>
            </w:r>
          </w:p>
        </w:tc>
      </w:tr>
      <w:tr>
        <w:trPr>
          <w:trHeight w:val="440"/>
        </w:trPr>
        <w:tc>
          <w:tcPr>
            <w:tcW w:type="dxa" w:w="3024"/>
            <w:shd w:val="clear" w:color="auto" w:fill="FFFFFF"/>
            <w:tcMar>
              <w:top w:w="60" w:type="dxa"/>
              <w:bottom w:w="60" w:type="dxa"/>
              <w:left w:w="160" w:type="dxa"/>
              <w:right w:w="80" w:type="dxa"/>
            </w:tcMar>
            <w:vAlign w:val="center"/>
          </w:tcPr>
          <w:p>
            <w:r>
              <w:rPr>
                <w:rFonts w:ascii="Calibri" w:hAnsi="Calibri"/>
                <w:b w:val="0"/>
                <w:i w:val="0"/>
                <w:color w:val="0A1A35"/>
                <w:sz w:val="18"/>
              </w:rPr>
              <w:t>Public Sale</w:t>
            </w:r>
          </w:p>
        </w:tc>
        <w:tc>
          <w:tcPr>
            <w:tcW w:type="dxa" w:w="1584"/>
            <w:shd w:val="clear" w:color="auto" w:fill="FFFFFF"/>
            <w:tcMar>
              <w:top w:w="60" w:type="dxa"/>
              <w:bottom w:w="60" w:type="dxa"/>
              <w:left w:w="160" w:type="dxa"/>
              <w:right w:w="80" w:type="dxa"/>
            </w:tcMar>
            <w:vAlign w:val="center"/>
          </w:tcPr>
          <w:p>
            <w:r>
              <w:rPr>
                <w:rFonts w:ascii="Calibri" w:hAnsi="Calibri"/>
                <w:b w:val="0"/>
                <w:i w:val="0"/>
                <w:color w:val="0A1A35"/>
                <w:sz w:val="18"/>
              </w:rPr>
              <w:t>10%</w:t>
            </w:r>
          </w:p>
        </w:tc>
        <w:tc>
          <w:tcPr>
            <w:tcW w:type="dxa" w:w="2160"/>
            <w:shd w:val="clear" w:color="auto" w:fill="FFFFFF"/>
            <w:tcMar>
              <w:top w:w="60" w:type="dxa"/>
              <w:bottom w:w="60" w:type="dxa"/>
              <w:left w:w="160" w:type="dxa"/>
              <w:right w:w="80" w:type="dxa"/>
            </w:tcMar>
            <w:vAlign w:val="center"/>
          </w:tcPr>
          <w:p>
            <w:r>
              <w:rPr>
                <w:rFonts w:ascii="Calibri" w:hAnsi="Calibri"/>
                <w:b w:val="0"/>
                <w:i w:val="0"/>
                <w:color w:val="0A1A35"/>
                <w:sz w:val="18"/>
              </w:rPr>
              <w:t>100,000,000</w:t>
            </w:r>
          </w:p>
        </w:tc>
        <w:tc>
          <w:tcPr>
            <w:tcW w:type="dxa" w:w="2592"/>
            <w:shd w:val="clear" w:color="auto" w:fill="FFFFFF"/>
            <w:tcMar>
              <w:top w:w="60" w:type="dxa"/>
              <w:bottom w:w="60" w:type="dxa"/>
              <w:left w:w="160" w:type="dxa"/>
              <w:right w:w="80" w:type="dxa"/>
            </w:tcMar>
            <w:vAlign w:val="center"/>
          </w:tcPr>
          <w:p>
            <w:r>
              <w:rPr>
                <w:rFonts w:ascii="Calibri" w:hAnsi="Calibri"/>
                <w:b w:val="0"/>
                <w:i w:val="0"/>
                <w:color w:val="0A1A35"/>
                <w:sz w:val="18"/>
              </w:rPr>
              <w:t>Available via DEX at launch</w:t>
            </w:r>
          </w:p>
        </w:tc>
      </w:tr>
      <w:tr>
        <w:trPr>
          <w:trHeight w:val="440"/>
        </w:trPr>
        <w:tc>
          <w:tcPr>
            <w:tcW w:type="dxa" w:w="3024"/>
            <w:shd w:val="clear" w:color="auto" w:fill="EBF2FA"/>
            <w:tcMar>
              <w:top w:w="60" w:type="dxa"/>
              <w:bottom w:w="60" w:type="dxa"/>
              <w:left w:w="160" w:type="dxa"/>
              <w:right w:w="80" w:type="dxa"/>
            </w:tcMar>
            <w:vAlign w:val="center"/>
          </w:tcPr>
          <w:p>
            <w:r>
              <w:rPr>
                <w:rFonts w:ascii="Calibri" w:hAnsi="Calibri"/>
                <w:b w:val="0"/>
                <w:i w:val="0"/>
                <w:color w:val="0A1A35"/>
                <w:sz w:val="18"/>
              </w:rPr>
              <w:t>Strategic Partnerships</w:t>
            </w:r>
          </w:p>
        </w:tc>
        <w:tc>
          <w:tcPr>
            <w:tcW w:type="dxa" w:w="1584"/>
            <w:shd w:val="clear" w:color="auto" w:fill="EBF2FA"/>
            <w:tcMar>
              <w:top w:w="60" w:type="dxa"/>
              <w:bottom w:w="60" w:type="dxa"/>
              <w:left w:w="160" w:type="dxa"/>
              <w:right w:w="80" w:type="dxa"/>
            </w:tcMar>
            <w:vAlign w:val="center"/>
          </w:tcPr>
          <w:p>
            <w:r>
              <w:rPr>
                <w:rFonts w:ascii="Calibri" w:hAnsi="Calibri"/>
                <w:b w:val="0"/>
                <w:i w:val="0"/>
                <w:color w:val="0A1A35"/>
                <w:sz w:val="18"/>
              </w:rPr>
              <w:t>10%</w:t>
            </w:r>
          </w:p>
        </w:tc>
        <w:tc>
          <w:tcPr>
            <w:tcW w:type="dxa" w:w="2160"/>
            <w:shd w:val="clear" w:color="auto" w:fill="EBF2FA"/>
            <w:tcMar>
              <w:top w:w="60" w:type="dxa"/>
              <w:bottom w:w="60" w:type="dxa"/>
              <w:left w:w="160" w:type="dxa"/>
              <w:right w:w="80" w:type="dxa"/>
            </w:tcMar>
            <w:vAlign w:val="center"/>
          </w:tcPr>
          <w:p>
            <w:r>
              <w:rPr>
                <w:rFonts w:ascii="Calibri" w:hAnsi="Calibri"/>
                <w:b w:val="0"/>
                <w:i w:val="0"/>
                <w:color w:val="0A1A35"/>
                <w:sz w:val="18"/>
              </w:rPr>
              <w:t>100,000,000</w:t>
            </w:r>
          </w:p>
        </w:tc>
        <w:tc>
          <w:tcPr>
            <w:tcW w:type="dxa" w:w="2592"/>
            <w:shd w:val="clear" w:color="auto" w:fill="EBF2FA"/>
            <w:tcMar>
              <w:top w:w="60" w:type="dxa"/>
              <w:bottom w:w="60" w:type="dxa"/>
              <w:left w:w="160" w:type="dxa"/>
              <w:right w:w="80" w:type="dxa"/>
            </w:tcMar>
            <w:vAlign w:val="center"/>
          </w:tcPr>
          <w:p>
            <w:r>
              <w:rPr>
                <w:rFonts w:ascii="Calibri" w:hAnsi="Calibri"/>
                <w:b w:val="0"/>
                <w:i w:val="0"/>
                <w:color w:val="0A1A35"/>
                <w:sz w:val="18"/>
              </w:rPr>
              <w:t>Exchange listings and integrations</w:t>
            </w:r>
          </w:p>
        </w:tc>
      </w:tr>
    </w:tbl>
    <w:p>
      <w:pPr>
        <w:spacing w:after="160"/>
      </w:pPr>
    </w:p>
    <w:p>
      <w:pPr>
        <w:spacing w:before="280" w:after="0"/>
        <w:shd w:val="clear" w:color="auto" w:fill="0A1A35"/>
        <w:ind w:left="0" w:right="0"/>
      </w:pPr>
      <w:r>
        <w:rPr>
          <w:rFonts w:ascii="Calibri" w:hAnsi="Calibri"/>
          <w:b/>
          <w:i w:val="0"/>
          <w:color w:val="C9A227"/>
          <w:sz w:val="26"/>
        </w:rPr>
        <w:t xml:space="preserve">  04  —  TECHNOLOGY &amp; INFRASTRUCTURE</w:t>
      </w:r>
    </w:p>
    <w:p>
      <w:pPr>
        <w:spacing w:before="0" w:after="160"/>
        <w:shd w:val="clear" w:color="auto" w:fill="1E3A6E"/>
      </w:pPr>
      <w:r>
        <w:rPr>
          <w:rFonts w:ascii="Calibri" w:hAnsi="Calibri"/>
          <w:b w:val="0"/>
          <w:i/>
          <w:color w:val="FFFFFF"/>
          <w:sz w:val="18"/>
        </w:rPr>
        <w:t xml:space="preserve">  Proprietary FastAPI Backend · Multi-Network Settlement · Enterprise Grade</w:t>
      </w:r>
    </w:p>
    <w:p>
      <w:pPr>
        <w:spacing w:before="0" w:after="120"/>
      </w:pPr>
      <w:r>
        <w:rPr>
          <w:rFonts w:ascii="Calibri" w:hAnsi="Calibri"/>
          <w:b w:val="0"/>
          <w:i w:val="0"/>
          <w:sz w:val="20"/>
        </w:rPr>
        <w:t>The ALSIG payment system is built on a proprietary cloud-native architecture deployed on Render infrastructure, ensuring 99.9% uptime and real-time transaction processing at institutional scale.</w:t>
      </w:r>
    </w:p>
    <w:tbl>
      <w:tblPr>
        <w:tblStyle w:val="TableGrid"/>
        <w:tblW w:type="auto" w:w="0"/>
        <w:tblLook w:firstColumn="1" w:firstRow="1" w:lastColumn="0" w:lastRow="0" w:noHBand="0" w:noVBand="1" w:val="04A0"/>
      </w:tblPr>
      <w:tblGrid>
        <w:gridCol w:w="4680"/>
        <w:gridCol w:w="4680"/>
      </w:tblGrid>
      <w:tr>
        <w:tc>
          <w:tcPr>
            <w:tcW w:type="dxa" w:w="3168"/>
            <w:shd w:val="clear" w:color="auto" w:fill="0A1A35"/>
            <w:tcMar>
              <w:top w:w="80" w:type="dxa"/>
              <w:bottom w:w="80" w:type="dxa"/>
              <w:left w:w="160" w:type="dxa"/>
              <w:right w:w="80" w:type="dxa"/>
            </w:tcMar>
          </w:tcPr>
          <w:p>
            <w:pPr>
              <w:jc w:val="center"/>
            </w:pPr>
            <w:r>
              <w:rPr>
                <w:rFonts w:ascii="Calibri" w:hAnsi="Calibri"/>
                <w:b/>
                <w:i w:val="0"/>
                <w:color w:val="C9A227"/>
                <w:sz w:val="18"/>
              </w:rPr>
              <w:t>Component</w:t>
            </w:r>
          </w:p>
        </w:tc>
        <w:tc>
          <w:tcPr>
            <w:tcW w:type="dxa" w:w="6192"/>
            <w:shd w:val="clear" w:color="auto" w:fill="0A1A35"/>
            <w:tcMar>
              <w:top w:w="80" w:type="dxa"/>
              <w:bottom w:w="80" w:type="dxa"/>
              <w:left w:w="160" w:type="dxa"/>
              <w:right w:w="80" w:type="dxa"/>
            </w:tcMar>
          </w:tcPr>
          <w:p>
            <w:pPr>
              <w:jc w:val="center"/>
            </w:pPr>
            <w:r>
              <w:rPr>
                <w:rFonts w:ascii="Calibri" w:hAnsi="Calibri"/>
                <w:b/>
                <w:i w:val="0"/>
                <w:color w:val="C9A227"/>
                <w:sz w:val="18"/>
              </w:rPr>
              <w:t>Function</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val="0"/>
                <w:i w:val="0"/>
                <w:color w:val="0A1A35"/>
                <w:sz w:val="18"/>
              </w:rPr>
              <w:t>Payment Order Engine</w:t>
            </w:r>
          </w:p>
        </w:tc>
        <w:tc>
          <w:tcPr>
            <w:tcW w:type="dxa" w:w="6192"/>
            <w:shd w:val="clear" w:color="auto" w:fill="EBF2FA"/>
            <w:tcMar>
              <w:top w:w="60" w:type="dxa"/>
              <w:bottom w:w="60" w:type="dxa"/>
              <w:left w:w="160" w:type="dxa"/>
              <w:right w:w="80" w:type="dxa"/>
            </w:tcMar>
            <w:vAlign w:val="center"/>
          </w:tcPr>
          <w:p>
            <w:r>
              <w:rPr>
                <w:rFonts w:ascii="Calibri" w:hAnsi="Calibri"/>
                <w:b w:val="0"/>
                <w:i w:val="0"/>
                <w:color w:val="0A1A35"/>
                <w:sz w:val="18"/>
              </w:rPr>
              <w:t>Real-time fiat-to-crypto conversion and cross-border settlement</w:t>
            </w:r>
          </w:p>
        </w:tc>
      </w:tr>
      <w:tr>
        <w:trPr>
          <w:trHeight w:val="440"/>
        </w:trPr>
        <w:tc>
          <w:tcPr>
            <w:tcW w:type="dxa" w:w="3168"/>
            <w:shd w:val="clear" w:color="auto" w:fill="FFFFFF"/>
            <w:tcMar>
              <w:top w:w="60" w:type="dxa"/>
              <w:bottom w:w="60" w:type="dxa"/>
              <w:left w:w="160" w:type="dxa"/>
              <w:right w:w="80" w:type="dxa"/>
            </w:tcMar>
            <w:vAlign w:val="center"/>
          </w:tcPr>
          <w:p>
            <w:r>
              <w:rPr>
                <w:rFonts w:ascii="Calibri" w:hAnsi="Calibri"/>
                <w:b w:val="0"/>
                <w:i w:val="0"/>
                <w:color w:val="0A1A35"/>
                <w:sz w:val="18"/>
              </w:rPr>
              <w:t>M1 Tokenization Module</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EUR → USD → SIG conversion with on-chain delivery via Ethereum</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val="0"/>
                <w:i w:val="0"/>
                <w:color w:val="0A1A35"/>
                <w:sz w:val="18"/>
              </w:rPr>
              <w:t>Smart Contract Layer</w:t>
            </w:r>
          </w:p>
        </w:tc>
        <w:tc>
          <w:tcPr>
            <w:tcW w:type="dxa" w:w="6192"/>
            <w:shd w:val="clear" w:color="auto" w:fill="EBF2FA"/>
            <w:tcMar>
              <w:top w:w="60" w:type="dxa"/>
              <w:bottom w:w="60" w:type="dxa"/>
              <w:left w:w="160" w:type="dxa"/>
              <w:right w:w="80" w:type="dxa"/>
            </w:tcMar>
            <w:vAlign w:val="center"/>
          </w:tcPr>
          <w:p>
            <w:r>
              <w:rPr>
                <w:rFonts w:ascii="Calibri" w:hAnsi="Calibri"/>
                <w:b w:val="0"/>
                <w:i w:val="0"/>
                <w:color w:val="0A1A35"/>
                <w:sz w:val="18"/>
              </w:rPr>
              <w:t>ERC-20 transfers via Ethereum and Base networks</w:t>
            </w:r>
          </w:p>
        </w:tc>
      </w:tr>
      <w:tr>
        <w:trPr>
          <w:trHeight w:val="440"/>
        </w:trPr>
        <w:tc>
          <w:tcPr>
            <w:tcW w:type="dxa" w:w="3168"/>
            <w:shd w:val="clear" w:color="auto" w:fill="FFFFFF"/>
            <w:tcMar>
              <w:top w:w="60" w:type="dxa"/>
              <w:bottom w:w="60" w:type="dxa"/>
              <w:left w:w="160" w:type="dxa"/>
              <w:right w:w="80" w:type="dxa"/>
            </w:tcMar>
            <w:vAlign w:val="center"/>
          </w:tcPr>
          <w:p>
            <w:r>
              <w:rPr>
                <w:rFonts w:ascii="Calibri" w:hAnsi="Calibri"/>
                <w:b w:val="0"/>
                <w:i w:val="0"/>
                <w:color w:val="0A1A35"/>
                <w:sz w:val="18"/>
              </w:rPr>
              <w:t>Admin Control Dashboard</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Full transaction monitoring, private reporting, and audit trails</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val="0"/>
                <w:i w:val="0"/>
                <w:color w:val="0A1A35"/>
                <w:sz w:val="18"/>
              </w:rPr>
              <w:t>Webhook &amp; Notifications</w:t>
            </w:r>
          </w:p>
        </w:tc>
        <w:tc>
          <w:tcPr>
            <w:tcW w:type="dxa" w:w="6192"/>
            <w:shd w:val="clear" w:color="auto" w:fill="EBF2FA"/>
            <w:tcMar>
              <w:top w:w="60" w:type="dxa"/>
              <w:bottom w:w="60" w:type="dxa"/>
              <w:left w:w="160" w:type="dxa"/>
              <w:right w:w="80" w:type="dxa"/>
            </w:tcMar>
            <w:vAlign w:val="center"/>
          </w:tcPr>
          <w:p>
            <w:r>
              <w:rPr>
                <w:rFonts w:ascii="Calibri" w:hAnsi="Calibri"/>
                <w:b w:val="0"/>
                <w:i w:val="0"/>
                <w:color w:val="0A1A35"/>
                <w:sz w:val="18"/>
              </w:rPr>
              <w:t>Real-time HTTPS callbacks for payment status updates</w:t>
            </w:r>
          </w:p>
        </w:tc>
      </w:tr>
      <w:tr>
        <w:trPr>
          <w:trHeight w:val="440"/>
        </w:trPr>
        <w:tc>
          <w:tcPr>
            <w:tcW w:type="dxa" w:w="3168"/>
            <w:shd w:val="clear" w:color="auto" w:fill="FFFFFF"/>
            <w:tcMar>
              <w:top w:w="60" w:type="dxa"/>
              <w:bottom w:w="60" w:type="dxa"/>
              <w:left w:w="160" w:type="dxa"/>
              <w:right w:w="80" w:type="dxa"/>
            </w:tcMar>
            <w:vAlign w:val="center"/>
          </w:tcPr>
          <w:p>
            <w:r>
              <w:rPr>
                <w:rFonts w:ascii="Calibri" w:hAnsi="Calibri"/>
                <w:b w:val="0"/>
                <w:i w:val="0"/>
                <w:color w:val="0A1A35"/>
                <w:sz w:val="18"/>
              </w:rPr>
              <w:t>Multi-Provider Gateway</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MoonPay · Circle USDC · Stripe · Alchemy Events · Direct Crypto</w:t>
            </w:r>
          </w:p>
        </w:tc>
      </w:tr>
      <w:tr>
        <w:trPr>
          <w:trHeight w:val="440"/>
        </w:trPr>
        <w:tc>
          <w:tcPr>
            <w:tcW w:type="dxa" w:w="3168"/>
            <w:shd w:val="clear" w:color="auto" w:fill="EBF2FA"/>
            <w:tcMar>
              <w:top w:w="60" w:type="dxa"/>
              <w:bottom w:w="60" w:type="dxa"/>
              <w:left w:w="160" w:type="dxa"/>
              <w:right w:w="80" w:type="dxa"/>
            </w:tcMar>
            <w:vAlign w:val="center"/>
          </w:tcPr>
          <w:p>
            <w:r>
              <w:rPr>
                <w:rFonts w:ascii="Calibri" w:hAnsi="Calibri"/>
                <w:b w:val="0"/>
                <w:i w:val="0"/>
                <w:color w:val="0A1A35"/>
                <w:sz w:val="18"/>
              </w:rPr>
              <w:t>SWIFT Terminal</w:t>
            </w:r>
          </w:p>
        </w:tc>
        <w:tc>
          <w:tcPr>
            <w:tcW w:type="dxa" w:w="6192"/>
            <w:shd w:val="clear" w:color="auto" w:fill="EBF2FA"/>
            <w:tcMar>
              <w:top w:w="60" w:type="dxa"/>
              <w:bottom w:w="60" w:type="dxa"/>
              <w:left w:w="160" w:type="dxa"/>
              <w:right w:w="80" w:type="dxa"/>
            </w:tcMar>
            <w:vAlign w:val="center"/>
          </w:tcPr>
          <w:p>
            <w:r>
              <w:rPr>
                <w:rFonts w:ascii="Calibri" w:hAnsi="Calibri"/>
                <w:b w:val="0"/>
                <w:i w:val="0"/>
                <w:color w:val="0A1A35"/>
                <w:sz w:val="18"/>
              </w:rPr>
              <w:t>International SWIFT messaging, document management, search</w:t>
            </w:r>
          </w:p>
        </w:tc>
      </w:tr>
      <w:tr>
        <w:trPr>
          <w:trHeight w:val="440"/>
        </w:trPr>
        <w:tc>
          <w:tcPr>
            <w:tcW w:type="dxa" w:w="3168"/>
            <w:shd w:val="clear" w:color="auto" w:fill="FFFFFF"/>
            <w:tcMar>
              <w:top w:w="60" w:type="dxa"/>
              <w:bottom w:w="60" w:type="dxa"/>
              <w:left w:w="160" w:type="dxa"/>
              <w:right w:w="80" w:type="dxa"/>
            </w:tcMar>
            <w:vAlign w:val="center"/>
          </w:tcPr>
          <w:p>
            <w:r>
              <w:rPr>
                <w:rFonts w:ascii="Calibri" w:hAnsi="Calibri"/>
                <w:b w:val="0"/>
                <w:i w:val="0"/>
                <w:color w:val="0A1A35"/>
                <w:sz w:val="18"/>
              </w:rPr>
              <w:t>Security Module</w:t>
            </w:r>
          </w:p>
        </w:tc>
        <w:tc>
          <w:tcPr>
            <w:tcW w:type="dxa" w:w="6192"/>
            <w:shd w:val="clear" w:color="auto" w:fill="FFFFFF"/>
            <w:tcMar>
              <w:top w:w="60" w:type="dxa"/>
              <w:bottom w:w="60" w:type="dxa"/>
              <w:left w:w="160" w:type="dxa"/>
              <w:right w:w="80" w:type="dxa"/>
            </w:tcMar>
            <w:vAlign w:val="center"/>
          </w:tcPr>
          <w:p>
            <w:r>
              <w:rPr>
                <w:rFonts w:ascii="Calibri" w:hAnsi="Calibri"/>
                <w:b w:val="0"/>
                <w:i w:val="0"/>
                <w:color w:val="0A1A35"/>
                <w:sz w:val="18"/>
              </w:rPr>
              <w:t>X-Admin-API-Key authentication · Session management · Audit logs</w:t>
            </w:r>
          </w:p>
        </w:tc>
      </w:tr>
    </w:tbl>
    <w:p>
      <w:pPr>
        <w:spacing w:after="160"/>
      </w:pPr>
    </w:p>
    <w:p>
      <w:r>
        <w:br w:type="page"/>
      </w:r>
    </w:p>
    <w:p>
      <w:pPr>
        <w:spacing w:before="280" w:after="0"/>
        <w:shd w:val="clear" w:color="auto" w:fill="0A1A35"/>
        <w:ind w:left="0" w:right="0"/>
      </w:pPr>
      <w:r>
        <w:rPr>
          <w:rFonts w:ascii="Calibri" w:hAnsi="Calibri"/>
          <w:b/>
          <w:i w:val="0"/>
          <w:color w:val="C9A227"/>
          <w:sz w:val="26"/>
        </w:rPr>
        <w:t xml:space="preserve">  05  —  USE CASES</w:t>
      </w:r>
    </w:p>
    <w:p>
      <w:pPr>
        <w:spacing w:before="0" w:after="160"/>
        <w:shd w:val="clear" w:color="auto" w:fill="1E3A6E"/>
      </w:pPr>
      <w:r>
        <w:rPr>
          <w:rFonts w:ascii="Calibri" w:hAnsi="Calibri"/>
          <w:b w:val="0"/>
          <w:i/>
          <w:color w:val="FFFFFF"/>
          <w:sz w:val="18"/>
        </w:rPr>
        <w:t xml:space="preserve">  Cross-Border Settlement · M1 Tokenization · Treasury Management</w:t>
      </w:r>
    </w:p>
    <w:p>
      <w:pPr>
        <w:spacing w:before="120" w:after="40"/>
      </w:pPr>
      <w:r>
        <w:rPr>
          <w:rFonts w:ascii="Calibri" w:hAnsi="Calibri"/>
          <w:b/>
          <w:i w:val="0"/>
          <w:color w:val="1E3A6E"/>
          <w:sz w:val="20"/>
        </w:rPr>
        <w:t>Payment Settlement</w:t>
      </w:r>
    </w:p>
    <w:p>
      <w:pPr>
        <w:spacing w:before="0" w:after="120"/>
        <w:pBdr>
          <w:bottom w:val="single" w:sz="4" w:space="2" w:color="EBF2FA"/>
        </w:pBdr>
      </w:pPr>
      <w:r>
        <w:rPr>
          <w:rFonts w:ascii="Calibri" w:hAnsi="Calibri"/>
          <w:b w:val="0"/>
          <w:i w:val="0"/>
          <w:color w:val="0A1A35"/>
          <w:sz w:val="20"/>
        </w:rPr>
        <w:t>SIG serves as the primary settlement asset for cross-border B2B payments processed through the ALSIG payment gateway. Corporate clients receive SIG on-chain within minutes of fiat transfer confirmation.</w:t>
      </w:r>
    </w:p>
    <w:p>
      <w:pPr>
        <w:spacing w:before="120" w:after="40"/>
      </w:pPr>
      <w:r>
        <w:rPr>
          <w:rFonts w:ascii="Calibri" w:hAnsi="Calibri"/>
          <w:b/>
          <w:i w:val="0"/>
          <w:color w:val="1E3A6E"/>
          <w:sz w:val="20"/>
        </w:rPr>
        <w:t>M1 Tokenization</w:t>
      </w:r>
    </w:p>
    <w:p>
      <w:pPr>
        <w:spacing w:before="0" w:after="120"/>
        <w:pBdr>
          <w:bottom w:val="single" w:sz="4" w:space="2" w:color="EBF2FA"/>
        </w:pBdr>
      </w:pPr>
      <w:r>
        <w:rPr>
          <w:rFonts w:ascii="Calibri" w:hAnsi="Calibri"/>
          <w:b w:val="0"/>
          <w:i w:val="0"/>
          <w:color w:val="0A1A35"/>
          <w:sz w:val="20"/>
        </w:rPr>
        <w:t>EUR-denominated wire transfers from European correspondent banks are converted through the M1 Engine: EUR → USD (via live FX rate) → SIG (on-chain delivery). This eliminates traditional correspondent banking delays.</w:t>
      </w:r>
    </w:p>
    <w:p>
      <w:pPr>
        <w:spacing w:before="120" w:after="40"/>
      </w:pPr>
      <w:r>
        <w:rPr>
          <w:rFonts w:ascii="Calibri" w:hAnsi="Calibri"/>
          <w:b/>
          <w:i w:val="0"/>
          <w:color w:val="1E3A6E"/>
          <w:sz w:val="20"/>
        </w:rPr>
        <w:t>Digital Treasury</w:t>
      </w:r>
    </w:p>
    <w:p>
      <w:pPr>
        <w:spacing w:before="0" w:after="120"/>
        <w:pBdr>
          <w:bottom w:val="single" w:sz="4" w:space="2" w:color="EBF2FA"/>
        </w:pBdr>
      </w:pPr>
      <w:r>
        <w:rPr>
          <w:rFonts w:ascii="Calibri" w:hAnsi="Calibri"/>
          <w:b w:val="0"/>
          <w:i w:val="0"/>
          <w:color w:val="0A1A35"/>
          <w:sz w:val="20"/>
        </w:rPr>
        <w:t>Institutional clients maintain SIG balances in their ALSIG treasury accounts, enabling instant deployment for payment operations without the latency of traditional banking rails.</w:t>
      </w:r>
    </w:p>
    <w:p>
      <w:pPr>
        <w:spacing w:before="120" w:after="40"/>
      </w:pPr>
      <w:r>
        <w:rPr>
          <w:rFonts w:ascii="Calibri" w:hAnsi="Calibri"/>
          <w:b/>
          <w:i w:val="0"/>
          <w:color w:val="1E3A6E"/>
          <w:sz w:val="20"/>
        </w:rPr>
        <w:t>Cross-Network Transfer</w:t>
      </w:r>
    </w:p>
    <w:p>
      <w:pPr>
        <w:spacing w:before="0" w:after="120"/>
        <w:pBdr>
          <w:bottom w:val="single" w:sz="4" w:space="2" w:color="EBF2FA"/>
        </w:pBdr>
      </w:pPr>
      <w:r>
        <w:rPr>
          <w:rFonts w:ascii="Calibri" w:hAnsi="Calibri"/>
          <w:b w:val="0"/>
          <w:i w:val="0"/>
          <w:color w:val="0A1A35"/>
          <w:sz w:val="20"/>
        </w:rPr>
        <w:t>SIG can be deployed across multiple networks — Ethereum mainnet for large settlements and Base network (planned Q3 2026) for high-frequency, low-cost micro-transactions.</w:t>
      </w:r>
    </w:p>
    <w:p>
      <w:pPr>
        <w:spacing w:before="120" w:after="40"/>
      </w:pPr>
      <w:r>
        <w:rPr>
          <w:rFonts w:ascii="Calibri" w:hAnsi="Calibri"/>
          <w:b/>
          <w:i w:val="0"/>
          <w:color w:val="1E3A6E"/>
          <w:sz w:val="20"/>
        </w:rPr>
        <w:t>Governance (Planned Q4 2026)</w:t>
      </w:r>
    </w:p>
    <w:p>
      <w:pPr>
        <w:spacing w:before="0" w:after="120"/>
        <w:pBdr>
          <w:bottom w:val="single" w:sz="4" w:space="2" w:color="EBF2FA"/>
        </w:pBdr>
      </w:pPr>
      <w:r>
        <w:rPr>
          <w:rFonts w:ascii="Calibri" w:hAnsi="Calibri"/>
          <w:b w:val="0"/>
          <w:i w:val="0"/>
          <w:color w:val="0A1A35"/>
          <w:sz w:val="20"/>
        </w:rPr>
        <w:t>SIG holders will participate in platform governance decisions, including transaction fee structures, network expansion priorities, and new payment provider integrations.</w:t>
      </w:r>
    </w:p>
    <w:p>
      <w:pPr>
        <w:spacing w:before="120" w:after="40"/>
      </w:pPr>
      <w:r>
        <w:rPr>
          <w:rFonts w:ascii="Calibri" w:hAnsi="Calibri"/>
          <w:b/>
          <w:i w:val="0"/>
          <w:color w:val="1E3A6E"/>
          <w:sz w:val="20"/>
        </w:rPr>
        <w:t>Staking &amp; Yield (Roadmap)</w:t>
      </w:r>
    </w:p>
    <w:p>
      <w:pPr>
        <w:spacing w:before="0" w:after="120"/>
        <w:pBdr>
          <w:bottom w:val="single" w:sz="4" w:space="2" w:color="EBF2FA"/>
        </w:pBdr>
      </w:pPr>
      <w:r>
        <w:rPr>
          <w:rFonts w:ascii="Calibri" w:hAnsi="Calibri"/>
          <w:b w:val="0"/>
          <w:i w:val="0"/>
          <w:color w:val="0A1A35"/>
          <w:sz w:val="20"/>
        </w:rPr>
        <w:t>A future staking protocol will enable SIG holders to earn yield proportional to platform transaction volume — directly aligning token holder incentives with platform growth.</w:t>
      </w:r>
    </w:p>
    <w:p>
      <w:r>
        <w:br w:type="page"/>
      </w:r>
    </w:p>
    <w:p>
      <w:pPr>
        <w:spacing w:before="280" w:after="160"/>
        <w:shd w:val="clear" w:color="auto" w:fill="0A1A35"/>
        <w:ind w:left="0" w:right="0"/>
      </w:pPr>
      <w:r>
        <w:rPr>
          <w:rFonts w:ascii="Calibri" w:hAnsi="Calibri"/>
          <w:b/>
          <w:i w:val="0"/>
          <w:color w:val="C9A227"/>
          <w:sz w:val="26"/>
        </w:rPr>
        <w:t xml:space="preserve">  06  —  ROADMAP 2026 — 2027</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tc>
        <w:tc>
          <w:tcPr>
            <w:tcW w:type="dxa" w:w="2340"/>
          </w:tcPr>
          <w:p/>
        </w:tc>
        <w:tc>
          <w:tcPr>
            <w:tcW w:type="dxa" w:w="2340"/>
          </w:tcPr>
          <w:p/>
        </w:tc>
        <w:tc>
          <w:tcPr>
            <w:tcW w:type="dxa" w:w="2340"/>
          </w:tcP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0A6640"/>
            <w:tcMar>
              <w:top w:w="100" w:type="dxa"/>
              <w:bottom w:w="100" w:type="dxa"/>
              <w:left w:w="160" w:type="dxa"/>
              <w:right w:w="160" w:type="dxa"/>
            </w:tcMar>
            <w:vAlign w:val="center"/>
          </w:tcPr>
          <w:p>
            <w:pPr>
              <w:jc w:val="center"/>
            </w:pPr>
            <w:r>
              <w:rPr>
                <w:rFonts w:ascii="Calibri" w:hAnsi="Calibri"/>
                <w:b/>
                <w:i w:val="0"/>
                <w:color w:val="FFFFFF"/>
                <w:sz w:val="26"/>
              </w:rPr>
              <w:t>Q2 2026</w:t>
              <w:br/>
            </w:r>
            <w:r>
              <w:rPr>
                <w:rFonts w:ascii="Calibri" w:hAnsi="Calibri"/>
                <w:b/>
                <w:i w:val="0"/>
                <w:color w:val="F0C040"/>
                <w:sz w:val="16"/>
              </w:rPr>
              <w:t>COMPLETED</w:t>
            </w:r>
          </w:p>
        </w:tc>
        <w:tc>
          <w:tcPr>
            <w:tcW w:type="dxa" w:w="7200"/>
            <w:shd w:val="clear" w:color="auto" w:fill="FAFBFC"/>
            <w:tcMar>
              <w:top w:w="80" w:type="dxa"/>
              <w:bottom w:w="80" w:type="dxa"/>
              <w:left w:w="200" w:type="dxa"/>
              <w:right w:w="160" w:type="dxa"/>
            </w:tcMar>
            <w:vAlign w:val="top"/>
          </w:tcPr>
          <w:p>
            <w:pPr>
              <w:spacing w:after="60"/>
            </w:pPr>
            <w:r>
              <w:rPr>
                <w:rFonts w:ascii="Calibri" w:hAnsi="Calibri"/>
                <w:b w:val="0"/>
                <w:i w:val="0"/>
                <w:color w:val="0A1A35"/>
                <w:sz w:val="18"/>
              </w:rPr>
              <w:t>✓  Token Generation Event (TGE) on Ethereum  —  June 17, 2026</w:t>
            </w:r>
          </w:p>
          <w:p>
            <w:pPr>
              <w:spacing w:after="60"/>
            </w:pPr>
            <w:r>
              <w:rPr>
                <w:rFonts w:ascii="Calibri" w:hAnsi="Calibri"/>
                <w:b w:val="0"/>
                <w:i w:val="0"/>
                <w:color w:val="0A1A35"/>
                <w:sz w:val="18"/>
              </w:rPr>
              <w:t>✓  Uniswap V2 USDC/SIG liquidity pool launched</w:t>
            </w:r>
          </w:p>
          <w:p>
            <w:pPr>
              <w:spacing w:after="60"/>
            </w:pPr>
            <w:r>
              <w:rPr>
                <w:rFonts w:ascii="Calibri" w:hAnsi="Calibri"/>
                <w:b w:val="0"/>
                <w:i w:val="0"/>
                <w:color w:val="0A1A35"/>
                <w:sz w:val="18"/>
              </w:rPr>
              <w:t>✓  ALSIG payment dashboard deployed and live</w:t>
            </w:r>
          </w:p>
          <w:p>
            <w:pPr>
              <w:spacing w:after="60"/>
            </w:pPr>
            <w:r>
              <w:rPr>
                <w:rFonts w:ascii="Calibri" w:hAnsi="Calibri"/>
                <w:b w:val="0"/>
                <w:i w:val="0"/>
                <w:color w:val="0A1A35"/>
                <w:sz w:val="18"/>
              </w:rPr>
              <w:t>✓  M1 Tokenization Engine operational</w:t>
            </w:r>
          </w:p>
        </w:tc>
      </w:tr>
    </w:tbl>
    <w:p>
      <w:pPr>
        <w:spacing w:after="40"/>
      </w:pPr>
    </w:p>
    <w:tbl>
      <w:tblPr>
        <w:tblStyle w:val="TableGrid"/>
        <w:tblW w:type="auto" w:w="0"/>
        <w:tblLook w:firstColumn="1" w:firstRow="1" w:lastColumn="0" w:lastRow="0" w:noHBand="0" w:noVBand="1" w:val="04A0"/>
      </w:tblPr>
      <w:tblGrid>
        <w:gridCol w:w="4680"/>
        <w:gridCol w:w="4680"/>
      </w:tblGrid>
      <w:tr>
        <w:tc>
          <w:tcPr>
            <w:tcW w:type="dxa" w:w="2160"/>
            <w:shd w:val="clear" w:color="auto" w:fill="1E3A6E"/>
            <w:tcMar>
              <w:top w:w="100" w:type="dxa"/>
              <w:bottom w:w="100" w:type="dxa"/>
              <w:left w:w="160" w:type="dxa"/>
              <w:right w:w="160" w:type="dxa"/>
            </w:tcMar>
            <w:vAlign w:val="center"/>
          </w:tcPr>
          <w:p>
            <w:pPr>
              <w:jc w:val="center"/>
            </w:pPr>
            <w:r>
              <w:rPr>
                <w:rFonts w:ascii="Calibri" w:hAnsi="Calibri"/>
                <w:b/>
                <w:i w:val="0"/>
                <w:color w:val="FFFFFF"/>
                <w:sz w:val="26"/>
              </w:rPr>
              <w:t>Q3 2026</w:t>
              <w:br/>
            </w:r>
            <w:r>
              <w:rPr>
                <w:rFonts w:ascii="Calibri" w:hAnsi="Calibri"/>
                <w:b/>
                <w:i w:val="0"/>
                <w:color w:val="F0C040"/>
                <w:sz w:val="16"/>
              </w:rPr>
              <w:t>IN PROGRESS</w:t>
            </w:r>
          </w:p>
        </w:tc>
        <w:tc>
          <w:tcPr>
            <w:tcW w:type="dxa" w:w="7200"/>
            <w:shd w:val="clear" w:color="auto" w:fill="FAFBFC"/>
            <w:tcMar>
              <w:top w:w="80" w:type="dxa"/>
              <w:bottom w:w="80" w:type="dxa"/>
              <w:left w:w="200" w:type="dxa"/>
              <w:right w:w="160" w:type="dxa"/>
            </w:tcMar>
            <w:vAlign w:val="top"/>
          </w:tcPr>
          <w:p>
            <w:pPr>
              <w:spacing w:after="60"/>
            </w:pPr>
            <w:r>
              <w:rPr>
                <w:rFonts w:ascii="Calibri" w:hAnsi="Calibri"/>
                <w:b w:val="0"/>
                <w:i w:val="0"/>
                <w:color w:val="0A1A35"/>
                <w:sz w:val="18"/>
              </w:rPr>
              <w:t>→  CoinGecko and CoinMarketCap listing</w:t>
            </w:r>
          </w:p>
          <w:p>
            <w:pPr>
              <w:spacing w:after="60"/>
            </w:pPr>
            <w:r>
              <w:rPr>
                <w:rFonts w:ascii="Calibri" w:hAnsi="Calibri"/>
                <w:b w:val="0"/>
                <w:i w:val="0"/>
                <w:color w:val="0A1A35"/>
                <w:sz w:val="18"/>
              </w:rPr>
              <w:t>→  Base network deployment (lower-cost transactions)</w:t>
            </w:r>
          </w:p>
          <w:p>
            <w:pPr>
              <w:spacing w:after="60"/>
            </w:pPr>
            <w:r>
              <w:rPr>
                <w:rFonts w:ascii="Calibri" w:hAnsi="Calibri"/>
                <w:b w:val="0"/>
                <w:i w:val="0"/>
                <w:color w:val="0A1A35"/>
                <w:sz w:val="18"/>
              </w:rPr>
              <w:t>→  Mobile wallet application launch</w:t>
            </w:r>
          </w:p>
          <w:p>
            <w:pPr>
              <w:spacing w:after="60"/>
            </w:pPr>
            <w:r>
              <w:rPr>
                <w:rFonts w:ascii="Calibri" w:hAnsi="Calibri"/>
                <w:b w:val="0"/>
                <w:i w:val="0"/>
                <w:color w:val="0A1A35"/>
                <w:sz w:val="18"/>
              </w:rPr>
              <w:t>→  Community building: Telegram + Twitter growth</w:t>
            </w:r>
          </w:p>
        </w:tc>
      </w:tr>
    </w:tbl>
    <w:p>
      <w:pPr>
        <w:spacing w:after="40"/>
      </w:pPr>
    </w:p>
    <w:tbl>
      <w:tblPr>
        <w:tblStyle w:val="TableGrid"/>
        <w:tblW w:type="auto" w:w="0"/>
        <w:tblLook w:firstColumn="1" w:firstRow="1" w:lastColumn="0" w:lastRow="0" w:noHBand="0" w:noVBand="1" w:val="04A0"/>
      </w:tblPr>
      <w:tblGrid>
        <w:gridCol w:w="4680"/>
        <w:gridCol w:w="4680"/>
      </w:tblGrid>
      <w:tr>
        <w:tc>
          <w:tcPr>
            <w:tcW w:type="dxa" w:w="2160"/>
            <w:shd w:val="clear" w:color="auto" w:fill="7C3AED"/>
            <w:tcMar>
              <w:top w:w="100" w:type="dxa"/>
              <w:bottom w:w="100" w:type="dxa"/>
              <w:left w:w="160" w:type="dxa"/>
              <w:right w:w="160" w:type="dxa"/>
            </w:tcMar>
            <w:vAlign w:val="center"/>
          </w:tcPr>
          <w:p>
            <w:pPr>
              <w:jc w:val="center"/>
            </w:pPr>
            <w:r>
              <w:rPr>
                <w:rFonts w:ascii="Calibri" w:hAnsi="Calibri"/>
                <w:b/>
                <w:i w:val="0"/>
                <w:color w:val="FFFFFF"/>
                <w:sz w:val="26"/>
              </w:rPr>
              <w:t>Q4 2026</w:t>
              <w:br/>
            </w:r>
            <w:r>
              <w:rPr>
                <w:rFonts w:ascii="Calibri" w:hAnsi="Calibri"/>
                <w:b/>
                <w:i w:val="0"/>
                <w:color w:val="F0C040"/>
                <w:sz w:val="16"/>
              </w:rPr>
              <w:t>PLANNED</w:t>
            </w:r>
          </w:p>
        </w:tc>
        <w:tc>
          <w:tcPr>
            <w:tcW w:type="dxa" w:w="7200"/>
            <w:shd w:val="clear" w:color="auto" w:fill="FAFBFC"/>
            <w:tcMar>
              <w:top w:w="80" w:type="dxa"/>
              <w:bottom w:w="80" w:type="dxa"/>
              <w:left w:w="200" w:type="dxa"/>
              <w:right w:w="160" w:type="dxa"/>
            </w:tcMar>
            <w:vAlign w:val="top"/>
          </w:tcPr>
          <w:p>
            <w:pPr>
              <w:spacing w:after="60"/>
            </w:pPr>
            <w:r>
              <w:rPr>
                <w:rFonts w:ascii="Calibri" w:hAnsi="Calibri"/>
                <w:b w:val="0"/>
                <w:i w:val="0"/>
                <w:color w:val="0A1A35"/>
                <w:sz w:val="18"/>
              </w:rPr>
              <w:t>→  SIG Staking protocol v1.0 launch</w:t>
            </w:r>
          </w:p>
          <w:p>
            <w:pPr>
              <w:spacing w:after="60"/>
            </w:pPr>
            <w:r>
              <w:rPr>
                <w:rFonts w:ascii="Calibri" w:hAnsi="Calibri"/>
                <w:b w:val="0"/>
                <w:i w:val="0"/>
                <w:color w:val="0A1A35"/>
                <w:sz w:val="18"/>
              </w:rPr>
              <w:t>→  Governance module activation</w:t>
            </w:r>
          </w:p>
          <w:p>
            <w:pPr>
              <w:spacing w:after="60"/>
            </w:pPr>
            <w:r>
              <w:rPr>
                <w:rFonts w:ascii="Calibri" w:hAnsi="Calibri"/>
                <w:b w:val="0"/>
                <w:i w:val="0"/>
                <w:color w:val="0A1A35"/>
                <w:sz w:val="18"/>
              </w:rPr>
              <w:t>→  First Centralized Exchange (CEX) listing</w:t>
            </w:r>
          </w:p>
          <w:p>
            <w:pPr>
              <w:spacing w:after="60"/>
            </w:pPr>
            <w:r>
              <w:rPr>
                <w:rFonts w:ascii="Calibri" w:hAnsi="Calibri"/>
                <w:b w:val="0"/>
                <w:i w:val="0"/>
                <w:color w:val="0A1A35"/>
                <w:sz w:val="18"/>
              </w:rPr>
              <w:t>→  Expansion to 3 additional DEX platforms</w:t>
            </w:r>
          </w:p>
        </w:tc>
      </w:tr>
    </w:tbl>
    <w:p>
      <w:pPr>
        <w:spacing w:after="40"/>
      </w:pPr>
    </w:p>
    <w:tbl>
      <w:tblPr>
        <w:tblStyle w:val="TableGrid"/>
        <w:tblW w:type="auto" w:w="0"/>
        <w:tblLook w:firstColumn="1" w:firstRow="1" w:lastColumn="0" w:lastRow="0" w:noHBand="0" w:noVBand="1" w:val="04A0"/>
      </w:tblPr>
      <w:tblGrid>
        <w:gridCol w:w="4680"/>
        <w:gridCol w:w="4680"/>
      </w:tblGrid>
      <w:tr>
        <w:tc>
          <w:tcPr>
            <w:tcW w:type="dxa" w:w="2160"/>
            <w:shd w:val="clear" w:color="auto" w:fill="C9A227"/>
            <w:tcMar>
              <w:top w:w="100" w:type="dxa"/>
              <w:bottom w:w="100" w:type="dxa"/>
              <w:left w:w="160" w:type="dxa"/>
              <w:right w:w="160" w:type="dxa"/>
            </w:tcMar>
            <w:vAlign w:val="center"/>
          </w:tcPr>
          <w:p>
            <w:pPr>
              <w:jc w:val="center"/>
            </w:pPr>
            <w:r>
              <w:rPr>
                <w:rFonts w:ascii="Calibri" w:hAnsi="Calibri"/>
                <w:b/>
                <w:i w:val="0"/>
                <w:color w:val="FFFFFF"/>
                <w:sz w:val="26"/>
              </w:rPr>
              <w:t>Q1 2027</w:t>
              <w:br/>
            </w:r>
            <w:r>
              <w:rPr>
                <w:rFonts w:ascii="Calibri" w:hAnsi="Calibri"/>
                <w:b/>
                <w:i w:val="0"/>
                <w:color w:val="0A1A35"/>
                <w:sz w:val="16"/>
              </w:rPr>
              <w:t>ROADMAP</w:t>
            </w:r>
          </w:p>
        </w:tc>
        <w:tc>
          <w:tcPr>
            <w:tcW w:type="dxa" w:w="7200"/>
            <w:shd w:val="clear" w:color="auto" w:fill="FAFBFC"/>
            <w:tcMar>
              <w:top w:w="80" w:type="dxa"/>
              <w:bottom w:w="80" w:type="dxa"/>
              <w:left w:w="200" w:type="dxa"/>
              <w:right w:w="160" w:type="dxa"/>
            </w:tcMar>
            <w:vAlign w:val="top"/>
          </w:tcPr>
          <w:p>
            <w:pPr>
              <w:spacing w:after="60"/>
            </w:pPr>
            <w:r>
              <w:rPr>
                <w:rFonts w:ascii="Calibri" w:hAnsi="Calibri"/>
                <w:b w:val="0"/>
                <w:i w:val="0"/>
                <w:color w:val="0A1A35"/>
                <w:sz w:val="18"/>
              </w:rPr>
              <w:t>→  SIG payment gateway open to third-party merchants</w:t>
            </w:r>
          </w:p>
          <w:p>
            <w:pPr>
              <w:spacing w:after="60"/>
            </w:pPr>
            <w:r>
              <w:rPr>
                <w:rFonts w:ascii="Calibri" w:hAnsi="Calibri"/>
                <w:b w:val="0"/>
                <w:i w:val="0"/>
                <w:color w:val="0A1A35"/>
                <w:sz w:val="18"/>
              </w:rPr>
              <w:t>→  API SDK for merchant payment integration</w:t>
            </w:r>
          </w:p>
          <w:p>
            <w:pPr>
              <w:spacing w:after="60"/>
            </w:pPr>
            <w:r>
              <w:rPr>
                <w:rFonts w:ascii="Calibri" w:hAnsi="Calibri"/>
                <w:b w:val="0"/>
                <w:i w:val="0"/>
                <w:color w:val="0A1A35"/>
                <w:sz w:val="18"/>
              </w:rPr>
              <w:t>→  VARA UAE regulatory approval process</w:t>
            </w:r>
          </w:p>
          <w:p>
            <w:pPr>
              <w:spacing w:after="60"/>
            </w:pPr>
            <w:r>
              <w:rPr>
                <w:rFonts w:ascii="Calibri" w:hAnsi="Calibri"/>
                <w:b w:val="0"/>
                <w:i w:val="0"/>
                <w:color w:val="0A1A35"/>
                <w:sz w:val="18"/>
              </w:rPr>
              <w:t>→  Institutional OTC desk launch</w:t>
            </w:r>
          </w:p>
        </w:tc>
      </w:tr>
    </w:tbl>
    <w:p>
      <w:pPr>
        <w:spacing w:after="40"/>
      </w:pPr>
    </w:p>
    <w:p>
      <w:r>
        <w:br w:type="page"/>
      </w:r>
    </w:p>
    <w:p>
      <w:pPr>
        <w:spacing w:before="280" w:after="160"/>
        <w:shd w:val="clear" w:color="auto" w:fill="0A1A35"/>
        <w:ind w:left="0" w:right="0"/>
      </w:pPr>
      <w:r>
        <w:rPr>
          <w:rFonts w:ascii="Calibri" w:hAnsi="Calibri"/>
          <w:b/>
          <w:i w:val="0"/>
          <w:color w:val="C9A227"/>
          <w:sz w:val="26"/>
        </w:rPr>
        <w:t xml:space="preserve">  07  —  RISK FACTORS &amp; LEGAL DISCLAIMER</w:t>
      </w:r>
    </w:p>
    <w:tbl>
      <w:tblPr>
        <w:tblStyle w:val="TableGrid"/>
        <w:tblW w:type="auto" w:w="0"/>
        <w:tblLook w:firstColumn="1" w:firstRow="1" w:lastColumn="0" w:lastRow="0" w:noHBand="0" w:noVBand="1" w:val="04A0"/>
      </w:tblPr>
      <w:tblGrid>
        <w:gridCol w:w="4680"/>
        <w:gridCol w:w="4680"/>
      </w:tblGrid>
      <w:tr>
        <w:tc>
          <w:tcPr>
            <w:tcW w:type="dxa" w:w="2880"/>
            <w:shd w:val="clear" w:color="auto" w:fill="0A1A35"/>
            <w:tcMar>
              <w:top w:w="80" w:type="dxa"/>
              <w:bottom w:w="80" w:type="dxa"/>
              <w:left w:w="160" w:type="dxa"/>
              <w:right w:w="80" w:type="dxa"/>
            </w:tcMar>
          </w:tcPr>
          <w:p>
            <w:pPr>
              <w:jc w:val="center"/>
            </w:pPr>
            <w:r>
              <w:rPr>
                <w:rFonts w:ascii="Calibri" w:hAnsi="Calibri"/>
                <w:b/>
                <w:i w:val="0"/>
                <w:color w:val="C9A227"/>
                <w:sz w:val="18"/>
              </w:rPr>
              <w:t>Risk Category</w:t>
            </w:r>
          </w:p>
        </w:tc>
        <w:tc>
          <w:tcPr>
            <w:tcW w:type="dxa" w:w="6480"/>
            <w:shd w:val="clear" w:color="auto" w:fill="0A1A35"/>
            <w:tcMar>
              <w:top w:w="80" w:type="dxa"/>
              <w:bottom w:w="80" w:type="dxa"/>
              <w:left w:w="160" w:type="dxa"/>
              <w:right w:w="80" w:type="dxa"/>
            </w:tcMar>
          </w:tcPr>
          <w:p>
            <w:pPr>
              <w:jc w:val="center"/>
            </w:pPr>
            <w:r>
              <w:rPr>
                <w:rFonts w:ascii="Calibri" w:hAnsi="Calibri"/>
                <w:b/>
                <w:i w:val="0"/>
                <w:color w:val="C9A227"/>
                <w:sz w:val="18"/>
              </w:rPr>
              <w:t>Description</w:t>
            </w:r>
          </w:p>
        </w:tc>
      </w:tr>
      <w:tr>
        <w:trPr>
          <w:trHeight w:val="440"/>
        </w:trPr>
        <w:tc>
          <w:tcPr>
            <w:tcW w:type="dxa" w:w="2880"/>
            <w:shd w:val="clear" w:color="auto" w:fill="EBF2FA"/>
            <w:tcMar>
              <w:top w:w="60" w:type="dxa"/>
              <w:bottom w:w="60" w:type="dxa"/>
              <w:left w:w="160" w:type="dxa"/>
              <w:right w:w="80" w:type="dxa"/>
            </w:tcMar>
            <w:vAlign w:val="center"/>
          </w:tcPr>
          <w:p>
            <w:r>
              <w:rPr>
                <w:rFonts w:ascii="Calibri" w:hAnsi="Calibri"/>
                <w:b w:val="0"/>
                <w:i w:val="0"/>
                <w:color w:val="0A1A35"/>
                <w:sz w:val="18"/>
              </w:rPr>
              <w:t>Market Risk</w:t>
            </w:r>
          </w:p>
        </w:tc>
        <w:tc>
          <w:tcPr>
            <w:tcW w:type="dxa" w:w="6480"/>
            <w:shd w:val="clear" w:color="auto" w:fill="EBF2FA"/>
            <w:tcMar>
              <w:top w:w="60" w:type="dxa"/>
              <w:bottom w:w="60" w:type="dxa"/>
              <w:left w:w="160" w:type="dxa"/>
              <w:right w:w="80" w:type="dxa"/>
            </w:tcMar>
            <w:vAlign w:val="center"/>
          </w:tcPr>
          <w:p>
            <w:r>
              <w:rPr>
                <w:rFonts w:ascii="Calibri" w:hAnsi="Calibri"/>
                <w:b w:val="0"/>
                <w:i w:val="0"/>
                <w:color w:val="0A1A35"/>
                <w:sz w:val="18"/>
              </w:rPr>
              <w:t>The value of SIG may fluctuate significantly due to market conditions, trading volume, and macroeconomic factors. Past performance does not indicate future results.</w:t>
            </w:r>
          </w:p>
        </w:tc>
      </w:tr>
      <w:tr>
        <w:trPr>
          <w:trHeight w:val="440"/>
        </w:trPr>
        <w:tc>
          <w:tcPr>
            <w:tcW w:type="dxa" w:w="2880"/>
            <w:shd w:val="clear" w:color="auto" w:fill="FFFFFF"/>
            <w:tcMar>
              <w:top w:w="60" w:type="dxa"/>
              <w:bottom w:w="60" w:type="dxa"/>
              <w:left w:w="160" w:type="dxa"/>
              <w:right w:w="80" w:type="dxa"/>
            </w:tcMar>
            <w:vAlign w:val="center"/>
          </w:tcPr>
          <w:p>
            <w:r>
              <w:rPr>
                <w:rFonts w:ascii="Calibri" w:hAnsi="Calibri"/>
                <w:b w:val="0"/>
                <w:i w:val="0"/>
                <w:color w:val="0A1A35"/>
                <w:sz w:val="18"/>
              </w:rPr>
              <w:t>Regulatory Risk</w:t>
            </w:r>
          </w:p>
        </w:tc>
        <w:tc>
          <w:tcPr>
            <w:tcW w:type="dxa" w:w="6480"/>
            <w:shd w:val="clear" w:color="auto" w:fill="FFFFFF"/>
            <w:tcMar>
              <w:top w:w="60" w:type="dxa"/>
              <w:bottom w:w="60" w:type="dxa"/>
              <w:left w:w="160" w:type="dxa"/>
              <w:right w:w="80" w:type="dxa"/>
            </w:tcMar>
            <w:vAlign w:val="center"/>
          </w:tcPr>
          <w:p>
            <w:r>
              <w:rPr>
                <w:rFonts w:ascii="Calibri" w:hAnsi="Calibri"/>
                <w:b w:val="0"/>
                <w:i w:val="0"/>
                <w:color w:val="0A1A35"/>
                <w:sz w:val="18"/>
              </w:rPr>
              <w:t>Cryptocurrency regulations vary by jurisdiction and may change. Al Shumookh International Group monitors regulatory developments and maintains compliance with applicable UAE law.</w:t>
            </w:r>
          </w:p>
        </w:tc>
      </w:tr>
      <w:tr>
        <w:trPr>
          <w:trHeight w:val="440"/>
        </w:trPr>
        <w:tc>
          <w:tcPr>
            <w:tcW w:type="dxa" w:w="2880"/>
            <w:shd w:val="clear" w:color="auto" w:fill="EBF2FA"/>
            <w:tcMar>
              <w:top w:w="60" w:type="dxa"/>
              <w:bottom w:w="60" w:type="dxa"/>
              <w:left w:w="160" w:type="dxa"/>
              <w:right w:w="80" w:type="dxa"/>
            </w:tcMar>
            <w:vAlign w:val="center"/>
          </w:tcPr>
          <w:p>
            <w:r>
              <w:rPr>
                <w:rFonts w:ascii="Calibri" w:hAnsi="Calibri"/>
                <w:b w:val="0"/>
                <w:i w:val="0"/>
                <w:color w:val="0A1A35"/>
                <w:sz w:val="18"/>
              </w:rPr>
              <w:t>Technology Risk</w:t>
            </w:r>
          </w:p>
        </w:tc>
        <w:tc>
          <w:tcPr>
            <w:tcW w:type="dxa" w:w="6480"/>
            <w:shd w:val="clear" w:color="auto" w:fill="EBF2FA"/>
            <w:tcMar>
              <w:top w:w="60" w:type="dxa"/>
              <w:bottom w:w="60" w:type="dxa"/>
              <w:left w:w="160" w:type="dxa"/>
              <w:right w:w="80" w:type="dxa"/>
            </w:tcMar>
            <w:vAlign w:val="center"/>
          </w:tcPr>
          <w:p>
            <w:r>
              <w:rPr>
                <w:rFonts w:ascii="Calibri" w:hAnsi="Calibri"/>
                <w:b w:val="0"/>
                <w:i w:val="0"/>
                <w:color w:val="0A1A35"/>
                <w:sz w:val="18"/>
              </w:rPr>
              <w:t>Smart contract vulnerabilities, network congestion, or protocol changes may affect token functionality. All ALSIG smart contracts undergo internal security review.</w:t>
            </w:r>
          </w:p>
        </w:tc>
      </w:tr>
      <w:tr>
        <w:trPr>
          <w:trHeight w:val="440"/>
        </w:trPr>
        <w:tc>
          <w:tcPr>
            <w:tcW w:type="dxa" w:w="2880"/>
            <w:shd w:val="clear" w:color="auto" w:fill="FFFFFF"/>
            <w:tcMar>
              <w:top w:w="60" w:type="dxa"/>
              <w:bottom w:w="60" w:type="dxa"/>
              <w:left w:w="160" w:type="dxa"/>
              <w:right w:w="80" w:type="dxa"/>
            </w:tcMar>
            <w:vAlign w:val="center"/>
          </w:tcPr>
          <w:p>
            <w:r>
              <w:rPr>
                <w:rFonts w:ascii="Calibri" w:hAnsi="Calibri"/>
                <w:b w:val="0"/>
                <w:i w:val="0"/>
                <w:color w:val="0A1A35"/>
                <w:sz w:val="18"/>
              </w:rPr>
              <w:t>Liquidity Risk</w:t>
            </w:r>
          </w:p>
        </w:tc>
        <w:tc>
          <w:tcPr>
            <w:tcW w:type="dxa" w:w="6480"/>
            <w:shd w:val="clear" w:color="auto" w:fill="FFFFFF"/>
            <w:tcMar>
              <w:top w:w="60" w:type="dxa"/>
              <w:bottom w:w="60" w:type="dxa"/>
              <w:left w:w="160" w:type="dxa"/>
              <w:right w:w="80" w:type="dxa"/>
            </w:tcMar>
            <w:vAlign w:val="center"/>
          </w:tcPr>
          <w:p>
            <w:r>
              <w:rPr>
                <w:rFonts w:ascii="Calibri" w:hAnsi="Calibri"/>
                <w:b w:val="0"/>
                <w:i w:val="0"/>
                <w:color w:val="0A1A35"/>
                <w:sz w:val="18"/>
              </w:rPr>
              <w:t>Initial liquidity on Uniswap V2 may be limited. Users should be aware of potential slippage and price impact when executing large trades.</w:t>
            </w:r>
          </w:p>
        </w:tc>
      </w:tr>
      <w:tr>
        <w:trPr>
          <w:trHeight w:val="440"/>
        </w:trPr>
        <w:tc>
          <w:tcPr>
            <w:tcW w:type="dxa" w:w="2880"/>
            <w:shd w:val="clear" w:color="auto" w:fill="EBF2FA"/>
            <w:tcMar>
              <w:top w:w="60" w:type="dxa"/>
              <w:bottom w:w="60" w:type="dxa"/>
              <w:left w:w="160" w:type="dxa"/>
              <w:right w:w="80" w:type="dxa"/>
            </w:tcMar>
            <w:vAlign w:val="center"/>
          </w:tcPr>
          <w:p>
            <w:r>
              <w:rPr>
                <w:rFonts w:ascii="Calibri" w:hAnsi="Calibri"/>
                <w:b w:val="0"/>
                <w:i w:val="0"/>
                <w:color w:val="0A1A35"/>
                <w:sz w:val="18"/>
              </w:rPr>
              <w:t>Utility Disclaimer</w:t>
            </w:r>
          </w:p>
        </w:tc>
        <w:tc>
          <w:tcPr>
            <w:tcW w:type="dxa" w:w="6480"/>
            <w:shd w:val="clear" w:color="auto" w:fill="EBF2FA"/>
            <w:tcMar>
              <w:top w:w="60" w:type="dxa"/>
              <w:bottom w:w="60" w:type="dxa"/>
              <w:left w:w="160" w:type="dxa"/>
              <w:right w:w="80" w:type="dxa"/>
            </w:tcMar>
            <w:vAlign w:val="center"/>
          </w:tcPr>
          <w:p>
            <w:r>
              <w:rPr>
                <w:rFonts w:ascii="Calibri" w:hAnsi="Calibri"/>
                <w:b w:val="0"/>
                <w:i w:val="0"/>
                <w:color w:val="0A1A35"/>
                <w:sz w:val="18"/>
              </w:rPr>
              <w:t>SIG is a utility token providing access to ALSIG payment services. It does not represent equity, ownership, or a claim on company profits unless explicitly stated in a future governance framework.</w:t>
            </w:r>
          </w:p>
        </w:tc>
      </w:tr>
    </w:tbl>
    <w:p>
      <w:pPr>
        <w:spacing w:after="160"/>
      </w:pPr>
    </w:p>
    <w:p>
      <w:pPr>
        <w:spacing w:before="160" w:after="120"/>
      </w:pPr>
      <w:r>
        <w:rPr>
          <w:rFonts w:ascii="Calibri" w:hAnsi="Calibri"/>
          <w:b/>
          <w:i w:val="0"/>
          <w:color w:val="B91C1C"/>
          <w:sz w:val="18"/>
        </w:rPr>
        <w:t xml:space="preserve">LEGAL DISCLAIMER: </w:t>
      </w:r>
      <w:r>
        <w:rPr>
          <w:rFonts w:ascii="Calibri" w:hAnsi="Calibri"/>
          <w:b w:val="0"/>
          <w:i/>
          <w:color w:val="55657A"/>
          <w:sz w:val="18"/>
        </w:rPr>
        <w:t>This whitepaper is provided for informational purposes only and does not constitute investment advice, a securities offering, or a solicitation to purchase financial instruments. Al Shumookh International Group makes no representations or warranties as to the accuracy or completeness of the information contained herein. Prospective participants should conduct their own due diligence and consult appropriate legal and financial advisors before engaging with SIG.</w:t>
      </w:r>
    </w:p>
    <w:p>
      <w:pPr>
        <w:spacing w:after="240"/>
      </w:pPr>
    </w:p>
    <w:p>
      <w:pPr>
        <w:spacing w:before="0" w:after="0"/>
        <w:jc w:val="center"/>
        <w:pBdr>
          <w:bottom w:val="single" w:sz="8" w:space="4" w:color="C9A227"/>
        </w:pBdr>
      </w:pPr>
      <w:r>
        <w:rPr>
          <w:rFonts w:ascii="Calibri" w:hAnsi="Calibri"/>
          <w:b w:val="0"/>
          <w:i w:val="0"/>
          <w:color w:val="55657A"/>
          <w:sz w:val="16"/>
        </w:rPr>
        <w:t>Al Shumookh International Group  ·  Dubai, UAE  ·  BIC: ALSHAEXXXX  ·  June 18, 2026</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top w:val="single" w:sz="4" w:space="4" w:color="C9A227"/>
      </w:pBdr>
      <w:jc w:val="left"/>
    </w:pPr>
    <w:r>
      <w:rPr>
        <w:rFonts w:ascii="Calibri" w:hAnsi="Calibri"/>
        <w:b w:val="0"/>
        <w:i w:val="0"/>
        <w:color w:val="55657A"/>
        <w:sz w:val="16"/>
      </w:rPr>
      <w:t xml:space="preserve">Al Shumookh International Group  ·  CONFIDENTIAL   </w:t>
    </w:r>
    <w:r>
      <w:rPr>
        <w:rFonts w:ascii="Calibri" w:hAnsi="Calibri"/>
        <w:b w:val="0"/>
        <w:i w:val="0"/>
        <w:color w:val="55657A"/>
        <w:sz w:val="16"/>
      </w:rPr>
      <w:t xml:space="preserve">  |  June 18, 2026   Page </w:t>
    </w:r>
    <w:r>
      <w:rPr>
        <w:color w:val="55657A"/>
        <w:sz w:val="16"/>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