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79A45"/>
          <w:sz w:val="24"/>
        </w:rPr>
        <w:t>ALSHUMOOKH GLOBAL BANKING FINANCE &amp; CREDIT</w:t>
      </w:r>
    </w:p>
    <w:p>
      <w:pPr>
        <w:jc w:val="center"/>
      </w:pPr>
      <w:r>
        <w:rPr>
          <w:b/>
          <w:color w:val="101828"/>
          <w:sz w:val="40"/>
        </w:rPr>
        <w:t>Master Wallet to Master Wallet Workflow</w:t>
      </w:r>
    </w:p>
    <w:p>
      <w:pPr>
        <w:jc w:val="center"/>
      </w:pPr>
      <w:r>
        <w:rPr>
          <w:color w:val="667085"/>
          <w:sz w:val="22"/>
        </w:rPr>
        <w:t>مخطط العملية التقنية من تجهيز ملف JSON إلى تأكيد التحويل وإصدار المستندات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921240" cy="55806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ter-wallet-process-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921240" cy="5580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F5FD0"/>
          <w:sz w:val="20"/>
        </w:rPr>
        <w:t>Status Flow: CREATED → PENDING → PROCESSING → COMPLETED / FAILED</w:t>
      </w:r>
    </w:p>
    <w:sectPr w:rsidR="00FC693F" w:rsidRPr="0006063C" w:rsidSect="00034616">
      <w:pgSz w:w="16834" w:h="11909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