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2E5A"/>
          <w:sz w:val="44"/>
        </w:rPr>
        <w:t>ALSHUMOOKH GLOBAL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B8860B"/>
          <w:sz w:val="26"/>
        </w:rPr>
        <w:t>Banking Finance &amp; Credit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Email: remooz.cbl@gmail.com  |  Date: 2 August 2026</w:t>
      </w:r>
    </w:p>
    <w:p>
      <w:pPr>
        <w:spacing w:before="80" w:after="80"/>
        <w:pBdr>
          <w:bottom w:val="single" w:sz="6" w:space="1" w:color="1a2e5a"/>
        </w:pBdr>
      </w:pPr>
    </w:p>
    <w:p>
      <w:pPr>
        <w:spacing w:before="160" w:after="40"/>
        <w:jc w:val="center"/>
      </w:pPr>
      <w:r>
        <w:rPr>
          <w:rFonts w:ascii="Calibri" w:hAnsi="Calibri"/>
          <w:b/>
          <w:i w:val="0"/>
          <w:color w:val="1A2E5A"/>
          <w:sz w:val="26"/>
        </w:rPr>
        <w:t>RE: API TO API TRANSFER PROCEDURE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1A2E5A"/>
          <w:sz w:val="22"/>
        </w:rPr>
        <w:t>FORMAL CONFIRMATION OF READINESS &amp; ACCEPTANCE OF TERMS AND CONDITIONS</w:t>
      </w:r>
    </w:p>
    <w:p>
      <w:pPr>
        <w:spacing w:before="80" w:after="80"/>
        <w:pBdr>
          <w:bottom w:val="single" w:sz="6" w:space="1" w:color="1a2e5a"/>
        </w:pBdr>
      </w:pPr>
    </w:p>
    <w:p>
      <w:pPr>
        <w:spacing w:before="200" w:after="120"/>
        <w:jc w:val="left"/>
      </w:pPr>
      <w:r>
        <w:rPr>
          <w:rFonts w:ascii="Calibri" w:hAnsi="Calibri"/>
          <w:b/>
          <w:i w:val="0"/>
          <w:color w:val="1A2E5A"/>
          <w:sz w:val="24"/>
        </w:rPr>
        <w:t>Dear Mr. Mehdi HP,</w:t>
      </w:r>
    </w:p>
    <w:p>
      <w:pPr>
        <w:spacing w:before="40" w:after="120"/>
        <w:jc w:val="left"/>
      </w:pPr>
      <w:r>
        <w:rPr>
          <w:rFonts w:ascii="Calibri" w:hAnsi="Calibri"/>
          <w:b w:val="0"/>
          <w:color w:val="222222"/>
          <w:sz w:val="21"/>
        </w:rPr>
        <w:t xml:space="preserve">We acknowledge receipt of your official document titled </w:t>
      </w:r>
      <w:r>
        <w:rPr>
          <w:rFonts w:ascii="Calibri" w:hAnsi="Calibri"/>
          <w:b/>
          <w:color w:val="1A2E5A"/>
          <w:sz w:val="21"/>
        </w:rPr>
        <w:t>"API to API Transfer Procedure — Transfer Terms, Conditions and Guide"</w:t>
      </w:r>
      <w:r>
        <w:rPr>
          <w:rFonts w:ascii="Calibri" w:hAnsi="Calibri"/>
          <w:b w:val="0"/>
          <w:color w:val="222222"/>
          <w:sz w:val="21"/>
        </w:rPr>
        <w:t>, dated 26 July 2026. We confirm that we have studied it carefully in full, in accordance with your instructions.</w:t>
      </w:r>
    </w:p>
    <w:p>
      <w:pPr>
        <w:spacing w:before="40" w:after="200"/>
        <w:jc w:val="left"/>
      </w:pPr>
      <w:r>
        <w:rPr>
          <w:rFonts w:ascii="Calibri" w:hAnsi="Calibri"/>
          <w:b w:val="0"/>
          <w:color w:val="222222"/>
          <w:sz w:val="21"/>
        </w:rPr>
        <w:t xml:space="preserve">We are pleased to formally confirm that </w:t>
      </w:r>
      <w:r>
        <w:rPr>
          <w:rFonts w:ascii="Calibri" w:hAnsi="Calibri"/>
          <w:b/>
          <w:color w:val="1A2E5A"/>
          <w:sz w:val="21"/>
        </w:rPr>
        <w:t>ALSHUMOOKH GLOBAL</w:t>
      </w:r>
      <w:r>
        <w:rPr>
          <w:rFonts w:ascii="Calibri" w:hAnsi="Calibri"/>
          <w:b w:val="0"/>
          <w:color w:val="222222"/>
          <w:sz w:val="21"/>
        </w:rPr>
        <w:t xml:space="preserve"> has reviewed all terms, conditions, and technical procedures, and we are </w:t>
      </w:r>
      <w:r>
        <w:rPr>
          <w:rFonts w:ascii="Calibri" w:hAnsi="Calibri"/>
          <w:b/>
          <w:color w:val="1D4ED8"/>
          <w:sz w:val="21"/>
        </w:rPr>
        <w:t>fully prepared and ready to proceed</w:t>
      </w:r>
      <w:r>
        <w:rPr>
          <w:rFonts w:ascii="Calibri" w:hAnsi="Calibri"/>
          <w:b w:val="0"/>
          <w:color w:val="222222"/>
          <w:sz w:val="21"/>
        </w:rPr>
        <w:t xml:space="preserve"> with the API-to-API Transfer operation under your framework.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A2E5A"/>
          <w:sz w:val="23"/>
        </w:rPr>
        <w:t>1.  Acceptance of Terms &amp; Conditions</w:t>
      </w: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We have read, understood, and fully accept all terms and conditions set forth in your document. We confirm that we are not part of a long chain of brokers. We are prepared to make a direct and professional connection between the Receiver and yourself, in full transparency and within the professional framework you require.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A2E5A"/>
          <w:sz w:val="23"/>
        </w:rPr>
        <w:t>2.  Our System — Technical Capabilities &amp; Infrastructure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Our proprietary financial transaction management system is fully operational and technically equipped to execute the complete end-to-end API transfer workflow as described in your document: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API Integration: </w:t>
      </w:r>
      <w:r>
        <w:rPr>
          <w:rFonts w:ascii="Calibri" w:hAnsi="Calibri"/>
          <w:color w:val="222222"/>
          <w:sz w:val="21"/>
        </w:rPr>
        <w:t>Secure HTTPS-based REST API with full authentication, token management, and endpoint security. Supports JSON payloads, webhook callbacks, and real-time event notifications.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OTC Quote System: </w:t>
      </w:r>
      <w:r>
        <w:rPr>
          <w:rFonts w:ascii="Calibri" w:hAnsi="Calibri"/>
          <w:color w:val="222222"/>
          <w:sz w:val="21"/>
        </w:rPr>
        <w:t>Live EUR/USDT rate fetching with pre-broadcast quote approval workflow. OTC desk review, rate locking, and quote management built into the system.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Fiat Deposit Processing: </w:t>
      </w:r>
      <w:r>
        <w:rPr>
          <w:rFonts w:ascii="Calibri" w:hAnsi="Calibri"/>
          <w:color w:val="222222"/>
          <w:sz w:val="21"/>
        </w:rPr>
        <w:t>Supports EUR payment rails: SEPA, SWIFT, Local Bank Transfer, and PSP integrations. Full payment validation and conversion pipeline.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Blockchain Infrastructure: </w:t>
      </w:r>
      <w:r>
        <w:rPr>
          <w:rFonts w:ascii="Calibri" w:hAnsi="Calibri"/>
          <w:color w:val="222222"/>
          <w:sz w:val="21"/>
        </w:rPr>
        <w:t>Native support for TRC20 (TRON) and ERC20 (Ethereum) networks. On-chain transaction tracking, confirmation monitoring, and wallet address verification.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Security Architecture: </w:t>
      </w:r>
      <w:r>
        <w:rPr>
          <w:rFonts w:ascii="Calibri" w:hAnsi="Calibri"/>
          <w:color w:val="222222"/>
          <w:sz w:val="21"/>
        </w:rPr>
        <w:t>Multi-layer security: OTP (SMS/Email), Two-Factor Authentication (2FA/Google Authenticator), API Signature Verification, Device Verification, and IP Whitelisting.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Transaction Lifecycle: </w:t>
      </w:r>
      <w:r>
        <w:rPr>
          <w:rFonts w:ascii="Calibri" w:hAnsi="Calibri"/>
          <w:color w:val="222222"/>
          <w:sz w:val="21"/>
        </w:rPr>
        <w:t>Complete workflow management: Transfer Request → OTC Quote → Conversion → Deposit → Verification → Release Approval → Blockchain Broadcast → Confirmation → Wallet Delivery.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Audit &amp; Compliance: </w:t>
      </w:r>
      <w:r>
        <w:rPr>
          <w:rFonts w:ascii="Calibri" w:hAnsi="Calibri"/>
          <w:color w:val="222222"/>
          <w:sz w:val="21"/>
        </w:rPr>
        <w:t>Immutable transaction logs with TX Hash, timestamps, wallet addresses, and status records. Full AML/KYC compliance framework and fraud detection protocols.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Profit Distribution Engine: </w:t>
      </w:r>
      <w:r>
        <w:rPr>
          <w:rFonts w:ascii="Calibri" w:hAnsi="Calibri"/>
          <w:color w:val="222222"/>
          <w:sz w:val="21"/>
        </w:rPr>
        <w:t>Built-in Profit Distributor module with smart contract integration (HSM/MPC) for automated ratio-based fund distribution to all parties.</w:t>
      </w:r>
    </w:p>
    <w:p>
      <w:pPr>
        <w:pStyle w:val="ListBullet"/>
        <w:spacing w:before="60" w:after="60"/>
        <w:ind w:left="432"/>
      </w:pPr>
      <w:r>
        <w:rPr>
          <w:rFonts w:ascii="Calibri" w:hAnsi="Calibri"/>
          <w:b/>
          <w:color w:val="1A2E5A"/>
          <w:sz w:val="21"/>
        </w:rPr>
        <w:t xml:space="preserve">Settlement &amp; Reporting: </w:t>
      </w:r>
      <w:r>
        <w:rPr>
          <w:rFonts w:ascii="Calibri" w:hAnsi="Calibri"/>
          <w:color w:val="222222"/>
          <w:sz w:val="21"/>
        </w:rPr>
        <w:t>Automated settlement payload generation, transaction status reporting, and secure file transfer to all counterparties.</w:t>
      </w:r>
    </w:p>
    <w:p>
      <w:pPr>
        <w:spacing w:before="80" w:after="80"/>
        <w:jc w:val="left"/>
      </w:pPr>
    </w:p>
    <w:p>
      <w:pPr>
        <w:spacing w:before="160" w:after="120"/>
        <w:jc w:val="left"/>
      </w:pPr>
      <w:r>
        <w:rPr>
          <w:rFonts w:ascii="Calibri" w:hAnsi="Calibri"/>
          <w:b/>
          <w:i w:val="0"/>
          <w:color w:val="1A2E5A"/>
          <w:sz w:val="23"/>
        </w:rPr>
        <w:t>3.  Client Information Sheet (CIS) — ALSHUMOOKH GLOBAL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7344"/>
      </w:tblGrid>
      <w:tr>
        <w:tc>
          <w:tcPr>
            <w:tcW w:type="dxa" w:w="4680"/>
            <w:shd w:val="clear" w:color="auto" w:fill="1a2e5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color="auto" w:fill="1a2e5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Company Name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ALSHUMOOKH GLOBAL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Business Type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Banking Finance &amp; Credit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Role in Transaction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Receiver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Contact Email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remooz.cbl@gmail.com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System Type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Proprietary API-based Financial Transaction Management Platform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API Capability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Full REST API with HTTPS, Authentication, Webhook Support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Blockchain Networks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TRC20 (TRON) / ERC20 (Ethereum) — Full Support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Conversion Support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EUR → USDT via OTC Desk with Live Rate Locking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Payment Rails Supported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SEPA, SWIFT, Local Bank Transfer, PSP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Security Standards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OTP, 2FA (Google Authenticator), API Signature, KYC/AML Compliant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Wallet Verification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OTP-based Wallet Verification with On-Chain Confirmation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Profit Distribution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Smart Contract-based Distributor — Automated Ratio Allocation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Audit &amp; Compliance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Full Immutable Transaction Logging, TX Hash Tracking, Compliance Reports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Settlement Capability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Automated Settlement Payload Generation &amp; Secure Counterparty Delivery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Contract Signatory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Passport Holder / Authorized Representative — Available for WhatsApp Meeting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Intermediary Chain</w:t>
            </w:r>
          </w:p>
        </w:tc>
        <w:tc>
          <w:tcPr>
            <w:tcW w:type="dxa" w:w="734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Direct — No Long Broker Chain</w:t>
            </w:r>
          </w:p>
        </w:tc>
      </w:tr>
      <w:tr>
        <w:tc>
          <w:tcPr>
            <w:tcW w:type="dxa" w:w="3168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CIS Submission Date</w:t>
            </w:r>
          </w:p>
        </w:tc>
        <w:tc>
          <w:tcPr>
            <w:tcW w:type="dxa" w:w="7344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2 August 2026</w:t>
            </w:r>
          </w:p>
        </w:tc>
      </w:tr>
    </w:tbl>
    <w:p>
      <w:pPr>
        <w:spacing w:before="120" w:after="40"/>
        <w:jc w:val="left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A2E5A"/>
          <w:sz w:val="23"/>
        </w:rPr>
        <w:t>4.  Acceptance of Distribution Ratio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We formally accept and commit to the Ratio for API Transactions as stated in your document, without any modification or renegotiation: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2160"/>
      </w:tblGrid>
      <w:tr>
        <w:tc>
          <w:tcPr>
            <w:tcW w:type="dxa" w:w="4680"/>
            <w:shd w:val="clear" w:color="auto" w:fill="1a2e5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PARTY</w:t>
            </w:r>
          </w:p>
        </w:tc>
        <w:tc>
          <w:tcPr>
            <w:tcW w:type="dxa" w:w="4680"/>
            <w:shd w:val="clear" w:color="auto" w:fill="1a2e5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5040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Sender</w:t>
            </w:r>
          </w:p>
        </w:tc>
        <w:tc>
          <w:tcPr>
            <w:tcW w:type="dxa" w:w="2160"/>
            <w:shd w:val="clear" w:color="auto" w:fill="EF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D4ED8"/>
                <w:sz w:val="20"/>
              </w:rPr>
              <w:t>45%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Sender Side (Intermediary)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D4ED8"/>
                <w:sz w:val="20"/>
              </w:rPr>
              <w:t>2.5%</w:t>
            </w:r>
          </w:p>
        </w:tc>
      </w:tr>
      <w:tr>
        <w:tc>
          <w:tcPr>
            <w:tcW w:type="dxa" w:w="5040"/>
            <w:shd w:val="clear" w:color="auto" w:fill="EFF4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222222"/>
                <w:sz w:val="20"/>
              </w:rPr>
              <w:t>Receiver Side (Intermediary)</w:t>
            </w:r>
          </w:p>
        </w:tc>
        <w:tc>
          <w:tcPr>
            <w:tcW w:type="dxa" w:w="2160"/>
            <w:shd w:val="clear" w:color="auto" w:fill="EFF4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D4ED8"/>
                <w:sz w:val="20"/>
              </w:rPr>
              <w:t>2.5%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A2E5A"/>
                <w:sz w:val="20"/>
              </w:rPr>
              <w:t>Receiver — ALSHUMOOKH GLOBAL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D4ED8"/>
                <w:sz w:val="20"/>
              </w:rPr>
              <w:t>50%</w:t>
            </w:r>
          </w:p>
        </w:tc>
      </w:tr>
    </w:tbl>
    <w:p>
      <w:pPr>
        <w:spacing w:before="120" w:after="16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We confirm that we will never alter or renegotiate the above ratio, and we commit to protecting the interests of all intermediaries in this transaction.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A2E5A"/>
          <w:sz w:val="23"/>
        </w:rPr>
        <w:t>5.  Proposed Next Steps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In accordance with your procedure, we are ready to proceed immediately with the following steps upon your confirmation:</w:t>
      </w:r>
    </w:p>
    <w:p>
      <w:pPr>
        <w:spacing w:before="60" w:after="60"/>
        <w:ind w:left="360"/>
      </w:pPr>
      <w:r>
        <w:rPr>
          <w:rFonts w:ascii="Calibri" w:hAnsi="Calibri"/>
          <w:color w:val="222222"/>
          <w:sz w:val="21"/>
        </w:rPr>
        <w:t>1.  Submit this CIS for your review and system history check.</w:t>
      </w:r>
    </w:p>
    <w:p>
      <w:pPr>
        <w:spacing w:before="60" w:after="60"/>
        <w:ind w:left="360"/>
      </w:pPr>
      <w:r>
        <w:rPr>
          <w:rFonts w:ascii="Calibri" w:hAnsi="Calibri"/>
          <w:color w:val="222222"/>
          <w:sz w:val="21"/>
        </w:rPr>
        <w:t>2.  Join the WhatsApp group with the passport holder / authorized representative of ALSHUMOOKH GLOBAL and all relevant intermediaries for the direct technical and commercial discussion.</w:t>
      </w:r>
    </w:p>
    <w:p>
      <w:pPr>
        <w:spacing w:before="60" w:after="60"/>
        <w:ind w:left="360"/>
      </w:pPr>
      <w:r>
        <w:rPr>
          <w:rFonts w:ascii="Calibri" w:hAnsi="Calibri"/>
          <w:color w:val="222222"/>
          <w:sz w:val="21"/>
        </w:rPr>
        <w:t>3.  Review and execute the DOA (Deed of Agreement) upon positive outcome of the meeting.</w:t>
      </w:r>
    </w:p>
    <w:p>
      <w:pPr>
        <w:spacing w:before="60" w:after="60"/>
        <w:ind w:left="360"/>
      </w:pPr>
      <w:r>
        <w:rPr>
          <w:rFonts w:ascii="Calibri" w:hAnsi="Calibri"/>
          <w:color w:val="222222"/>
          <w:sz w:val="21"/>
        </w:rPr>
        <w:t>4.  Execute the full API-to-API Transfer workflow as per your Step-by-Step procedure immediately after DOA execution.</w:t>
      </w:r>
    </w:p>
    <w:p>
      <w:pPr>
        <w:spacing w:before="120" w:after="40"/>
        <w:jc w:val="left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A2E5A"/>
          <w:sz w:val="23"/>
        </w:rPr>
        <w:t>6.  Professional Commitment &amp; Compliance</w:t>
      </w:r>
    </w:p>
    <w:p>
      <w:pPr>
        <w:spacing w:before="40" w:after="12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ALSHUMOOKH GLOBAL operates as a professional financial institution. We have full understanding of the nature of fund transfers via MX(MT103), S2S, L2L, and API protocols. We commit to engaging in a fully transparent, professional, and compliant manner throughout the complete lifecycle of any transaction.</w:t>
      </w: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We further confirm that we will conduct no unauthorized bank calls, probes, or third-party communications in relation to any transaction between our parties, in strict compliance with your stated NOTE regarding immediate cancellation.</w:t>
      </w:r>
    </w:p>
    <w:p>
      <w:pPr>
        <w:spacing w:before="80" w:after="80"/>
        <w:pBdr>
          <w:bottom w:val="single" w:sz="6" w:space="1" w:color="1a2e5a"/>
        </w:pBdr>
      </w:pPr>
    </w:p>
    <w:p>
      <w:pPr>
        <w:spacing w:before="160" w:after="16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We look forward to your confirmation and to initiating the formal procedure. Please contact us at your earliest convenience to proceed with the WhatsApp group setup.</w:t>
      </w:r>
    </w:p>
    <w:p>
      <w:pPr>
        <w:spacing w:before="80" w:after="80"/>
        <w:jc w:val="left"/>
      </w:pPr>
      <w:r>
        <w:rPr>
          <w:rFonts w:ascii="Calibri" w:hAnsi="Calibri"/>
          <w:b w:val="0"/>
          <w:i w:val="0"/>
          <w:color w:val="222222"/>
          <w:sz w:val="21"/>
        </w:rPr>
        <w:t>Yours faithfully,</w:t>
      </w:r>
    </w:p>
    <w:p>
      <w:pPr>
        <w:spacing w:before="40" w:after="40"/>
        <w:jc w:val="left"/>
      </w:pPr>
      <w:r>
        <w:rPr>
          <w:rFonts w:ascii="Calibri" w:hAnsi="Calibri"/>
          <w:b/>
          <w:i w:val="0"/>
          <w:color w:val="1A2E5A"/>
          <w:sz w:val="26"/>
        </w:rPr>
        <w:t>ALSHUMOOKH GLOBAL</w:t>
      </w:r>
    </w:p>
    <w:p>
      <w:pPr>
        <w:spacing w:before="0" w:after="40"/>
        <w:jc w:val="left"/>
      </w:pPr>
      <w:r>
        <w:rPr>
          <w:rFonts w:ascii="Calibri" w:hAnsi="Calibri"/>
          <w:b/>
          <w:i w:val="0"/>
          <w:color w:val="B8860B"/>
          <w:sz w:val="22"/>
        </w:rPr>
        <w:t>Banking Finance &amp; Credit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Email: remooz.cbl@gmail.com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Date: 2 August 2026</w:t>
      </w:r>
    </w:p>
    <w:p>
      <w:pPr>
        <w:spacing w:before="80" w:after="80"/>
        <w:pBdr>
          <w:bottom w:val="single" w:sz="6" w:space="1" w:color="1a2e5a"/>
        </w:pBdr>
      </w:pPr>
    </w:p>
    <w:p>
      <w:pPr>
        <w:spacing w:before="80" w:after="0"/>
        <w:jc w:val="center"/>
      </w:pPr>
      <w:r>
        <w:rPr>
          <w:rFonts w:ascii="Calibri" w:hAnsi="Calibri"/>
          <w:b w:val="0"/>
          <w:i/>
          <w:color w:val="555555"/>
          <w:sz w:val="17"/>
        </w:rPr>
        <w:t>CONFIDENTIALITY NOTICE: This letter and any attachments are strictly confidential and intended solely for the named recipient. Any unauthorized disclosure or distribution is prohibited.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