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cs="Times New Roman"/>
          <w:b/>
          <w:color w:val="000000"/>
          <w:sz w:val="32"/>
        </w:rPr>
        <w:t>Wallet-to-Wallet via API (Non-SWIFT)</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090"/>
        <w:gridCol w:w="5090"/>
      </w:tblGrid>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Receiving Server Name</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ALSHUMOOKH GLOBAL BANKING FINANCE &amp; CREDIT</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Receiving Server IP</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api.alshumookh-pay.com</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Receiving API Endpoint</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https://api.alshumookh-pay.com/api/v1/payloads/ingest</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API Key</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asgbfc_qT-1ly400jnMk_8Tr5JM4drHVM40gU1UQtmS7S3tWqU</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API Authentication Key</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OAuth 2.0 Client ID: asg_oauth_sdN6jqx7v2GGEa48yptX2hNu6vYizSaj  |  OAuth 2.0 Secret: asg_secret_zy5flSOrOxFEyllwfGDHLdJCDchtmkQtvdgfZH-qCm65KRkT2K0ICg</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Receiving Port</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443 (HTTPS/TLS)</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TCP Port</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443</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Receiving Protocol</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color w:val="000000"/>
                <w:sz w:val="21"/>
              </w:rPr>
              <w:t>HTTPS REST API - JSON Payload</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Secure Tunnel IP (if applicable)</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N/A</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Global Tunnel Server IP</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api.alshumookh-pay.com</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API Base URL</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https://api.alshumookh-pay.com/api/v1</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API Transaction Endpoint</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/payloads/ingest</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HTTP Request Method</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color w:val="000000"/>
                <w:sz w:val="21"/>
              </w:rPr>
              <w:t>POST</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val="0"/>
                <w:color w:val="000000"/>
                <w:sz w:val="21"/>
              </w:rPr>
              <w:t>Authentication Method</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color w:val="000000"/>
                <w:sz w:val="21"/>
              </w:rPr>
              <w:t>Bearer Token Authorization</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color w:val="000000"/>
                <w:sz w:val="21"/>
              </w:rPr>
              <w:t>Receiver Wallet ID</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0xBD682cfD8382a90adfDd6745780D3D7959c4d939</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color w:val="000000"/>
                <w:sz w:val="21"/>
              </w:rPr>
              <w:t>Receiver User ID (optional)</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N/A</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color w:val="000000"/>
                <w:sz w:val="21"/>
              </w:rPr>
              <w:t>Receiver Name</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ALSHUMOOKH GLOBAL BANKING FINANCE &amp; CREDIT</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color w:val="000000"/>
                <w:sz w:val="21"/>
              </w:rPr>
              <w:t>Wallet Currency</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USDC / USDT / ETH</w:t>
            </w:r>
          </w:p>
        </w:tc>
      </w:tr>
      <w:tr>
        <w:trPr>
          <w:trHeight w:val="533" w:hRule="atLeast"/>
        </w:trPr>
        <w:tc>
          <w:tcPr>
            <w:tcW w:type="dxa" w:w="4939"/>
            <w:tcMar>
              <w:top w:w="92" w:type="dxa"/>
              <w:start w:w="115" w:type="dxa"/>
              <w:bottom w:w="92" w:type="dxa"/>
              <w:end w:w="115" w:type="dxa"/>
            </w:tcMar>
            <w:shd w:fill="FFFFFF" w:color="auto" w:val="clear"/>
            <w:vAlign w:val="center"/>
          </w:tcPr>
          <w:p>
            <w:pPr>
              <w:spacing w:before="0" w:after="0" w:line="240" w:lineRule="auto"/>
              <w:jc w:val="left"/>
            </w:pPr>
            <w:r>
              <w:rPr>
                <w:rFonts w:ascii="Times New Roman" w:hAnsi="Times New Roman" w:eastAsia="Times New Roman" w:cs="Times New Roman"/>
                <w:b/>
                <w:color w:val="000000"/>
                <w:sz w:val="21"/>
              </w:rPr>
              <w:t>Purpose Code / Payment Note (optional)</w:t>
            </w:r>
          </w:p>
        </w:tc>
        <w:tc>
          <w:tcPr>
            <w:tcW w:type="dxa" w:w="5184"/>
            <w:tcMar>
              <w:top w:w="92" w:type="dxa"/>
              <w:start w:w="115" w:type="dxa"/>
              <w:bottom w:w="92" w:type="dxa"/>
              <w:end w:w="115" w:type="dxa"/>
            </w:tcMar>
            <w:shd w:fill="FFFFFF" w:color="auto" w:val="clear"/>
            <w:vAlign w:val="center"/>
          </w:tcPr>
          <w:p>
            <w:pPr>
              <w:spacing w:before="0" w:after="0" w:line="240" w:lineRule="auto"/>
              <w:jc w:val="left"/>
            </w:pPr>
            <w:r xmlns:w="http://schemas.openxmlformats.org/wordprocessingml/2006/main">
              <w:rPr>
                <w:rFonts w:ascii="Times New Roman" w:hAnsi="Times New Roman" w:eastAsia="Times New Roman" w:cs="Times New Roman"/>
                <w:color w:val="000000"/>
                <w:sz w:val="21"/>
              </w:rPr>
              <w:t xml:space="preserve">Digital Asset Settlement — Cross-Border Transfer</w:t>
            </w:r>
          </w:p>
        </w:tc>
      </w:tr>
    </w:tbl>
    <w:p>
      <w:pPr>
        <w:spacing w:after="0"/>
      </w:pPr>
      <w:r>
        <w:rPr>
          <w:rFonts w:ascii="Times New Roman" w:hAnsi="Times New Roman" w:eastAsia="Times New Roman" w:cs="Times New Roman"/>
          <w:color w:val="000000"/>
        </w:rPr>
        <w:br w:type="page"/>
      </w:r>
    </w:p>
    <w:p>
      <w:pPr>
        <w:spacing w:after="240"/>
        <w:jc w:val="center"/>
      </w:pPr>
      <w:r>
        <w:rPr>
          <w:rFonts w:ascii="Times New Roman" w:hAnsi="Times New Roman" w:eastAsia="Times New Roman" w:cs="Times New Roman"/>
          <w:b/>
          <w:color w:val="000000"/>
          <w:sz w:val="30"/>
        </w:rPr>
        <w:t>Brief Receiver Process / Workflow</w:t>
      </w:r>
    </w:p>
    <w:p>
      <w:pPr>
        <w:spacing w:after="200" w:line="259" w:lineRule="auto"/>
      </w:pPr>
      <w:r>
        <w:rPr>
          <w:rFonts w:ascii="Times New Roman" w:hAnsi="Times New Roman" w:eastAsia="Times New Roman" w:cs="Times New Roman"/>
          <w:color w:val="000000"/>
          <w:sz w:val="23"/>
        </w:rPr>
        <w:t>To ensure that the receiver and sender follow the same process, the transaction should proceed as follows:</w:t>
      </w:r>
    </w:p>
    <w:p>
      <w:pPr>
        <w:spacing w:after="140" w:line="259" w:lineRule="auto"/>
        <w:ind w:left="403" w:hanging="403" w:right="72"/>
      </w:pPr>
      <w:r>
        <w:rPr>
          <w:rFonts w:ascii="Times New Roman" w:hAnsi="Times New Roman" w:eastAsia="Times New Roman" w:cs="Times New Roman"/>
          <w:b/>
          <w:color w:val="000000"/>
          <w:sz w:val="23"/>
        </w:rPr>
        <w:t xml:space="preserve">1. Information exchange. </w:t>
      </w:r>
      <w:r>
        <w:rPr>
          <w:rFonts w:ascii="Times New Roman" w:hAnsi="Times New Roman" w:eastAsia="Times New Roman" w:cs="Times New Roman"/>
          <w:color w:val="000000"/>
          <w:sz w:val="23"/>
        </w:rPr>
        <w:t>The receiver completes the form and confirms the API endpoint, server and port details, protocol, authentication requirements, receiver wallet ID, receiver user ID (if available), registered name, wallet currency, and any required payment note. The parties also confirm the sender IP address to be whitelisted.</w:t>
      </w:r>
    </w:p>
    <w:p>
      <w:pPr>
        <w:spacing w:after="140" w:line="259" w:lineRule="auto"/>
        <w:ind w:left="403" w:hanging="403" w:right="72"/>
      </w:pPr>
      <w:r>
        <w:rPr>
          <w:rFonts w:ascii="Times New Roman" w:hAnsi="Times New Roman" w:eastAsia="Times New Roman" w:cs="Times New Roman"/>
          <w:b/>
          <w:color w:val="000000"/>
          <w:sz w:val="23"/>
        </w:rPr>
        <w:t xml:space="preserve">2. Connectivity test. </w:t>
      </w:r>
      <w:r>
        <w:rPr>
          <w:rFonts w:ascii="Times New Roman" w:hAnsi="Times New Roman" w:eastAsia="Times New Roman" w:cs="Times New Roman"/>
          <w:color w:val="000000"/>
          <w:sz w:val="23"/>
        </w:rPr>
        <w:t>Both technical teams confirm that the HTTPS REST API endpoint, credentials, and IP-whitelisting controls are active. The sender then submits a test POST request using an ISO 20022-style JSON payload with a unique message ID and end-to-end reference.</w:t>
      </w:r>
    </w:p>
    <w:p>
      <w:pPr>
        <w:spacing w:after="140" w:line="259" w:lineRule="auto"/>
        <w:ind w:left="403" w:hanging="403" w:right="72"/>
      </w:pPr>
      <w:r>
        <w:rPr>
          <w:rFonts w:ascii="Times New Roman" w:hAnsi="Times New Roman" w:eastAsia="Times New Roman" w:cs="Times New Roman"/>
          <w:b/>
          <w:color w:val="000000"/>
          <w:sz w:val="23"/>
        </w:rPr>
        <w:t xml:space="preserve">3. Transfer initiation and validation. </w:t>
      </w:r>
      <w:r>
        <w:rPr>
          <w:rFonts w:ascii="Times New Roman" w:hAnsi="Times New Roman" w:eastAsia="Times New Roman" w:cs="Times New Roman"/>
          <w:color w:val="000000"/>
          <w:sz w:val="23"/>
        </w:rPr>
        <w:t>After a successful test, the sender submits the live request with the sender and receiver wallet details, amount, currency, and purpose or remittance information. The transaction is checked against the applicable KYC, wallet status, limits, balance, currency, and AML requirements.</w:t>
      </w:r>
    </w:p>
    <w:p>
      <w:pPr>
        <w:spacing w:after="140" w:line="259" w:lineRule="auto"/>
        <w:ind w:left="403" w:hanging="403" w:right="72"/>
      </w:pPr>
      <w:r>
        <w:rPr>
          <w:rFonts w:ascii="Times New Roman" w:hAnsi="Times New Roman" w:eastAsia="Times New Roman" w:cs="Times New Roman"/>
          <w:b/>
          <w:color w:val="000000"/>
          <w:sz w:val="23"/>
        </w:rPr>
        <w:t xml:space="preserve">4. Booking and response. </w:t>
      </w:r>
      <w:r>
        <w:rPr>
          <w:rFonts w:ascii="Times New Roman" w:hAnsi="Times New Roman" w:eastAsia="Times New Roman" w:cs="Times New Roman"/>
          <w:color w:val="000000"/>
          <w:sz w:val="23"/>
        </w:rPr>
        <w:t>If accepted, the sender wallet is debited and the receiver wallet is credited in the relevant ledgers. The receiver returns the transaction reference and current status. A failed request is returned as RJCT with the applicable reason.</w:t>
      </w:r>
    </w:p>
    <w:p>
      <w:pPr>
        <w:spacing w:after="140" w:line="259" w:lineRule="auto"/>
        <w:ind w:left="403" w:hanging="403" w:right="72"/>
      </w:pPr>
      <w:r>
        <w:rPr>
          <w:rFonts w:ascii="Times New Roman" w:hAnsi="Times New Roman" w:eastAsia="Times New Roman" w:cs="Times New Roman"/>
          <w:b/>
          <w:color w:val="000000"/>
          <w:sz w:val="23"/>
        </w:rPr>
        <w:t xml:space="preserve">5. Final confirmation. </w:t>
      </w:r>
      <w:r>
        <w:rPr>
          <w:rFonts w:ascii="Times New Roman" w:hAnsi="Times New Roman" w:eastAsia="Times New Roman" w:cs="Times New Roman"/>
          <w:color w:val="000000"/>
          <w:sz w:val="23"/>
        </w:rPr>
        <w:t>The final status is communicated through the API response and, where agreed, a status endpoint or webhook. ACSC indicates completion, ACSP or PDNG indicates processing, and RJCT indicates rejection. Both parties reconcile the payment using the transaction ID and end-to-end reference and confirm the receiver-wallet credit.</w:t>
      </w:r>
    </w:p>
    <w:p>
      <w:pPr>
        <w:spacing w:before="160" w:after="0" w:line="259" w:lineRule="auto"/>
      </w:pPr>
      <w:r>
        <w:rPr>
          <w:rFonts w:ascii="Times New Roman" w:hAnsi="Times New Roman" w:eastAsia="Times New Roman" w:cs="Times New Roman"/>
          <w:b/>
          <w:color w:val="000000"/>
          <w:sz w:val="23"/>
        </w:rPr>
        <w:t xml:space="preserve">Live-transfer readiness: </w:t>
      </w:r>
      <w:r>
        <w:rPr>
          <w:rFonts w:ascii="Times New Roman" w:hAnsi="Times New Roman" w:eastAsia="Times New Roman" w:cs="Times New Roman"/>
          <w:color w:val="000000"/>
          <w:sz w:val="23"/>
        </w:rPr>
        <w:t>the live payment should begin only after both parties confirm the completed form, active endpoint, authentication, IP whitelisting, supported currency, correct wallet details, and successful test response.</w:t>
      </w:r>
    </w:p>
    <w:sectPr w:rsidR="00FC693F" w:rsidRPr="0006063C" w:rsidSect="00034616">
      <w:pgSz w:w="11909" w:h="16834"/>
      <w:pgMar w:top="835" w:right="864" w:bottom="835"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Wallet-to-Wallet via API (Non-SWIFT) - Receiver Details and Workflow</dc:title>
  <dc:subject>Receiver API details and agreed wallet-to-wallet transfer workflow</dc:subject>
  <dc:creator/>
  <cp:keywords>wallet-to-wallet, API, non-SWIFT, receiver, workflow</cp:keywords>
  <dc:description>generated by python-docx</dc:description>
  <cp:lastModifiedBy/>
  <cp:revision>1</cp:revision>
  <dcterms:created xsi:type="dcterms:W3CDTF">2013-12-23T23:15:00Z</dcterms:created>
  <dcterms:modified xsi:type="dcterms:W3CDTF">2013-12-23T23:15:00Z</dcterms:modified>
  <cp:category/>
</cp:coreProperties>
</file>