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806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806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ALSHUMOOKH Technical Access Package</w:t>
      </w:r>
    </w:p>
    <w:p>
      <w:pPr>
        <w:pStyle w:val="Subtitle"/>
        <w:jc w:val="center"/>
      </w:pPr>
      <w:r>
        <w:t>API-to-API Settlement Receiver | Sender Integration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Document Control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Production domain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https://alshumookh.finance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Document purpose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Information package for the sender technical team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Environment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Production-ready technical deployment; certification process pending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Generated date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2026-05-10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6EF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1F5FD0"/>
                <w:sz w:val="22"/>
              </w:rPr>
              <w:t>Operational Confirmation</w:t>
            </w:r>
          </w:p>
          <w:p>
            <w:r>
              <w:rPr>
                <w:rFonts w:ascii="Calibri" w:hAnsi="Calibri"/>
                <w:b w:val="0"/>
                <w:color w:val="101828"/>
                <w:sz w:val="21"/>
              </w:rPr>
              <w:t>The ALSHUMOOKH settlement receiver is deployed on the production domain and supports secure API-to-API payload ingestion, raw payload audit logging, field normalization, Alchemy/RPC blockchain verification, and admin-side reconciliation monitoring.</w:t>
            </w:r>
          </w:p>
        </w:tc>
      </w:tr>
    </w:tbl>
    <w:p/>
    <w:p>
      <w:pPr>
        <w:pStyle w:val="Heading1"/>
      </w:pPr>
      <w:r>
        <w:t>1. What We Can Provide to the Sender</w:t>
      </w:r>
    </w:p>
    <w:p>
      <w:pPr/>
      <w:r>
        <w:t>The sender should receive only the operational integration information below. Internal administrator credentials, Alchemy secrets, Render credentials, GitHub tokens, database URLs, and MoonPay secrets must never be shared.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External Integration Endpoints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Production Base URL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https://alshumookh.finance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Schema Endpoint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GET https://alshumookh.finance/api/v1/payloads/schema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Payload Ingestion Endpoint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POST https://alshumookh.finance/api/v1/payloads/ingest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Health Check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GET https://alshumookh.finance/health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Admin Monitoring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Internal dashboard only; not shared externally</w:t>
            </w:r>
          </w:p>
        </w:tc>
      </w:tr>
    </w:tbl>
    <w:p/>
    <w:p>
      <w:pPr>
        <w:pStyle w:val="Heading1"/>
      </w:pPr>
      <w:r>
        <w:t>2. Required Authentication</w:t>
      </w:r>
    </w:p>
    <w:p>
      <w:pPr/>
      <w:r>
        <w:t>Each sender must receive a dedicated API client. The initial integration can use API key plus idempotency key, with optional HMAC signature enforcement. OAuth2/JWS/JWE/mTLS-ready controls are available when the counterparty requires higher assurance.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ourier New" w:hAnsi="Courier New"/>
                <w:color w:val="F1F5F9"/>
                <w:sz w:val="17"/>
              </w:rPr>
              <w:t>POST /api/v1/payloads/ingest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Host: alshumookh.finance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Content-Type: application/json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X-API-Key: &lt;SENDER_DEDICATED_API_KEY&gt;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Idempotency-Key: &lt;UNIQUE_REQUEST_ID&gt;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Header Requirements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X-API-Key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Dedicated key issued only for the sender. Do not reuse admin or internal keys.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Idempotency-Key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Unique value per request to prevent duplicate transaction processing.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X-Timestamp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Optional unless HMAC is required. Recommended for replay protection.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X-Signature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Optional HMAC-SHA256 signature using timestamp + '.' + exact raw request body.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Authorization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Optional OAuth2 Bearer token if OAuth2 client credentials mode is enabled.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X-JWS-Signature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Optional compact JWS if asymmetric signing is required.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X-Client-Cert-Fingerprint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mTLS-ready header when deployed behind a validating gateway.</w:t>
            </w:r>
          </w:p>
        </w:tc>
      </w:tr>
    </w:tbl>
    <w:p/>
    <w:p>
      <w:pPr>
        <w:pStyle w:val="Heading1"/>
      </w:pPr>
      <w:r>
        <w:t>3. Payload Format Required from Sender</w:t>
      </w:r>
    </w:p>
    <w:p>
      <w:pPr/>
      <w:r>
        <w:t>The system accepts unknown and custom fields, but the following normalized fields are recommended so automatic blockchain verification and reconciliation can run without manual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ourier New" w:hAnsi="Courier New"/>
                <w:color w:val="F1F5F9"/>
                <w:sz w:val="17"/>
              </w:rPr>
              <w:t>{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"transaction_reference": "W2W-TEST-0001",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"tx_hash": "0x...",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"sender_wallet": "0xSenderWallet",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"receiver_wallet": "0xReceiverMasterWallet",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"amount": "100.00",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"asset": "USDC",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"network": "ethereum",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"token_contract": "0xA0b86991c6218b36c1d19D4a2e9Eb0cE3606eB48",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"timestamp": "2026-05-10T17:00:00Z",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"callback_url": "https://sender.example/callback"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Recommended Normalized Fields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transaction_reference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External settlement reference or transfer reference.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tx_hash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Blockchain transaction hash. If missing, status becomes AWAITING_TX_HASH.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sender_wallet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Declared sender wallet address.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receiver_wallet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ALSHUMOOKH official receiving wallet address.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amount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Exact settlement amount.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asset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Token symbol, for example USDC.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network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ethereum, base, or tron-placeholder.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token_contract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ERC-20 contract address for automatic token verification.</w:t>
            </w:r>
          </w:p>
        </w:tc>
      </w:tr>
    </w:tbl>
    <w:p/>
    <w:p>
      <w:pPr>
        <w:pStyle w:val="Heading1"/>
      </w:pPr>
      <w:r>
        <w:t>4. Supported Networks and Receiver Wallet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Settlement Network Support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Ethereum ERC-20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Supported for Alchemy/RPC verification.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Base ERC-20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Supported for Alchemy/RPC verification when Base RPC is configured.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TRON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Prepared as placeholder/manual support until RPC activation.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Official Ethereum Ledger Wallet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0xBD682cfD8382a90adfDd6745780D3D7959c4d939</w:t>
            </w:r>
          </w:p>
        </w:tc>
      </w:tr>
    </w:tbl>
    <w:p/>
    <w:p>
      <w:pPr>
        <w:pStyle w:val="Heading1"/>
      </w:pPr>
      <w:r>
        <w:t>5. Verification and Reconciliation</w:t>
      </w:r>
    </w:p>
    <w:p>
      <w:pPr>
        <w:pStyle w:val="ListBullet"/>
      </w:pPr>
      <w:r>
        <w:t>Stores the full raw wire payload and pretty-formatted JSON for audit trail.</w:t>
      </w:r>
    </w:p>
    <w:p>
      <w:pPr>
        <w:pStyle w:val="ListBullet"/>
      </w:pPr>
      <w:r>
        <w:t>Normalizes sender fields even when aliases are used, such as txRef, transaction_id, from_wallet, to_wallet, or transfer_amount.</w:t>
      </w:r>
    </w:p>
    <w:p>
      <w:pPr>
        <w:pStyle w:val="ListBullet"/>
      </w:pPr>
      <w:r>
        <w:t>Verifies blockchain transaction hash through Alchemy/RPC when tx_hash is provided.</w:t>
      </w:r>
    </w:p>
    <w:p>
      <w:pPr>
        <w:pStyle w:val="ListBullet"/>
      </w:pPr>
      <w:r>
        <w:t>Checks transaction receipt success, ERC-20 Transfer logs, sender wallet, receiver wallet, token contract, amount received, block number, confirmations, and explorer URL.</w:t>
      </w:r>
    </w:p>
    <w:p>
      <w:pPr>
        <w:pStyle w:val="ListBullet"/>
      </w:pPr>
      <w:r>
        <w:t>Displays payload status and verification results inside the internal admin dashboard.</w:t>
      </w:r>
    </w:p>
    <w:p>
      <w:pPr>
        <w:pStyle w:val="Heading1"/>
      </w:pPr>
      <w:r>
        <w:t>6. Proof of Current Operation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F2F4F7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F5FD0"/>
                <w:sz w:val="21"/>
              </w:rPr>
              <w:t>Operational Evidence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Production domain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https://alshumookh.finance is active over HTTPS.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Health endpoint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GET /health returns HTTP 200 OK.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Deployment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Latest deployment completed successfully and the service is live.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Admin dashboard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Internal admin dashboard loads and reads settlement payload/order data.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8FAFC"/>
          </w:tcPr>
          <w:p>
            <w:r>
              <w:rPr>
                <w:rFonts w:ascii="Calibri" w:hAnsi="Calibri"/>
                <w:b/>
                <w:color w:val="667085"/>
                <w:sz w:val="19"/>
              </w:rPr>
              <w:t>API status</w:t>
            </w:r>
          </w:p>
        </w:tc>
        <w:tc>
          <w:tcPr>
            <w:tcW w:type="dxa" w:w="648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101828"/>
                <w:sz w:val="19"/>
              </w:rPr>
              <w:t>Payload ingestion, schema, OAuth2 token, and admin verification endpoints are deployed.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AE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Calibri" w:hAnsi="Calibri"/>
                <w:b/>
                <w:color w:val="1F5FD0"/>
                <w:sz w:val="22"/>
              </w:rPr>
              <w:t>Certification Note</w:t>
            </w:r>
          </w:p>
          <w:p>
            <w:r>
              <w:rPr>
                <w:rFonts w:ascii="Calibri" w:hAnsi="Calibri"/>
                <w:b w:val="0"/>
                <w:color w:val="101828"/>
                <w:sz w:val="21"/>
              </w:rPr>
              <w:t>The infrastructure is technically upgraded for controlled secure API-to-API settlement testing. Formal certifications such as ISO 27001, SOC 2, PCI-DSS, PSD2, eIDAS, or equivalent audits remain separate compliance processes and should not be represented as completed until officially issued.</w:t>
            </w:r>
          </w:p>
        </w:tc>
      </w:tr>
    </w:tbl>
    <w:p/>
    <w:p>
      <w:pPr>
        <w:pStyle w:val="Heading1"/>
      </w:pPr>
      <w:r>
        <w:t>7. Information Not to Share</w:t>
      </w:r>
    </w:p>
    <w:p>
      <w:pPr>
        <w:pStyle w:val="ListBullet"/>
      </w:pPr>
      <w:r>
        <w:t>Admin API key or administrator login credentials.</w:t>
      </w:r>
    </w:p>
    <w:p>
      <w:pPr>
        <w:pStyle w:val="ListBullet"/>
      </w:pPr>
      <w:r>
        <w:t>Alchemy API key, webhook signing key, or RPC secret URLs.</w:t>
      </w:r>
    </w:p>
    <w:p>
      <w:pPr>
        <w:pStyle w:val="ListBullet"/>
      </w:pPr>
      <w:r>
        <w:t>Render, GitHub, database, MoonPay, or infrastructure credentials.</w:t>
      </w:r>
    </w:p>
    <w:p>
      <w:pPr>
        <w:pStyle w:val="ListBullet"/>
      </w:pPr>
      <w:r>
        <w:t>Private keys, seed phrases, server secrets, or internal environment variables.</w:t>
      </w:r>
    </w:p>
    <w:p>
      <w:pPr>
        <w:pStyle w:val="Heading1"/>
      </w:pPr>
      <w:r>
        <w:t>8. Sender Message Template</w:t>
      </w:r>
    </w:p>
    <w:p>
      <w:pPr/>
      <w:r>
        <w:t>The following text can be sent to the sender together with this package: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ourier New" w:hAnsi="Courier New"/>
                <w:color w:val="F1F5F9"/>
                <w:sz w:val="17"/>
              </w:rPr>
              <w:t>Dear Team,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We confirm that the receiver infrastructure has been upgraded and deployed on our production domain: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https://alshumookh.finance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The system now supports API-to-API settlement payload ingestion, raw JSON audit logging, field normalization, idempotency, dedicated API-key authentication, optional HMAC signature verification, OAuth2 bearer token support, JWS/JWE-ready controls, mTLS-ready client fingerprint validation, and Alchemy/RPC blockchain verification for ERC-20 transactions.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Please use the schema endpoint first: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GET https://alshumookh.finance/api/v1/payloads/schema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Payload ingestion endpoint: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POST https://alshumookh.finance/api/v1/payloads/ingest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Please send a small technical test payload first so our system can receive, normalize, store, verify, and reconcile it through the settlement monitoring dashboard.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Kind regards,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>ALSHUMOOKH Technical Team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Quick Test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Courier New" w:hAnsi="Courier New"/>
                <w:color w:val="F1F5F9"/>
                <w:sz w:val="17"/>
              </w:rPr>
              <w:t>curl -X POST https://alshumookh.finance/api/v1/payloads/ingest \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-H "Content-Type: application/json" \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-H "X-API-Key: &lt;SENDER_DEDICATED_API_KEY&gt;" \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-H "Idempotency-Key: sender-test-0001" \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-d '{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"transaction_reference": "W2W-TEST-0001",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"sender_wallet": "0xSenderWallet",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"receiver_wallet": "0xBD682cfD8382a90adfDd6745780D3D7959c4d939",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"amount": "100.00",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"asset": "USDC",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  "network": "ethereum"</w:t>
            </w:r>
            <w:r>
              <w:br/>
            </w:r>
            <w:r>
              <w:rPr>
                <w:rFonts w:ascii="Courier New" w:hAnsi="Courier New"/>
                <w:color w:val="F1F5F9"/>
                <w:sz w:val="17"/>
              </w:rPr>
              <w:t xml:space="preserve">  }'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6"/>
      </w:rPr>
      <w:t>ALSHUMOOKH GLOBAL BANKING FINANCE &amp; CREDIT | Confidential Technical Access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5FD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5FD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18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