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4464"/>
        <w:gridCol w:w="4464"/>
      </w:tblGrid>
      <w:tr>
        <w:tc>
          <w:tcPr>
            <w:tcW w:type="dxa" w:w="5472"/>
            <w:shd w:val="clear" w:color="auto" w:fill="1B3A6B"/>
          </w:tcPr>
          <w:p>
            <w:pPr>
              <w:spacing w:before="160" w:after="40"/>
            </w:pPr>
            <w:r>
              <w:rPr>
                <w:rFonts w:ascii="Arial" w:hAnsi="Arial"/>
                <w:b/>
                <w:color w:val="FFFFFF"/>
                <w:sz w:val="30"/>
              </w:rPr>
              <w:t>ALSHUMOOKH GROUP</w:t>
            </w:r>
          </w:p>
          <w:p>
            <w:pPr>
              <w:spacing w:after="160"/>
            </w:pPr>
            <w:r>
              <w:rPr>
                <w:rFonts w:ascii="Arial" w:hAnsi="Arial"/>
                <w:color w:val="B0C8F0"/>
                <w:sz w:val="17"/>
              </w:rPr>
              <w:t>Private Blockchain &amp; Settlement Division</w:t>
            </w:r>
          </w:p>
        </w:tc>
        <w:tc>
          <w:tcPr>
            <w:tcW w:type="dxa" w:w="3600"/>
            <w:shd w:val="clear" w:color="auto" w:fill="1B3A6B"/>
          </w:tcPr>
          <w:p>
            <w:pPr>
              <w:spacing w:before="200" w:after="200"/>
              <w:jc w:val="right"/>
            </w:pPr>
            <w:r>
              <w:rPr>
                <w:rFonts w:ascii="Arial" w:hAnsi="Arial"/>
                <w:b/>
                <w:color w:val="B0C8F0"/>
                <w:sz w:val="18"/>
              </w:rPr>
              <w:t>TRANSFER REQUIREMENTS</w:t>
              <w:br/>
              <w:t>&amp; SUBMISSION GUIDE</w:t>
            </w:r>
          </w:p>
        </w:tc>
      </w:tr>
    </w:tbl>
    <w:p/>
    <w:p>
      <w:pPr>
        <w:spacing w:before="120" w:after="40"/>
        <w:jc w:val="center"/>
      </w:pPr>
      <w:r>
        <w:rPr>
          <w:rFonts w:ascii="Arial" w:hAnsi="Arial"/>
          <w:b/>
          <w:color w:val="1B3A6B"/>
          <w:sz w:val="34"/>
        </w:rPr>
        <w:t>CLIENT TECHNICAL REQUIREMENTS</w:t>
      </w:r>
    </w:p>
    <w:p>
      <w:pPr>
        <w:spacing w:after="40"/>
        <w:jc w:val="center"/>
      </w:pPr>
      <w:r>
        <w:rPr>
          <w:rFonts w:ascii="Arial" w:hAnsi="Arial"/>
          <w:color w:val="4A6FA5"/>
          <w:sz w:val="22"/>
        </w:rPr>
        <w:t>Tokenized SWIFT Transfer — Submission &amp; Acceptance Protocol</w:t>
      </w:r>
    </w:p>
    <w:p>
      <w:pPr>
        <w:spacing w:after="200"/>
        <w:jc w:val="center"/>
      </w:pPr>
      <w:r>
        <w:rPr>
          <w:rFonts w:ascii="Arial" w:hAnsi="Arial"/>
          <w:color w:val="888888"/>
          <w:sz w:val="18"/>
        </w:rPr>
        <w:t>Operation Reference: IPIP-45M-PROSPERITY-SPRUTH-2025  |  Amount: EUR 45,000,000.00</w:t>
      </w:r>
    </w:p>
    <w:p>
      <w:pPr>
        <w:pBdr>
          <w:bottom w:val="single" w:sz="18" w:space="1" w:color="1B3A6B"/>
        </w:pBdr>
        <w:spacing w:after="160"/>
      </w:pPr>
    </w:p>
    <w:p>
      <w:pPr>
        <w:spacing w:before="280" w:after="80"/>
        <w:pBdr>
          <w:bottom w:val="single" w:sz="12" w:space="1" w:color="1B3A6B"/>
        </w:pBdr>
      </w:pPr>
      <w:r>
        <w:rPr>
          <w:rFonts w:ascii="Arial" w:hAnsi="Arial"/>
          <w:b/>
          <w:color w:val="1B3A6B"/>
          <w:sz w:val="26"/>
        </w:rPr>
        <w:t>01 |  Overview &amp; Purpose</w:t>
      </w:r>
    </w:p>
    <w:p>
      <w:pPr>
        <w:spacing w:after="120" w:before="0"/>
      </w:pPr>
      <w:r>
        <w:rPr>
          <w:rFonts w:ascii="Arial" w:hAnsi="Arial"/>
          <w:b w:val="0"/>
          <w:i w:val="0"/>
          <w:sz w:val="21"/>
        </w:rPr>
        <w:t>This document outlines the mandatory technical requirements that must be fulfilled by the sending party (Client) before ALSHUMOOKH GROUP can accept, validate, and process the tokenized SWIFT transfer. All items listed in this guide are non-negotiable and must be submitted simultaneously via the designated secure endpoint.</w:t>
      </w:r>
    </w:p>
    <w:p>
      <w:pPr>
        <w:spacing w:after="160" w:before="0"/>
      </w:pPr>
      <w:r>
        <w:rPr>
          <w:rFonts w:ascii="Arial" w:hAnsi="Arial"/>
          <w:b w:val="0"/>
          <w:i w:val="0"/>
          <w:sz w:val="21"/>
        </w:rPr>
        <w:t>ALSHUMOOKH GROUP operates as a Private Blockchain Settlement Server. All transfers received are processed internally through our proprietary conversion and liquidity pipeline. We are not connected to, nor responsible for, any actions or procedures on the Global/Public SWIFT network.</w:t>
      </w:r>
    </w:p>
    <w:p>
      <w:pPr>
        <w:spacing w:before="280" w:after="80"/>
        <w:pBdr>
          <w:bottom w:val="single" w:sz="12" w:space="1" w:color="1B3A6B"/>
        </w:pBdr>
      </w:pPr>
      <w:r>
        <w:rPr>
          <w:rFonts w:ascii="Arial" w:hAnsi="Arial"/>
          <w:b/>
          <w:color w:val="1B3A6B"/>
          <w:sz w:val="26"/>
        </w:rPr>
        <w:t>02 |  Mandatory Submission Checklist</w:t>
      </w:r>
    </w:p>
    <w:p>
      <w:pPr>
        <w:spacing w:after="100" w:before="0"/>
      </w:pPr>
      <w:r>
        <w:rPr>
          <w:rFonts w:ascii="Arial" w:hAnsi="Arial"/>
          <w:b w:val="0"/>
          <w:i w:val="0"/>
          <w:sz w:val="21"/>
        </w:rPr>
        <w:t>The following items are REQUIRED without exception. Incomplete submissions will be rejected and returned for correction.</w:t>
      </w:r>
    </w:p>
    <w:p>
      <w:pPr>
        <w:spacing w:before="120" w:after="40"/>
        <w:ind w:left="288"/>
      </w:pPr>
      <w:r>
        <w:rPr>
          <w:rFonts w:ascii="Arial" w:hAnsi="Arial"/>
          <w:b/>
          <w:color w:val="1B3A6B"/>
          <w:sz w:val="21"/>
        </w:rPr>
        <w:t>[  ]   ITEM 01 — Transfer File (JSON)</w:t>
      </w:r>
    </w:p>
    <w:p>
      <w:pPr>
        <w:spacing w:after="80"/>
        <w:ind w:left="936"/>
      </w:pPr>
      <w:r>
        <w:rPr>
          <w:rFonts w:ascii="Arial" w:hAnsi="Arial"/>
          <w:color w:val="444444"/>
          <w:sz w:val="19"/>
        </w:rPr>
        <w:t>The final, correctly formatted CROSS_REFERENCE_TABLE JSON file as provided and modified by ALSHUMOOKH GROUP, with all receiver fields populated (wallet address, USDT/USDC contract addresses, IBAN, BIC).</w:t>
      </w:r>
    </w:p>
    <w:p>
      <w:pPr>
        <w:spacing w:before="120" w:after="40"/>
        <w:ind w:left="288"/>
      </w:pPr>
      <w:r>
        <w:rPr>
          <w:rFonts w:ascii="Arial" w:hAnsi="Arial"/>
          <w:b/>
          <w:color w:val="1B3A6B"/>
          <w:sz w:val="21"/>
        </w:rPr>
        <w:t>[  ]   ITEM 02 — Tokenization Transaction Hash</w:t>
      </w:r>
    </w:p>
    <w:p>
      <w:pPr>
        <w:spacing w:after="80"/>
        <w:ind w:left="936"/>
      </w:pPr>
      <w:r>
        <w:rPr>
          <w:rFonts w:ascii="Arial" w:hAnsi="Arial"/>
          <w:color w:val="444444"/>
          <w:sz w:val="19"/>
        </w:rPr>
        <w:t>The on-chain transaction hash (TX Hash) confirming the EUR/USD transfer has been tokenized on the Ethereum network. Format: 0x followed by 64 hexadecimal characters. Example: 0xabc123...def456</w:t>
      </w:r>
    </w:p>
    <w:p>
      <w:pPr>
        <w:spacing w:before="120" w:after="40"/>
        <w:ind w:left="288"/>
      </w:pPr>
      <w:r>
        <w:rPr>
          <w:rFonts w:ascii="Arial" w:hAnsi="Arial"/>
          <w:b/>
          <w:color w:val="1B3A6B"/>
          <w:sz w:val="21"/>
        </w:rPr>
        <w:t>[  ]   ITEM 03 — Gas Fee Transaction Hash</w:t>
      </w:r>
    </w:p>
    <w:p>
      <w:pPr>
        <w:spacing w:after="80"/>
        <w:ind w:left="936"/>
      </w:pPr>
      <w:r>
        <w:rPr>
          <w:rFonts w:ascii="Arial" w:hAnsi="Arial"/>
          <w:color w:val="444444"/>
          <w:sz w:val="19"/>
        </w:rPr>
        <w:t>The on-chain transaction hash proving that gas fees for the tokenization process have been fully paid on the Ethereum Mainnet. This must be a separate, confirmed transaction hash distinct from the tokenization hash.</w:t>
      </w:r>
    </w:p>
    <w:p>
      <w:pPr>
        <w:spacing w:before="120" w:after="40"/>
        <w:ind w:left="288"/>
      </w:pPr>
      <w:r>
        <w:rPr>
          <w:rFonts w:ascii="Arial" w:hAnsi="Arial"/>
          <w:b/>
          <w:color w:val="1B3A6B"/>
          <w:sz w:val="21"/>
        </w:rPr>
        <w:t>[  ]   ITEM 04 — Gas Fee Payment Receipt (Screenshot — Bank Global Server)</w:t>
      </w:r>
    </w:p>
    <w:p>
      <w:pPr>
        <w:spacing w:after="80"/>
        <w:ind w:left="936"/>
      </w:pPr>
      <w:r>
        <w:rPr>
          <w:rFonts w:ascii="Arial" w:hAnsi="Arial"/>
          <w:color w:val="444444"/>
          <w:sz w:val="19"/>
        </w:rPr>
        <w:t>A clear screenshot taken directly from the Client's Bank Global Server portal confirming that the gas fee payment has been processed and approved. The screenshot must display: TX Reference, Payment Status (Confirmed/Approved), Timestamp, Amount Paid, and the authorizing officer's credentials visible on screen. Screenshots from Etherscan or any public block explorer are NOT accepted for this item — only the official Bank Global Server confirmation screen is valid.</w:t>
      </w:r>
    </w:p>
    <w:p>
      <w:pPr>
        <w:spacing w:before="120" w:after="40"/>
        <w:ind w:left="288"/>
      </w:pPr>
      <w:r>
        <w:rPr>
          <w:rFonts w:ascii="Arial" w:hAnsi="Arial"/>
          <w:b/>
          <w:color w:val="1B3A6B"/>
          <w:sz w:val="21"/>
        </w:rPr>
        <w:t>[  ]   ITEM 05-B — Upload Process Video Recording</w:t>
      </w:r>
    </w:p>
    <w:p>
      <w:pPr>
        <w:spacing w:after="80"/>
        <w:ind w:left="936"/>
      </w:pPr>
      <w:r>
        <w:rPr>
          <w:rFonts w:ascii="Arial" w:hAnsi="Arial"/>
          <w:color w:val="444444"/>
          <w:sz w:val="19"/>
        </w:rPr>
        <w:t>A screen-recorded video of the Client uploading/submitting the transfer file from within the Bank Global Server. The video must capture the complete upload sequence from login through to the final submission confirmation screen. Accepted formats: MP4, MOV, AVI. Minimum resolution: 720p. The video timestamp must be visible throughout the recording.</w:t>
      </w:r>
    </w:p>
    <w:p>
      <w:pPr>
        <w:spacing w:before="120" w:after="40"/>
        <w:ind w:left="288"/>
      </w:pPr>
      <w:r>
        <w:rPr>
          <w:rFonts w:ascii="Arial" w:hAnsi="Arial"/>
          <w:b/>
          <w:color w:val="1B3A6B"/>
          <w:sz w:val="21"/>
        </w:rPr>
        <w:t>[  ]   ITEM 05 — Smart Contract Address</w:t>
      </w:r>
    </w:p>
    <w:p>
      <w:pPr>
        <w:spacing w:after="80"/>
        <w:ind w:left="936"/>
      </w:pPr>
      <w:r>
        <w:rPr>
          <w:rFonts w:ascii="Arial" w:hAnsi="Arial"/>
          <w:color w:val="444444"/>
          <w:sz w:val="19"/>
        </w:rPr>
        <w:t>The deployed smart contract address used to execute the tokenization. Must be a verified contract on Ethereum Mainnet (verifiable on etherscan.io/address/[CONTRACT]).</w:t>
      </w:r>
    </w:p>
    <w:p>
      <w:pPr>
        <w:spacing w:before="120" w:after="40"/>
        <w:ind w:left="288"/>
      </w:pPr>
      <w:r>
        <w:rPr>
          <w:rFonts w:ascii="Arial" w:hAnsi="Arial"/>
          <w:b/>
          <w:color w:val="1B3A6B"/>
          <w:sz w:val="21"/>
        </w:rPr>
        <w:t>[  ]   ITEM 06 — Block Number &amp; Network Chain ID</w:t>
      </w:r>
    </w:p>
    <w:p>
      <w:pPr>
        <w:spacing w:after="80"/>
        <w:ind w:left="936"/>
      </w:pPr>
      <w:r>
        <w:rPr>
          <w:rFonts w:ascii="Arial" w:hAnsi="Arial"/>
          <w:color w:val="444444"/>
          <w:sz w:val="19"/>
        </w:rPr>
        <w:t>The Ethereum block number in which the tokenization transaction was confirmed. Chain ID must be 1 (Ethereum Mainnet). Testnet submissions (Chain ID 5, 11155111, etc.) are NOT accepted.</w:t>
      </w:r>
    </w:p>
    <w:p>
      <w:pPr>
        <w:spacing w:before="120" w:after="40"/>
        <w:ind w:left="288"/>
      </w:pPr>
      <w:r>
        <w:rPr>
          <w:rFonts w:ascii="Arial" w:hAnsi="Arial"/>
          <w:b/>
          <w:color w:val="1B3A6B"/>
          <w:sz w:val="21"/>
        </w:rPr>
        <w:t>[  ]   ITEM 07 — SWIFT MT103 Reference</w:t>
      </w:r>
    </w:p>
    <w:p>
      <w:pPr>
        <w:spacing w:after="80"/>
        <w:ind w:left="936"/>
      </w:pPr>
      <w:r>
        <w:rPr>
          <w:rFonts w:ascii="Arial" w:hAnsi="Arial"/>
          <w:color w:val="444444"/>
          <w:sz w:val="19"/>
        </w:rPr>
        <w:t>The original SWIFT MT103 transaction reference number corresponding to the fiat leg of the transfer. This is used for cross-referencing and reconciliation purposes only.</w:t>
      </w:r>
    </w:p>
    <w:p>
      <w:pPr>
        <w:spacing w:before="120" w:after="40"/>
        <w:ind w:left="288"/>
      </w:pPr>
      <w:r>
        <w:rPr>
          <w:rFonts w:ascii="Arial" w:hAnsi="Arial"/>
          <w:b/>
          <w:color w:val="1B3A6B"/>
          <w:sz w:val="21"/>
        </w:rPr>
        <w:t>[  ]   ITEM 08 — Sender Master Wallet Address (ERC-20)</w:t>
      </w:r>
    </w:p>
    <w:p>
      <w:pPr>
        <w:spacing w:after="80"/>
        <w:ind w:left="936"/>
      </w:pPr>
      <w:r>
        <w:rPr>
          <w:rFonts w:ascii="Arial" w:hAnsi="Arial"/>
          <w:color w:val="444444"/>
          <w:sz w:val="19"/>
        </w:rPr>
        <w:t>The sender's own ERC-20 master wallet address from which the tokenization transaction was initiated. This address will be cross-checked on-chain to confirm the origin of the transfer. Format: 0x followed by 40 hexadecimal characters. This address must match the 'From' field on the tokenization transaction visible on Etherscan.</w:t>
      </w:r>
    </w:p>
    <w:p/>
    <w:p>
      <w:pPr>
        <w:spacing w:before="280" w:after="80"/>
        <w:pBdr>
          <w:bottom w:val="single" w:sz="12" w:space="1" w:color="1B3A6B"/>
        </w:pBdr>
      </w:pPr>
      <w:r>
        <w:rPr>
          <w:rFonts w:ascii="Arial" w:hAnsi="Arial"/>
          <w:b/>
          <w:color w:val="1B3A6B"/>
          <w:sz w:val="26"/>
        </w:rPr>
        <w:t>03 |  ALSHUMOOKH GROUP — Receiving Details</w:t>
      </w:r>
    </w:p>
    <w:p>
      <w:pPr>
        <w:spacing w:after="100" w:before="0"/>
      </w:pPr>
      <w:r>
        <w:rPr>
          <w:rFonts w:ascii="Arial" w:hAnsi="Arial"/>
          <w:b w:val="0"/>
          <w:i w:val="0"/>
          <w:sz w:val="21"/>
        </w:rPr>
        <w:t>Submit all tokenized assets and documents to the following verified addresses:</w:t>
      </w:r>
    </w:p>
    <w:tbl>
      <w:tblPr>
        <w:tblW w:type="auto" w:w="0"/>
        <w:jc w:val="left"/>
        <w:tblLook w:firstColumn="1" w:firstRow="1" w:lastColumn="0" w:lastRow="0" w:noHBand="0" w:noVBand="1" w:val="04A0"/>
      </w:tblPr>
      <w:tblGrid>
        <w:gridCol w:w="4464"/>
        <w:gridCol w:w="4464"/>
      </w:tblGrid>
      <w:tr>
        <w:tc>
          <w:tcPr>
            <w:tcW w:type="dxa" w:w="3024"/>
            <w:shd w:val="clear" w:color="auto" w:fill="D5E3F7"/>
          </w:tcPr>
          <w:p>
            <w:pPr>
              <w:spacing w:after="40" w:before="40"/>
            </w:pPr>
            <w:r>
              <w:rPr>
                <w:rFonts w:ascii="Arial" w:hAnsi="Arial"/>
                <w:b/>
                <w:color w:val="1B3A6B"/>
                <w:sz w:val="19"/>
              </w:rPr>
              <w:t>Entity Name</w:t>
            </w:r>
          </w:p>
        </w:tc>
        <w:tc>
          <w:tcPr>
            <w:tcW w:type="dxa" w:w="6048"/>
            <w:shd w:val="clear" w:color="auto" w:fill="EAF0FB"/>
          </w:tcPr>
          <w:p>
            <w:pPr>
              <w:spacing w:after="40" w:before="40"/>
            </w:pPr>
            <w:r>
              <w:rPr>
                <w:rFonts w:ascii="Arial" w:hAnsi="Arial"/>
                <w:sz w:val="19"/>
              </w:rPr>
              <w:t>ALSHUMOOKH GROUP</w:t>
            </w:r>
          </w:p>
        </w:tc>
      </w:tr>
      <w:tr>
        <w:tc>
          <w:tcPr>
            <w:tcW w:type="dxa" w:w="3024"/>
            <w:shd w:val="clear" w:color="auto" w:fill="D5E3F7"/>
          </w:tcPr>
          <w:p>
            <w:pPr>
              <w:spacing w:after="40" w:before="40"/>
            </w:pPr>
            <w:r>
              <w:rPr>
                <w:rFonts w:ascii="Arial" w:hAnsi="Arial"/>
                <w:b/>
                <w:color w:val="1B3A6B"/>
                <w:sz w:val="19"/>
              </w:rPr>
              <w:t>Division</w:t>
            </w:r>
          </w:p>
        </w:tc>
        <w:tc>
          <w:tcPr>
            <w:tcW w:type="dxa" w:w="6048"/>
            <w:shd w:val="clear" w:color="auto" w:fill="F5F8FF"/>
          </w:tcPr>
          <w:p>
            <w:pPr>
              <w:spacing w:after="40" w:before="40"/>
            </w:pPr>
            <w:r>
              <w:rPr>
                <w:rFonts w:ascii="Arial" w:hAnsi="Arial"/>
                <w:sz w:val="19"/>
              </w:rPr>
              <w:t>Private Blockchain &amp; Settlement Division</w:t>
            </w:r>
          </w:p>
        </w:tc>
      </w:tr>
      <w:tr>
        <w:tc>
          <w:tcPr>
            <w:tcW w:type="dxa" w:w="3024"/>
            <w:shd w:val="clear" w:color="auto" w:fill="D5E3F7"/>
          </w:tcPr>
          <w:p>
            <w:pPr>
              <w:spacing w:after="40" w:before="40"/>
            </w:pPr>
            <w:r>
              <w:rPr>
                <w:rFonts w:ascii="Arial" w:hAnsi="Arial"/>
                <w:b/>
                <w:color w:val="1B3A6B"/>
                <w:sz w:val="19"/>
              </w:rPr>
              <w:t>Treasury Wallet (ERC-20)</w:t>
            </w:r>
          </w:p>
        </w:tc>
        <w:tc>
          <w:tcPr>
            <w:tcW w:type="dxa" w:w="6048"/>
            <w:shd w:val="clear" w:color="auto" w:fill="EAF0FB"/>
          </w:tcPr>
          <w:p>
            <w:pPr>
              <w:spacing w:after="40" w:before="40"/>
            </w:pPr>
            <w:r>
              <w:rPr>
                <w:rFonts w:ascii="Arial" w:hAnsi="Arial"/>
                <w:sz w:val="19"/>
              </w:rPr>
              <w:t>0xBD682cfD8382a90adfDd6745780D3D7959c4d939</w:t>
            </w:r>
          </w:p>
        </w:tc>
      </w:tr>
      <w:tr>
        <w:tc>
          <w:tcPr>
            <w:tcW w:type="dxa" w:w="3024"/>
            <w:shd w:val="clear" w:color="auto" w:fill="D5E3F7"/>
          </w:tcPr>
          <w:p>
            <w:pPr>
              <w:spacing w:after="40" w:before="40"/>
            </w:pPr>
            <w:r>
              <w:rPr>
                <w:rFonts w:ascii="Arial" w:hAnsi="Arial"/>
                <w:b/>
                <w:color w:val="1B3A6B"/>
                <w:sz w:val="19"/>
              </w:rPr>
              <w:t>Accepted Tokens</w:t>
            </w:r>
          </w:p>
        </w:tc>
        <w:tc>
          <w:tcPr>
            <w:tcW w:type="dxa" w:w="6048"/>
            <w:shd w:val="clear" w:color="auto" w:fill="F5F8FF"/>
          </w:tcPr>
          <w:p>
            <w:pPr>
              <w:spacing w:after="40" w:before="40"/>
            </w:pPr>
            <w:r>
              <w:rPr>
                <w:rFonts w:ascii="Arial" w:hAnsi="Arial"/>
                <w:sz w:val="19"/>
              </w:rPr>
              <w:t>USDT (ERC-20)  |  USDC (ERC-20)</w:t>
            </w:r>
          </w:p>
        </w:tc>
      </w:tr>
      <w:tr>
        <w:tc>
          <w:tcPr>
            <w:tcW w:type="dxa" w:w="3024"/>
            <w:shd w:val="clear" w:color="auto" w:fill="D5E3F7"/>
          </w:tcPr>
          <w:p>
            <w:pPr>
              <w:spacing w:after="40" w:before="40"/>
            </w:pPr>
            <w:r>
              <w:rPr>
                <w:rFonts w:ascii="Arial" w:hAnsi="Arial"/>
                <w:b/>
                <w:color w:val="1B3A6B"/>
                <w:sz w:val="19"/>
              </w:rPr>
              <w:t>USDT Contract Address</w:t>
            </w:r>
          </w:p>
        </w:tc>
        <w:tc>
          <w:tcPr>
            <w:tcW w:type="dxa" w:w="6048"/>
            <w:shd w:val="clear" w:color="auto" w:fill="EAF0FB"/>
          </w:tcPr>
          <w:p>
            <w:pPr>
              <w:spacing w:after="40" w:before="40"/>
            </w:pPr>
            <w:r>
              <w:rPr>
                <w:rFonts w:ascii="Arial" w:hAnsi="Arial"/>
                <w:sz w:val="19"/>
              </w:rPr>
              <w:t>0xdAC17F958D2ee523a2206206994597C13D831ec7</w:t>
            </w:r>
          </w:p>
        </w:tc>
      </w:tr>
      <w:tr>
        <w:tc>
          <w:tcPr>
            <w:tcW w:type="dxa" w:w="3024"/>
            <w:shd w:val="clear" w:color="auto" w:fill="D5E3F7"/>
          </w:tcPr>
          <w:p>
            <w:pPr>
              <w:spacing w:after="40" w:before="40"/>
            </w:pPr>
            <w:r>
              <w:rPr>
                <w:rFonts w:ascii="Arial" w:hAnsi="Arial"/>
                <w:b/>
                <w:color w:val="1B3A6B"/>
                <w:sz w:val="19"/>
              </w:rPr>
              <w:t>USDC Contract Address</w:t>
            </w:r>
          </w:p>
        </w:tc>
        <w:tc>
          <w:tcPr>
            <w:tcW w:type="dxa" w:w="6048"/>
            <w:shd w:val="clear" w:color="auto" w:fill="F5F8FF"/>
          </w:tcPr>
          <w:p>
            <w:pPr>
              <w:spacing w:after="40" w:before="40"/>
            </w:pPr>
            <w:r>
              <w:rPr>
                <w:rFonts w:ascii="Arial" w:hAnsi="Arial"/>
                <w:sz w:val="19"/>
              </w:rPr>
              <w:t>0xA0b86991c6218b36c1d19D4a2e9Eb0cE3606eB48</w:t>
            </w:r>
          </w:p>
        </w:tc>
      </w:tr>
      <w:tr>
        <w:tc>
          <w:tcPr>
            <w:tcW w:type="dxa" w:w="3024"/>
            <w:shd w:val="clear" w:color="auto" w:fill="D5E3F7"/>
          </w:tcPr>
          <w:p>
            <w:pPr>
              <w:spacing w:after="40" w:before="40"/>
            </w:pPr>
            <w:r>
              <w:rPr>
                <w:rFonts w:ascii="Arial" w:hAnsi="Arial"/>
                <w:b/>
                <w:color w:val="1B3A6B"/>
                <w:sz w:val="19"/>
              </w:rPr>
              <w:t>Network</w:t>
            </w:r>
          </w:p>
        </w:tc>
        <w:tc>
          <w:tcPr>
            <w:tcW w:type="dxa" w:w="6048"/>
            <w:shd w:val="clear" w:color="auto" w:fill="EAF0FB"/>
          </w:tcPr>
          <w:p>
            <w:pPr>
              <w:spacing w:after="40" w:before="40"/>
            </w:pPr>
            <w:r>
              <w:rPr>
                <w:rFonts w:ascii="Arial" w:hAnsi="Arial"/>
                <w:sz w:val="19"/>
              </w:rPr>
              <w:t>Ethereum Mainnet  (Chain ID: 1)</w:t>
            </w:r>
          </w:p>
        </w:tc>
      </w:tr>
      <w:tr>
        <w:tc>
          <w:tcPr>
            <w:tcW w:type="dxa" w:w="3024"/>
            <w:shd w:val="clear" w:color="auto" w:fill="D5E3F7"/>
          </w:tcPr>
          <w:p>
            <w:pPr>
              <w:spacing w:after="40" w:before="40"/>
            </w:pPr>
            <w:r>
              <w:rPr>
                <w:rFonts w:ascii="Arial" w:hAnsi="Arial"/>
                <w:b/>
                <w:color w:val="1B3A6B"/>
                <w:sz w:val="19"/>
              </w:rPr>
              <w:t>File Upload Endpoint</w:t>
            </w:r>
          </w:p>
        </w:tc>
        <w:tc>
          <w:tcPr>
            <w:tcW w:type="dxa" w:w="6048"/>
            <w:shd w:val="clear" w:color="auto" w:fill="F5F8FF"/>
          </w:tcPr>
          <w:p>
            <w:pPr>
              <w:spacing w:after="40" w:before="40"/>
            </w:pPr>
            <w:r>
              <w:rPr>
                <w:rFonts w:ascii="Arial" w:hAnsi="Arial"/>
                <w:sz w:val="19"/>
              </w:rPr>
              <w:t>/api/private/transfer/upload  [POST — JSON]</w:t>
            </w:r>
          </w:p>
        </w:tc>
      </w:tr>
      <w:tr>
        <w:tc>
          <w:tcPr>
            <w:tcW w:type="dxa" w:w="3024"/>
            <w:shd w:val="clear" w:color="auto" w:fill="D5E3F7"/>
          </w:tcPr>
          <w:p>
            <w:pPr>
              <w:spacing w:after="40" w:before="40"/>
            </w:pPr>
            <w:r>
              <w:rPr>
                <w:rFonts w:ascii="Arial" w:hAnsi="Arial"/>
                <w:b/>
                <w:color w:val="1B3A6B"/>
                <w:sz w:val="19"/>
              </w:rPr>
              <w:t>Operation Reference</w:t>
            </w:r>
          </w:p>
        </w:tc>
        <w:tc>
          <w:tcPr>
            <w:tcW w:type="dxa" w:w="6048"/>
            <w:shd w:val="clear" w:color="auto" w:fill="EAF0FB"/>
          </w:tcPr>
          <w:p>
            <w:pPr>
              <w:spacing w:after="40" w:before="40"/>
            </w:pPr>
            <w:r>
              <w:rPr>
                <w:rFonts w:ascii="Arial" w:hAnsi="Arial"/>
                <w:sz w:val="19"/>
              </w:rPr>
              <w:t>IPIP-45M-PROSPERITY-SPRUTH-2025</w:t>
            </w:r>
          </w:p>
        </w:tc>
      </w:tr>
    </w:tbl>
    <w:p/>
    <w:tbl>
      <w:tblPr>
        <w:tblW w:type="auto" w:w="0"/>
        <w:jc w:val="left"/>
        <w:tblLook w:firstColumn="1" w:firstRow="1" w:lastColumn="0" w:lastRow="0" w:noHBand="0" w:noVBand="1" w:val="04A0"/>
      </w:tblPr>
      <w:tblGrid>
        <w:gridCol w:w="8928"/>
      </w:tblGrid>
      <w:tr>
        <w:tc>
          <w:tcPr>
            <w:tcW w:type="dxa" w:w="8928"/>
            <w:shd w:val="clear" w:color="auto" w:fill="FFF0F0"/>
          </w:tcPr>
          <w:p>
            <w:pPr>
              <w:spacing w:after="80" w:before="80"/>
            </w:pPr>
            <w:r>
              <w:rPr>
                <w:rFonts w:ascii="Arial" w:hAnsi="Arial"/>
                <w:b/>
                <w:color w:val="CC0000"/>
                <w:sz w:val="20"/>
              </w:rPr>
              <w:t xml:space="preserve">⚠  CRITICAL:  </w:t>
            </w:r>
            <w:r>
              <w:rPr>
                <w:rFonts w:ascii="Arial" w:hAnsi="Arial"/>
                <w:sz w:val="20"/>
              </w:rPr>
              <w:t>Only send to the wallet address listed above. Transfers sent to any other address cannot be recovered. Always verify the wallet address on your side before initiating the transfer.</w:t>
            </w:r>
          </w:p>
        </w:tc>
      </w:tr>
    </w:tbl>
    <w:p/>
    <w:p>
      <w:pPr>
        <w:spacing w:before="280" w:after="80"/>
        <w:pBdr>
          <w:bottom w:val="single" w:sz="12" w:space="1" w:color="1B3A6B"/>
        </w:pBdr>
      </w:pPr>
      <w:r>
        <w:rPr>
          <w:rFonts w:ascii="Arial" w:hAnsi="Arial"/>
          <w:b/>
          <w:color w:val="1B3A6B"/>
          <w:sz w:val="26"/>
        </w:rPr>
        <w:t>04 |  JSON Transfer File — Technical Requirements</w:t>
      </w:r>
    </w:p>
    <w:p>
      <w:pPr>
        <w:spacing w:after="100" w:before="0"/>
      </w:pPr>
      <w:r>
        <w:rPr>
          <w:rFonts w:ascii="Arial" w:hAnsi="Arial"/>
          <w:b w:val="0"/>
          <w:i w:val="0"/>
          <w:sz w:val="21"/>
        </w:rPr>
        <w:t>The JSON file submitted must conform to the following technical specifications:</w:t>
      </w:r>
    </w:p>
    <w:p>
      <w:pPr>
        <w:spacing w:after="60" w:before="20"/>
        <w:ind w:left="432"/>
      </w:pPr>
      <w:r>
        <w:rPr>
          <w:rFonts w:ascii="Arial" w:hAnsi="Arial"/>
          <w:sz w:val="21"/>
        </w:rPr>
        <w:t>•  File format: Valid JSON (UTF-8 encoded, no BOM)</w:t>
      </w:r>
    </w:p>
    <w:p>
      <w:pPr>
        <w:spacing w:after="60" w:before="20"/>
        <w:ind w:left="432"/>
      </w:pPr>
      <w:r>
        <w:rPr>
          <w:rFonts w:ascii="Arial" w:hAnsi="Arial"/>
          <w:sz w:val="21"/>
        </w:rPr>
        <w:t>•  Schema version: ALSHUMOOKH Private Server Schema v2.0</w:t>
      </w:r>
    </w:p>
    <w:p>
      <w:pPr>
        <w:spacing w:after="60" w:before="20"/>
        <w:ind w:left="432"/>
      </w:pPr>
      <w:r>
        <w:rPr>
          <w:rFonts w:ascii="Arial" w:hAnsi="Arial"/>
          <w:sz w:val="21"/>
        </w:rPr>
        <w:t>•  All receiver fields must be fully populated — no 'TO_BE_ASSIGNED' or placeholder values</w:t>
      </w:r>
    </w:p>
    <w:p>
      <w:pPr>
        <w:spacing w:after="60" w:before="20"/>
        <w:ind w:left="432"/>
      </w:pPr>
      <w:r>
        <w:rPr>
          <w:rFonts w:ascii="Arial" w:hAnsi="Arial"/>
          <w:sz w:val="21"/>
        </w:rPr>
        <w:t>•  Field blockchain_verification must contain all 6 values: tokenization_tx_hash, gas_fee_tx_hash, smart_contract_address, block_number, network_chain_id, swift_mt103_reference</w:t>
      </w:r>
    </w:p>
    <w:p>
      <w:pPr>
        <w:spacing w:after="60" w:before="20"/>
        <w:ind w:left="432"/>
      </w:pPr>
      <w:r>
        <w:rPr>
          <w:rFonts w:ascii="Arial" w:hAnsi="Arial"/>
          <w:sz w:val="21"/>
        </w:rPr>
        <w:t>•  receiver.wallet_address must match: 0xBD682cfD8382a90adfDd6745780D3D7959c4d939</w:t>
      </w:r>
    </w:p>
    <w:p>
      <w:pPr>
        <w:spacing w:after="60" w:before="20"/>
        <w:ind w:left="432"/>
      </w:pPr>
      <w:r>
        <w:rPr>
          <w:rFonts w:ascii="Arial" w:hAnsi="Arial"/>
          <w:sz w:val="21"/>
        </w:rPr>
        <w:t>•  receiver.usdt_contract must match: 0xdAC17F958D2ee523a2206206994597C13D831ec7</w:t>
      </w:r>
    </w:p>
    <w:p>
      <w:pPr>
        <w:spacing w:after="60" w:before="20"/>
        <w:ind w:left="432"/>
      </w:pPr>
      <w:r>
        <w:rPr>
          <w:rFonts w:ascii="Arial" w:hAnsi="Arial"/>
          <w:sz w:val="21"/>
        </w:rPr>
        <w:t>•  receiver.usdc_contract must match: 0xA0b86991c6218b36c1d19D4a2e9Eb0cE3606eB48</w:t>
      </w:r>
    </w:p>
    <w:p>
      <w:pPr>
        <w:spacing w:after="60" w:before="20"/>
        <w:ind w:left="432"/>
      </w:pPr>
      <w:r>
        <w:rPr>
          <w:rFonts w:ascii="Arial" w:hAnsi="Arial"/>
          <w:sz w:val="21"/>
        </w:rPr>
        <w:t>•  File must be signed with the sender's officer authorization codes as previously agreed</w:t>
      </w:r>
    </w:p>
    <w:p>
      <w:pPr>
        <w:spacing w:after="60" w:before="20"/>
        <w:ind w:left="432"/>
      </w:pPr>
      <w:r>
        <w:rPr>
          <w:rFonts w:ascii="Arial" w:hAnsi="Arial"/>
          <w:sz w:val="21"/>
        </w:rPr>
        <w:t>•  Maximum file size: 5 MB</w:t>
      </w:r>
    </w:p>
    <w:p>
      <w:pPr>
        <w:spacing w:after="60" w:before="20"/>
        <w:ind w:left="432"/>
      </w:pPr>
      <w:r>
        <w:rPr>
          <w:rFonts w:ascii="Arial" w:hAnsi="Arial"/>
          <w:sz w:val="21"/>
        </w:rPr>
        <w:t>•  Filename convention: ALSH_CROSS_REFERENCE_[DATE]_[TRANCHE].json</w:t>
      </w:r>
    </w:p>
    <w:p>
      <w:pPr>
        <w:spacing w:after="60" w:before="20"/>
        <w:ind w:left="432"/>
      </w:pPr>
      <w:r>
        <w:rPr>
          <w:rFonts w:ascii="Arial" w:hAnsi="Arial"/>
          <w:sz w:val="21"/>
        </w:rPr>
        <w:t>•  sender.master_wallet_address must be included — the ERC-20 wallet from which tokenization was initiated</w:t>
      </w:r>
    </w:p>
    <w:p/>
    <w:p>
      <w:pPr>
        <w:spacing w:before="280" w:after="80"/>
        <w:pBdr>
          <w:bottom w:val="single" w:sz="12" w:space="1" w:color="1B3A6B"/>
        </w:pBdr>
      </w:pPr>
      <w:r>
        <w:rPr>
          <w:rFonts w:ascii="Arial" w:hAnsi="Arial"/>
          <w:b/>
          <w:color w:val="1B3A6B"/>
          <w:sz w:val="26"/>
        </w:rPr>
        <w:t>05 |  Step-by-Step Submission Process</w:t>
      </w:r>
    </w:p>
    <w:p>
      <w:pPr>
        <w:spacing w:after="120" w:before="0"/>
      </w:pPr>
      <w:r>
        <w:rPr>
          <w:rFonts w:ascii="Arial" w:hAnsi="Arial"/>
          <w:b w:val="0"/>
          <w:i w:val="0"/>
          <w:sz w:val="21"/>
        </w:rPr>
        <w:t>Follow these steps in exact order. Do not skip or reorder any step.</w:t>
      </w:r>
    </w:p>
    <w:p>
      <w:pPr>
        <w:spacing w:before="100" w:after="60"/>
        <w:ind w:left="360"/>
      </w:pPr>
      <w:r>
        <w:rPr>
          <w:rFonts w:ascii="Arial" w:hAnsi="Arial"/>
          <w:b/>
          <w:color w:val="1B3A6B"/>
          <w:sz w:val="21"/>
        </w:rPr>
        <w:t xml:space="preserve">  1.  Complete Tokenization</w:t>
      </w:r>
      <w:r>
        <w:rPr>
          <w:rFonts w:ascii="Arial" w:hAnsi="Arial"/>
          <w:color w:val="444444"/>
          <w:sz w:val="20"/>
        </w:rPr>
        <w:br/>
        <w:t xml:space="preserve">      Ensure the fiat SWIFT transfer (EUR 45,000,000.00) has been fully tokenized on the Ethereum Mainnet via your authorized smart contract. Wait for a minimum of 12 block confirmations before proceeding.</w:t>
      </w:r>
    </w:p>
    <w:p>
      <w:pPr>
        <w:spacing w:before="100" w:after="60"/>
        <w:ind w:left="360"/>
      </w:pPr>
      <w:r>
        <w:rPr>
          <w:rFonts w:ascii="Arial" w:hAnsi="Arial"/>
          <w:b/>
          <w:color w:val="1B3A6B"/>
          <w:sz w:val="21"/>
        </w:rPr>
        <w:t xml:space="preserve">  2.  Pay &amp; Confirm Gas Fees</w:t>
      </w:r>
      <w:r>
        <w:rPr>
          <w:rFonts w:ascii="Arial" w:hAnsi="Arial"/>
          <w:color w:val="444444"/>
          <w:sz w:val="20"/>
        </w:rPr>
        <w:br/>
        <w:t xml:space="preserve">      Pay the required gas fees for the tokenization transaction. Log in to your Bank Global Server portal and confirm the gas fee payment shows a Confirmed/Approved status. Take a clear screenshot of this confirmation screen directly from the Bank Global Server — NOT from any public block explorer. Additionally, record a video of the upload/submission process within the Bank Global Server from start to final confirmation.</w:t>
      </w:r>
    </w:p>
    <w:p>
      <w:pPr>
        <w:spacing w:before="100" w:after="60"/>
        <w:ind w:left="360"/>
      </w:pPr>
      <w:r>
        <w:rPr>
          <w:rFonts w:ascii="Arial" w:hAnsi="Arial"/>
          <w:b/>
          <w:color w:val="1B3A6B"/>
          <w:sz w:val="21"/>
        </w:rPr>
        <w:t xml:space="preserve">  3.  Record All Hashes</w:t>
      </w:r>
      <w:r>
        <w:rPr>
          <w:rFonts w:ascii="Arial" w:hAnsi="Arial"/>
          <w:color w:val="444444"/>
          <w:sz w:val="20"/>
        </w:rPr>
        <w:br/>
        <w:t xml:space="preserve">      Copy and securely record: (a) Tokenization TX Hash, (b) Gas Fee TX Hash, (c) Smart Contract Address, (d) Block Number. These are mandatory for the JSON file.</w:t>
      </w:r>
    </w:p>
    <w:p>
      <w:pPr>
        <w:spacing w:before="100" w:after="60"/>
        <w:ind w:left="360"/>
      </w:pPr>
      <w:r>
        <w:rPr>
          <w:rFonts w:ascii="Arial" w:hAnsi="Arial"/>
          <w:b/>
          <w:color w:val="1B3A6B"/>
          <w:sz w:val="21"/>
        </w:rPr>
        <w:t xml:space="preserve">  4.  Complete the JSON File</w:t>
      </w:r>
      <w:r>
        <w:rPr>
          <w:rFonts w:ascii="Arial" w:hAnsi="Arial"/>
          <w:color w:val="444444"/>
          <w:sz w:val="20"/>
        </w:rPr>
        <w:br/>
        <w:t xml:space="preserve">      Open the ALSH_CROSS_REFERENCE_TABLE_v2.json file provided by ALSHUMOOKH GROUP. Fill in the blockchain_verification section with all recorded values. Do not modify any other fields.</w:t>
      </w:r>
    </w:p>
    <w:p>
      <w:pPr>
        <w:spacing w:before="100" w:after="60"/>
        <w:ind w:left="360"/>
      </w:pPr>
      <w:r>
        <w:rPr>
          <w:rFonts w:ascii="Arial" w:hAnsi="Arial"/>
          <w:b/>
          <w:color w:val="1B3A6B"/>
          <w:sz w:val="21"/>
        </w:rPr>
        <w:t xml:space="preserve">  5.  Verify All Fields</w:t>
      </w:r>
      <w:r>
        <w:rPr>
          <w:rFonts w:ascii="Arial" w:hAnsi="Arial"/>
          <w:color w:val="444444"/>
          <w:sz w:val="20"/>
        </w:rPr>
        <w:br/>
        <w:t xml:space="preserve">      Double-check that: receiver.wallet_address is correct, both token contract addresses are correct, all 6 blockchain_verification fields are filled, and the operation reference is IPIP-45M-PROSPERITY-SPRUTH-2025.</w:t>
      </w:r>
    </w:p>
    <w:p>
      <w:pPr>
        <w:spacing w:before="100" w:after="60"/>
        <w:ind w:left="360"/>
      </w:pPr>
      <w:r>
        <w:rPr>
          <w:rFonts w:ascii="Arial" w:hAnsi="Arial"/>
          <w:b/>
          <w:color w:val="1B3A6B"/>
          <w:sz w:val="21"/>
        </w:rPr>
        <w:t xml:space="preserve">  6.  Prepare Submission Package</w:t>
      </w:r>
      <w:r>
        <w:rPr>
          <w:rFonts w:ascii="Arial" w:hAnsi="Arial"/>
          <w:color w:val="444444"/>
          <w:sz w:val="20"/>
        </w:rPr>
        <w:br/>
        <w:t xml:space="preserve">      Gather all required items in one secure package:</w:t>
        <w:br/>
        <w:t xml:space="preserve">      - Completed JSON file (ALSH_CROSS_REFERENCE_TABLE_v2.json)</w:t>
        <w:br/>
        <w:t xml:space="preserve">      - Screenshot from Bank Global Server (gas fee confirmation screen)</w:t>
        <w:br/>
        <w:t xml:space="preserve">      - Video recording of the upload process from Bank Global Server</w:t>
        <w:br/>
        <w:t xml:space="preserve">      - Any additional bank confirmation documents</w:t>
      </w:r>
    </w:p>
    <w:p>
      <w:pPr>
        <w:spacing w:before="100" w:after="60"/>
        <w:ind w:left="360"/>
      </w:pPr>
      <w:r>
        <w:rPr>
          <w:rFonts w:ascii="Arial" w:hAnsi="Arial"/>
          <w:b/>
          <w:color w:val="1B3A6B"/>
          <w:sz w:val="21"/>
        </w:rPr>
        <w:t xml:space="preserve">  7.  Upload to ALSHUMOOKH Endpoint</w:t>
      </w:r>
      <w:r>
        <w:rPr>
          <w:rFonts w:ascii="Arial" w:hAnsi="Arial"/>
          <w:color w:val="444444"/>
          <w:sz w:val="20"/>
        </w:rPr>
        <w:br/>
        <w:t xml:space="preserve">      Submit the completed JSON file via POST request to the ALSHUMOOKH private server endpoint at /api/private/transfer/upload. Include all required headers and authentication tokens as communicated separately by the ALSHUMOOKH technical team.</w:t>
      </w:r>
    </w:p>
    <w:p>
      <w:pPr>
        <w:spacing w:before="100" w:after="60"/>
        <w:ind w:left="360"/>
      </w:pPr>
      <w:r>
        <w:rPr>
          <w:rFonts w:ascii="Arial" w:hAnsi="Arial"/>
          <w:b/>
          <w:color w:val="1B3A6B"/>
          <w:sz w:val="21"/>
        </w:rPr>
        <w:t xml:space="preserve">  8.  Await Acknowledgement</w:t>
      </w:r>
      <w:r>
        <w:rPr>
          <w:rFonts w:ascii="Arial" w:hAnsi="Arial"/>
          <w:color w:val="444444"/>
          <w:sz w:val="20"/>
        </w:rPr>
        <w:br/>
        <w:t xml:space="preserve">      ALSHUMOOKH GROUP will validate the submission within 1-3 business days. Upon successful validation, a confirmation receipt will be issued with an internal reference number.</w:t>
      </w:r>
    </w:p>
    <w:p>
      <w:pPr>
        <w:spacing w:before="100" w:after="60"/>
        <w:ind w:left="360"/>
      </w:pPr>
      <w:r>
        <w:rPr>
          <w:rFonts w:ascii="Arial" w:hAnsi="Arial"/>
          <w:b/>
          <w:color w:val="1B3A6B"/>
          <w:sz w:val="21"/>
        </w:rPr>
        <w:t xml:space="preserve">  9.  Conversion &amp; Liquidation</w:t>
      </w:r>
      <w:r>
        <w:rPr>
          <w:rFonts w:ascii="Arial" w:hAnsi="Arial"/>
          <w:color w:val="444444"/>
          <w:sz w:val="20"/>
        </w:rPr>
        <w:br/>
        <w:t xml:space="preserve">      Upon confirmed receipt and validation, ALSHUMOOKH GROUP will execute the EUR → USD → USDT/USDC conversion and liquidation process internally through our private settlement pipeline. No further action is required from the Client at this stage.</w:t>
      </w:r>
    </w:p>
    <w:p/>
    <w:p>
      <w:pPr>
        <w:spacing w:before="280" w:after="80"/>
        <w:pBdr>
          <w:bottom w:val="single" w:sz="12" w:space="1" w:color="1B3A6B"/>
        </w:pBdr>
      </w:pPr>
      <w:r>
        <w:rPr>
          <w:rFonts w:ascii="Arial" w:hAnsi="Arial"/>
          <w:b/>
          <w:color w:val="1B3A6B"/>
          <w:sz w:val="26"/>
        </w:rPr>
        <w:t>06 |  Five Mandatory Verifications Before Submission</w:t>
      </w:r>
    </w:p>
    <w:p>
      <w:pPr>
        <w:spacing w:after="100" w:before="0"/>
      </w:pPr>
      <w:r>
        <w:rPr>
          <w:rFonts w:ascii="Arial" w:hAnsi="Arial"/>
          <w:b w:val="0"/>
          <w:i w:val="0"/>
          <w:sz w:val="21"/>
        </w:rPr>
        <w:t>ALSHUMOOKH GROUP reserves the right to reject any submission that fails the following verification checks. The Client must independently verify all five points before uploading.</w:t>
      </w:r>
    </w:p>
    <w:p>
      <w:pPr>
        <w:spacing w:before="100" w:after="20"/>
        <w:ind w:left="288"/>
      </w:pPr>
      <w:r>
        <w:rPr>
          <w:rFonts w:ascii="Arial" w:hAnsi="Arial"/>
          <w:b/>
          <w:color w:val="1B3A6B"/>
          <w:sz w:val="21"/>
        </w:rPr>
        <w:t>✓  VERIFICATION 1 — On-Chain Tokenization Confirmation</w:t>
      </w:r>
    </w:p>
    <w:p>
      <w:pPr>
        <w:spacing w:after="80"/>
        <w:ind w:left="936"/>
      </w:pPr>
      <w:r>
        <w:rPr>
          <w:rFonts w:ascii="Arial" w:hAnsi="Arial"/>
          <w:color w:val="444444"/>
          <w:sz w:val="19"/>
        </w:rPr>
        <w:t>Confirm that the tokenization TX hash shows Status: Success with at least 12 block confirmations. The From address must match the sender's master wallet address declared in the JSON file.</w:t>
      </w:r>
    </w:p>
    <w:p>
      <w:pPr>
        <w:spacing w:before="100" w:after="20"/>
        <w:ind w:left="288"/>
      </w:pPr>
      <w:r>
        <w:rPr>
          <w:rFonts w:ascii="Arial" w:hAnsi="Arial"/>
          <w:b/>
          <w:color w:val="1B3A6B"/>
          <w:sz w:val="21"/>
        </w:rPr>
        <w:t>✓  VERIFICATION 2 — Gas Fee Confirmation (Bank Global Server)</w:t>
      </w:r>
    </w:p>
    <w:p>
      <w:pPr>
        <w:spacing w:after="80"/>
        <w:ind w:left="936"/>
      </w:pPr>
      <w:r>
        <w:rPr>
          <w:rFonts w:ascii="Arial" w:hAnsi="Arial"/>
          <w:color w:val="444444"/>
          <w:sz w:val="19"/>
        </w:rPr>
        <w:t>Confirm via the Bank Global Server portal that the gas fee payment is shown as Confirmed/Approved. The screenshot submitted must be taken directly from the Bank Global Server — not from any public blockchain explorer. Additionally, confirm that the video recording covers the complete upload process from login to final submission confirmation on the Bank Global Server.</w:t>
      </w:r>
    </w:p>
    <w:p>
      <w:pPr>
        <w:spacing w:before="100" w:after="20"/>
        <w:ind w:left="288"/>
      </w:pPr>
      <w:r>
        <w:rPr>
          <w:rFonts w:ascii="Arial" w:hAnsi="Arial"/>
          <w:b/>
          <w:color w:val="1B3A6B"/>
          <w:sz w:val="21"/>
        </w:rPr>
        <w:t>✓  VERIFICATION 3 — Smart Contract Verification</w:t>
      </w:r>
    </w:p>
    <w:p>
      <w:pPr>
        <w:spacing w:after="80"/>
        <w:ind w:left="936"/>
      </w:pPr>
      <w:r>
        <w:rPr>
          <w:rFonts w:ascii="Arial" w:hAnsi="Arial"/>
          <w:color w:val="444444"/>
          <w:sz w:val="19"/>
        </w:rPr>
        <w:t>Confirm on etherscan.io/address/[CONTRACT] that the smart contract used is verified, deployed on Ethereum Mainnet (Chain ID: 1), and is the contract actually used in the tokenization transaction.</w:t>
      </w:r>
    </w:p>
    <w:p>
      <w:pPr>
        <w:spacing w:before="100" w:after="20"/>
        <w:ind w:left="288"/>
      </w:pPr>
      <w:r>
        <w:rPr>
          <w:rFonts w:ascii="Arial" w:hAnsi="Arial"/>
          <w:b/>
          <w:color w:val="1B3A6B"/>
          <w:sz w:val="21"/>
        </w:rPr>
        <w:t>✓  VERIFICATION 4 — Sender Master Wallet Match</w:t>
      </w:r>
    </w:p>
    <w:p>
      <w:pPr>
        <w:spacing w:after="80"/>
        <w:ind w:left="936"/>
      </w:pPr>
      <w:r>
        <w:rPr>
          <w:rFonts w:ascii="Arial" w:hAnsi="Arial"/>
          <w:color w:val="444444"/>
          <w:sz w:val="19"/>
        </w:rPr>
        <w:t>Confirm that the sender.master_wallet_address field in the JSON file exactly matches the 'From' address shown on the tokenization transaction on Etherscan. This confirms the transfer originated from the authorized sender wallet.</w:t>
      </w:r>
    </w:p>
    <w:p>
      <w:pPr>
        <w:spacing w:before="100" w:after="20"/>
        <w:ind w:left="288"/>
      </w:pPr>
      <w:r>
        <w:rPr>
          <w:rFonts w:ascii="Arial" w:hAnsi="Arial"/>
          <w:b/>
          <w:color w:val="1B3A6B"/>
          <w:sz w:val="21"/>
        </w:rPr>
        <w:t>✓  VERIFICATION 5 — Wallet Address Match</w:t>
      </w:r>
    </w:p>
    <w:p>
      <w:pPr>
        <w:spacing w:after="80"/>
        <w:ind w:left="936"/>
      </w:pPr>
      <w:r>
        <w:rPr>
          <w:rFonts w:ascii="Arial" w:hAnsi="Arial"/>
          <w:color w:val="444444"/>
          <w:sz w:val="19"/>
        </w:rPr>
        <w:t>Confirm that the receiver.wallet_address in the JSON file exactly matches 0xBD682cfD8382a90adfDd6745780D3D7959c4d939, character by character.</w:t>
      </w:r>
    </w:p>
    <w:p>
      <w:pPr>
        <w:spacing w:before="100" w:after="20"/>
        <w:ind w:left="288"/>
      </w:pPr>
      <w:r>
        <w:rPr>
          <w:rFonts w:ascii="Arial" w:hAnsi="Arial"/>
          <w:b/>
          <w:color w:val="1B3A6B"/>
          <w:sz w:val="21"/>
        </w:rPr>
        <w:t>✓  VERIFICATION 6 — Operation Reference Integrity</w:t>
      </w:r>
    </w:p>
    <w:p>
      <w:pPr>
        <w:spacing w:after="80"/>
        <w:ind w:left="936"/>
      </w:pPr>
      <w:r>
        <w:rPr>
          <w:rFonts w:ascii="Arial" w:hAnsi="Arial"/>
          <w:color w:val="444444"/>
          <w:sz w:val="19"/>
        </w:rPr>
        <w:t>Confirm that the operationRef field in the JSON file reads exactly: IPIP-45M-PROSPERITY-SPRUTH-2025, and that the tranche amount is EUR 45,000,000.00.</w:t>
      </w:r>
    </w:p>
    <w:p/>
    <w:p>
      <w:pPr>
        <w:spacing w:before="280" w:after="80"/>
        <w:pBdr>
          <w:bottom w:val="single" w:sz="12" w:space="1" w:color="1B3A6B"/>
        </w:pBdr>
      </w:pPr>
      <w:r>
        <w:rPr>
          <w:rFonts w:ascii="Arial" w:hAnsi="Arial"/>
          <w:b/>
          <w:color w:val="1B3A6B"/>
          <w:sz w:val="26"/>
        </w:rPr>
        <w:t>07 |  Conversion &amp; Settlement — ALSHUMOOKH Internal Process</w:t>
      </w:r>
    </w:p>
    <w:p>
      <w:pPr>
        <w:spacing w:after="100" w:before="0"/>
      </w:pPr>
      <w:r>
        <w:rPr>
          <w:rFonts w:ascii="Arial" w:hAnsi="Arial"/>
          <w:b w:val="0"/>
          <w:i w:val="0"/>
          <w:sz w:val="21"/>
        </w:rPr>
        <w:t>Upon successful receipt and validation of the Client's submission, ALSHUMOOKH GROUP will execute the following internal pipeline. No action is required from the Client during this phase.</w:t>
      </w:r>
    </w:p>
    <w:p>
      <w:pPr>
        <w:spacing w:after="60" w:before="20"/>
        <w:ind w:left="432"/>
      </w:pPr>
      <w:r>
        <w:rPr>
          <w:rFonts w:ascii="Arial" w:hAnsi="Arial"/>
          <w:sz w:val="21"/>
        </w:rPr>
        <w:t>→  File validation against ALSHUMOOKH Private Schema v2.0</w:t>
      </w:r>
    </w:p>
    <w:p>
      <w:pPr>
        <w:spacing w:after="60" w:before="20"/>
        <w:ind w:left="432"/>
      </w:pPr>
      <w:r>
        <w:rPr>
          <w:rFonts w:ascii="Arial" w:hAnsi="Arial"/>
          <w:sz w:val="21"/>
        </w:rPr>
        <w:t>→  On-chain verification of all TX hashes via Ethereum Mainnet RPC</w:t>
      </w:r>
    </w:p>
    <w:p>
      <w:pPr>
        <w:spacing w:after="60" w:before="20"/>
        <w:ind w:left="432"/>
      </w:pPr>
      <w:r>
        <w:rPr>
          <w:rFonts w:ascii="Arial" w:hAnsi="Arial"/>
          <w:sz w:val="21"/>
        </w:rPr>
        <w:t>→  Smart contract address verification on etherscan.io</w:t>
      </w:r>
    </w:p>
    <w:p>
      <w:pPr>
        <w:spacing w:after="60" w:before="20"/>
        <w:ind w:left="432"/>
      </w:pPr>
      <w:r>
        <w:rPr>
          <w:rFonts w:ascii="Arial" w:hAnsi="Arial"/>
          <w:sz w:val="21"/>
        </w:rPr>
        <w:t>→  Amount reconciliation: EUR 45,000,000.00 → USD equivalent</w:t>
      </w:r>
    </w:p>
    <w:p>
      <w:pPr>
        <w:spacing w:after="60" w:before="20"/>
        <w:ind w:left="432"/>
      </w:pPr>
      <w:r>
        <w:rPr>
          <w:rFonts w:ascii="Arial" w:hAnsi="Arial"/>
          <w:sz w:val="21"/>
        </w:rPr>
        <w:t>→  Conversion from USD to USDT / USDC (ERC-20) at market rate at time of settlement</w:t>
      </w:r>
    </w:p>
    <w:p>
      <w:pPr>
        <w:spacing w:after="60" w:before="20"/>
        <w:ind w:left="432"/>
      </w:pPr>
      <w:r>
        <w:rPr>
          <w:rFonts w:ascii="Arial" w:hAnsi="Arial"/>
          <w:sz w:val="21"/>
        </w:rPr>
        <w:t>→  Transfer to ALSHUMOOKH Treasury Wallet: 0xBD682cfD8382a90adfDd6745780D3D7959c4d939</w:t>
      </w:r>
    </w:p>
    <w:p>
      <w:pPr>
        <w:spacing w:after="60" w:before="20"/>
        <w:ind w:left="432"/>
      </w:pPr>
      <w:r>
        <w:rPr>
          <w:rFonts w:ascii="Arial" w:hAnsi="Arial"/>
          <w:sz w:val="21"/>
        </w:rPr>
        <w:t>→  Internal audit and compliance check</w:t>
      </w:r>
    </w:p>
    <w:p>
      <w:pPr>
        <w:spacing w:after="60" w:before="20"/>
        <w:ind w:left="432"/>
      </w:pPr>
      <w:r>
        <w:rPr>
          <w:rFonts w:ascii="Arial" w:hAnsi="Arial"/>
          <w:sz w:val="21"/>
        </w:rPr>
        <w:t>→  Issuance of final settlement confirmation to Client</w:t>
      </w:r>
    </w:p>
    <w:p/>
    <w:tbl>
      <w:tblPr>
        <w:tblW w:type="auto" w:w="0"/>
        <w:jc w:val="left"/>
        <w:tblLook w:firstColumn="1" w:firstRow="1" w:lastColumn="0" w:lastRow="0" w:noHBand="0" w:noVBand="1" w:val="04A0"/>
      </w:tblPr>
      <w:tblGrid>
        <w:gridCol w:w="8928"/>
      </w:tblGrid>
      <w:tr>
        <w:tc>
          <w:tcPr>
            <w:tcW w:type="dxa" w:w="8928"/>
            <w:shd w:val="clear" w:color="auto" w:fill="E8F4FD"/>
          </w:tcPr>
          <w:p>
            <w:pPr>
              <w:spacing w:after="80" w:before="80"/>
            </w:pPr>
            <w:r>
              <w:rPr>
                <w:rFonts w:ascii="Arial" w:hAnsi="Arial"/>
                <w:b/>
                <w:color w:val="1B3A6B"/>
                <w:sz w:val="20"/>
              </w:rPr>
              <w:t xml:space="preserve">ℹ  Processing Time:  </w:t>
            </w:r>
            <w:r>
              <w:rPr>
                <w:rFonts w:ascii="Arial" w:hAnsi="Arial"/>
                <w:sz w:val="20"/>
              </w:rPr>
              <w:t>The internal conversion process typically takes 2-5 business days from the date of successful submission acknowledgement. Settlement confirmation will be sent to the Client's registered communication channel upon completion.</w:t>
            </w:r>
          </w:p>
        </w:tc>
      </w:tr>
    </w:tbl>
    <w:p/>
    <w:p>
      <w:pPr>
        <w:spacing w:before="280" w:after="80"/>
        <w:pBdr>
          <w:bottom w:val="single" w:sz="12" w:space="1" w:color="1B3A6B"/>
        </w:pBdr>
      </w:pPr>
      <w:r>
        <w:rPr>
          <w:rFonts w:ascii="Arial" w:hAnsi="Arial"/>
          <w:b/>
          <w:color w:val="1B3A6B"/>
          <w:sz w:val="26"/>
        </w:rPr>
        <w:t>08 |  Important Notices &amp; Disclaimers</w:t>
      </w:r>
    </w:p>
    <w:p>
      <w:pPr>
        <w:spacing w:before="100" w:after="20"/>
        <w:ind w:left="144"/>
      </w:pPr>
      <w:r>
        <w:rPr>
          <w:rFonts w:ascii="Arial" w:hAnsi="Arial"/>
          <w:b/>
          <w:color w:val="1B3A6B"/>
          <w:sz w:val="21"/>
        </w:rPr>
        <w:t xml:space="preserve">  No External Code Entry Required</w:t>
      </w:r>
    </w:p>
    <w:p>
      <w:pPr>
        <w:spacing w:after="100"/>
        <w:ind w:left="576"/>
      </w:pPr>
      <w:r>
        <w:rPr>
          <w:rFonts w:ascii="Arial" w:hAnsi="Arial"/>
          <w:color w:val="333333"/>
          <w:sz w:val="19"/>
        </w:rPr>
        <w:t>ALSHUMOOKH GROUP will NEVER ask the Client to enter any 'IRREVOCABLE codes', 'Final Codes', or 'Officer Authorization Codes' on our behalf. If any third party requests such codes claiming to act for ALSHUMOOKH, do not comply and notify us immediately.</w:t>
      </w:r>
    </w:p>
    <w:p>
      <w:pPr>
        <w:spacing w:before="100" w:after="20"/>
        <w:ind w:left="144"/>
      </w:pPr>
      <w:r>
        <w:rPr>
          <w:rFonts w:ascii="Arial" w:hAnsi="Arial"/>
          <w:b/>
          <w:color w:val="1B3A6B"/>
          <w:sz w:val="21"/>
        </w:rPr>
        <w:t xml:space="preserve">  No Executable Files</w:t>
      </w:r>
    </w:p>
    <w:p>
      <w:pPr>
        <w:spacing w:after="100"/>
        <w:ind w:left="576"/>
      </w:pPr>
      <w:r>
        <w:rPr>
          <w:rFonts w:ascii="Arial" w:hAnsi="Arial"/>
          <w:color w:val="333333"/>
          <w:sz w:val="19"/>
        </w:rPr>
        <w:t>ALSHUMOOKH GROUP will never request the installation or execution of any .dll, .exe, .bat, or any other executable file as part of the transfer process.</w:t>
      </w:r>
    </w:p>
    <w:p>
      <w:pPr>
        <w:spacing w:before="100" w:after="20"/>
        <w:ind w:left="144"/>
      </w:pPr>
      <w:r>
        <w:rPr>
          <w:rFonts w:ascii="Arial" w:hAnsi="Arial"/>
          <w:b/>
          <w:color w:val="1B3A6B"/>
          <w:sz w:val="21"/>
        </w:rPr>
        <w:t xml:space="preserve">  Private Server Disclaimer</w:t>
      </w:r>
    </w:p>
    <w:p>
      <w:pPr>
        <w:spacing w:after="100"/>
        <w:ind w:left="576"/>
      </w:pPr>
      <w:r>
        <w:rPr>
          <w:rFonts w:ascii="Arial" w:hAnsi="Arial"/>
          <w:color w:val="333333"/>
          <w:sz w:val="19"/>
        </w:rPr>
        <w:t>ALSHUMOOKH GROUP operates exclusively as a Private Blockchain Settlement Server. We are entirely separate from the Global SWIFT network, Deutsche Bank systems, or any public financial infrastructure. We bear no responsibility for any actions, codes, or procedures issued by or within the Global/Public banking network.</w:t>
      </w:r>
    </w:p>
    <w:p>
      <w:pPr>
        <w:spacing w:before="100" w:after="20"/>
        <w:ind w:left="144"/>
      </w:pPr>
      <w:r>
        <w:rPr>
          <w:rFonts w:ascii="Arial" w:hAnsi="Arial"/>
          <w:b/>
          <w:color w:val="1B3A6B"/>
          <w:sz w:val="21"/>
        </w:rPr>
        <w:t xml:space="preserve">  Verification is Your Responsibility</w:t>
      </w:r>
    </w:p>
    <w:p>
      <w:pPr>
        <w:spacing w:after="100"/>
        <w:ind w:left="576"/>
      </w:pPr>
      <w:r>
        <w:rPr>
          <w:rFonts w:ascii="Arial" w:hAnsi="Arial"/>
          <w:color w:val="333333"/>
          <w:sz w:val="19"/>
        </w:rPr>
        <w:t>The Client is solely responsible for verifying all transaction hashes and contract addresses before submission. ALSHUMOOKH GROUP cannot reverse or recover transfers made to incorrect wallet addresses.</w:t>
      </w:r>
    </w:p>
    <w:p>
      <w:pPr>
        <w:spacing w:before="100" w:after="20"/>
        <w:ind w:left="144"/>
      </w:pPr>
      <w:r>
        <w:rPr>
          <w:rFonts w:ascii="Arial" w:hAnsi="Arial"/>
          <w:b/>
          <w:color w:val="1B3A6B"/>
          <w:sz w:val="21"/>
        </w:rPr>
        <w:t xml:space="preserve">  Confidentiality</w:t>
      </w:r>
    </w:p>
    <w:p>
      <w:pPr>
        <w:spacing w:after="100"/>
        <w:ind w:left="576"/>
      </w:pPr>
      <w:r>
        <w:rPr>
          <w:rFonts w:ascii="Arial" w:hAnsi="Arial"/>
          <w:color w:val="333333"/>
          <w:sz w:val="19"/>
        </w:rPr>
        <w:t>All documents, wallet addresses, endpoint URLs, and technical parameters shared by ALSHUMOOKH GROUP are strictly confidential and must not be shared with any third party without written authorization.</w:t>
      </w:r>
    </w:p>
    <w:p/>
    <w:p>
      <w:pPr>
        <w:pBdr>
          <w:bottom w:val="single" w:sz="12" w:space="1" w:color="1B3A6B"/>
        </w:pBdr>
        <w:spacing w:after="120"/>
      </w:pPr>
    </w:p>
    <w:tbl>
      <w:tblPr>
        <w:tblW w:type="auto" w:w="0"/>
        <w:jc w:val="left"/>
        <w:tblLook w:firstColumn="1" w:firstRow="1" w:lastColumn="0" w:lastRow="0" w:noHBand="0" w:noVBand="1" w:val="04A0"/>
      </w:tblPr>
      <w:tblGrid>
        <w:gridCol w:w="4464"/>
        <w:gridCol w:w="4464"/>
      </w:tblGrid>
      <w:tr>
        <w:tc>
          <w:tcPr>
            <w:tcW w:type="dxa" w:w="5472"/>
          </w:tcPr>
          <w:p>
            <w:r>
              <w:rPr>
                <w:rFonts w:ascii="Arial" w:hAnsi="Arial"/>
                <w:b/>
                <w:color w:val="1B3A6B"/>
                <w:sz w:val="17"/>
              </w:rPr>
              <w:t>ALSHUMOOKH GROUP  |  Private Blockchain &amp; Settlement Division</w:t>
            </w:r>
          </w:p>
          <w:p>
            <w:r>
              <w:rPr>
                <w:rFonts w:ascii="Arial" w:hAnsi="Arial"/>
                <w:color w:val="999999"/>
                <w:sz w:val="15"/>
              </w:rPr>
              <w:t>STRICTLY CONFIDENTIAL  —  FOR AUTHORIZED PARTIES ONLY</w:t>
            </w:r>
          </w:p>
        </w:tc>
        <w:tc>
          <w:tcPr>
            <w:tcW w:type="dxa" w:w="3600"/>
          </w:tcPr>
          <w:p>
            <w:pPr>
              <w:jc w:val="right"/>
            </w:pPr>
            <w:r>
              <w:rPr>
                <w:rFonts w:ascii="Arial" w:hAnsi="Arial"/>
                <w:color w:val="888888"/>
                <w:sz w:val="16"/>
              </w:rPr>
              <w:t>Document Version: 1.0</w:t>
              <w:br/>
              <w:t>Date: June 2026</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