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703"/>
        <w:gridCol w:w="4703"/>
      </w:tblGrid>
      <w:tr>
        <w:tc>
          <w:tcPr>
            <w:tcW w:type="dxa" w:w="6803"/>
            <w:tcBorders>
              <w:top w:val="none"/>
              <w:bottom w:val="none"/>
              <w:left w:val="none"/>
              <w:right w:val="none"/>
            </w:tcBorders>
            <w:shd w:val="clear" w:color="auto" w:fill="0D275A"/>
          </w:tcPr>
          <w:p>
            <w:pPr>
              <w:spacing w:before="200" w:after="40"/>
              <w:ind w:left="283"/>
            </w:pPr>
            <w:r>
              <w:rPr>
                <w:rFonts w:ascii="Calibri" w:hAnsi="Calibri"/>
                <w:b/>
                <w:color w:val="FFFFFF"/>
                <w:sz w:val="40"/>
              </w:rPr>
              <w:t>AL-SHUMOOKH GROUP</w:t>
            </w:r>
          </w:p>
          <w:p>
            <w:pPr>
              <w:spacing w:after="40"/>
              <w:ind w:left="283"/>
            </w:pPr>
            <w:r>
              <w:rPr>
                <w:rFonts w:ascii="Calibri" w:hAnsi="Calibri"/>
                <w:color w:val="B88600"/>
                <w:sz w:val="20"/>
              </w:rPr>
              <w:t>SIG Token — Liquidity Investment Proposal</w:t>
            </w:r>
          </w:p>
          <w:p>
            <w:pPr>
              <w:spacing w:after="200"/>
              <w:ind w:left="283"/>
            </w:pPr>
            <w:r>
              <w:rPr>
                <w:rFonts w:ascii="Calibri" w:hAnsi="Calibri"/>
                <w:color w:val="AABBCC"/>
                <w:sz w:val="18"/>
              </w:rPr>
              <w:t>CONFIDENTIAL  ·  June 14, 2026</w:t>
            </w:r>
          </w:p>
        </w:tc>
        <w:tc>
          <w:tcPr>
            <w:tcW w:type="dxa" w:w="3402"/>
            <w:tcBorders>
              <w:top w:val="none"/>
              <w:bottom w:val="none"/>
              <w:left w:val="none"/>
              <w:right w:val="none"/>
            </w:tcBorders>
            <w:shd w:val="clear" w:color="auto" w:fill="B88600"/>
            <w:vAlign w:val="center"/>
          </w:tcPr>
          <w:p>
            <w:pPr>
              <w:spacing w:before="200" w:after="80"/>
              <w:jc w:val="center"/>
            </w:pPr>
            <w:r>
              <w:rPr>
                <w:rFonts w:ascii="Calibri" w:hAnsi="Calibri"/>
                <w:b/>
                <w:color w:val="0D275A"/>
                <w:sz w:val="26"/>
              </w:rPr>
              <w:t>INVESTMENT</w:t>
            </w:r>
          </w:p>
          <w:p>
            <w:pPr>
              <w:spacing w:after="80"/>
              <w:jc w:val="center"/>
            </w:pPr>
            <w:r>
              <w:rPr>
                <w:rFonts w:ascii="Calibri" w:hAnsi="Calibri"/>
                <w:b/>
                <w:color w:val="0D275A"/>
                <w:sz w:val="32"/>
              </w:rPr>
              <w:t>EUR 210,000.00  (USD 243,054.00)</w:t>
            </w:r>
          </w:p>
          <w:p>
            <w:pPr>
              <w:spacing w:after="200"/>
              <w:jc w:val="center"/>
            </w:pPr>
            <w:r>
              <w:rPr>
                <w:rFonts w:ascii="Calibri" w:hAnsi="Calibri"/>
                <w:color w:val="0D275A"/>
                <w:sz w:val="18"/>
              </w:rPr>
              <w:t>15-Day Term</w:t>
            </w:r>
          </w:p>
        </w:tc>
      </w:tr>
    </w:tbl>
    <w:p/>
    <w:p>
      <w:pPr>
        <w:spacing w:before="200" w:after="100"/>
        <w:jc w:val="left"/>
        <w:pBdr>
          <w:bottom w:val="single" w:sz="6" w:space="3" w:color="B88600"/>
        </w:pBdr>
      </w:pPr>
      <w:r>
        <w:rPr>
          <w:rFonts w:ascii="Calibri" w:hAnsi="Calibri"/>
          <w:b/>
          <w:i w:val="0"/>
          <w:color w:val="0D275A"/>
          <w:sz w:val="28"/>
        </w:rPr>
        <w:t>EXECUTIVE SUMMARY</w:t>
      </w:r>
    </w:p>
    <w:p>
      <w:pPr>
        <w:spacing w:before="60" w:after="100"/>
      </w:pPr>
      <w:r>
        <w:rPr>
          <w:rFonts w:ascii="Calibri" w:hAnsi="Calibri"/>
          <w:color w:val="444444"/>
          <w:sz w:val="20"/>
        </w:rPr>
        <w:t>AL-SHUMOOKH GROUP has successfully completed the tokenization of a verified M1 Fund of USD 289,175,000.00 into 289,175,000.00 units of its proprietary digital asset — the SIG Token (Al Shumookh Integrated Group Token) — on the Ethereum Mainnet (ERC-20). The tokenization transaction has been confirmed on the blockchain and is fully verifiable on Etherscan.</w:t>
      </w:r>
    </w:p>
    <w:p>
      <w:pPr>
        <w:spacing w:before="60" w:after="100"/>
      </w:pPr>
      <w:r>
        <w:rPr>
          <w:rFonts w:ascii="Calibri" w:hAnsi="Calibri"/>
          <w:color w:val="444444"/>
          <w:sz w:val="20"/>
        </w:rPr>
        <w:t>The SIG Token is pegged at a value of USD 1.00 per token, giving the total tokenized asset a market equivalent of USD 289,175,000.00. To unlock the full market value of this asset and enable real-time trading, conversion, and settlement, an initial liquidity injection of EUR 210,000 is required to establish the SIG/USDT trading pair on Uniswap V3.</w:t>
      </w:r>
    </w:p>
    <w:p>
      <w:pPr>
        <w:spacing w:before="60" w:after="100"/>
      </w:pPr>
      <w:r>
        <w:rPr>
          <w:rFonts w:ascii="Calibri" w:hAnsi="Calibri"/>
          <w:color w:val="444444"/>
          <w:sz w:val="20"/>
        </w:rPr>
        <w:t>This proposal outlines a 15-day structured investment opportunity offering the investor a guaranteed return of 5% of the total transaction value, backed by a formal Payment Guarantee Letter (PGL) executed by AL-SHUMOOKH GROUP.</w:t>
      </w:r>
    </w:p>
    <w:p/>
    <w:p>
      <w:pPr>
        <w:spacing w:before="200" w:after="100"/>
        <w:jc w:val="left"/>
        <w:pBdr>
          <w:bottom w:val="single" w:sz="6" w:space="3" w:color="B88600"/>
        </w:pBdr>
      </w:pPr>
      <w:r>
        <w:rPr>
          <w:rFonts w:ascii="Calibri" w:hAnsi="Calibri"/>
          <w:b/>
          <w:i w:val="0"/>
          <w:color w:val="0D275A"/>
          <w:sz w:val="28"/>
        </w:rPr>
        <w:t>PROOF OF TOKENIZATION — BLOCKCHAIN VERIFICATION</w:t>
      </w:r>
    </w:p>
    <w:tbl>
      <w:tblPr>
        <w:tblW w:type="auto" w:w="0"/>
        <w:jc w:val="center"/>
        <w:tblLook w:firstColumn="1" w:firstRow="1" w:lastColumn="0" w:lastRow="0" w:noHBand="0" w:noVBand="1" w:val="04A0"/>
      </w:tblPr>
      <w:tblGrid>
        <w:gridCol w:w="4703"/>
        <w:gridCol w:w="4703"/>
      </w:tblGrid>
      <w:tr>
        <w:tc>
          <w:tcPr>
            <w:tcW w:type="dxa" w:w="3118"/>
            <w:shd w:val="clear" w:color="auto" w:fill="F4F6FA"/>
            <w:tcBorders>
              <w:bottom w:val="single" w:sz="4" w:space="0" w:color="DDDDDD"/>
              <w:top w:val="none"/>
              <w:left w:val="none"/>
              <w:right w:val="none"/>
            </w:tcBorders>
          </w:tcPr>
          <w:p>
            <w:pPr>
              <w:spacing w:before="100" w:after="100"/>
              <w:ind w:left="170"/>
            </w:pPr>
            <w:r>
              <w:rPr>
                <w:rFonts w:ascii="Calibri" w:hAnsi="Calibri"/>
                <w:b/>
                <w:color w:val="0D275A"/>
                <w:sz w:val="17"/>
              </w:rPr>
              <w:t>TOKENIZATION JOB ID</w:t>
            </w:r>
          </w:p>
        </w:tc>
        <w:tc>
          <w:tcPr>
            <w:tcW w:type="dxa" w:w="7087"/>
            <w:shd w:val="clear" w:color="auto" w:fill="F4F6FA"/>
            <w:tcBorders>
              <w:bottom w:val="single" w:sz="4" w:space="0" w:color="DDDDDD"/>
              <w:top w:val="none"/>
              <w:left w:val="none"/>
              <w:right w:val="none"/>
            </w:tcBorders>
          </w:tcPr>
          <w:p>
            <w:pPr>
              <w:spacing w:before="100" w:after="100"/>
              <w:ind w:left="170"/>
            </w:pPr>
            <w:r>
              <w:rPr>
                <w:rFonts w:ascii="Calibri" w:hAnsi="Calibri"/>
                <w:b w:val="0"/>
                <w:color w:val="1A1A1A"/>
                <w:sz w:val="18"/>
              </w:rPr>
              <w:t>5f918fac-19b4-4ead-8ff1-05dcc6c95852</w:t>
            </w:r>
          </w:p>
        </w:tc>
      </w:tr>
      <w:tr>
        <w:tc>
          <w:tcPr>
            <w:tcW w:type="dxa" w:w="3118"/>
            <w:shd w:val="clear" w:color="auto" w:fill="FFFFFF"/>
            <w:tcBorders>
              <w:bottom w:val="single" w:sz="4" w:space="0" w:color="DDDDDD"/>
              <w:top w:val="none"/>
              <w:left w:val="none"/>
              <w:right w:val="none"/>
            </w:tcBorders>
          </w:tcPr>
          <w:p>
            <w:pPr>
              <w:spacing w:before="100" w:after="100"/>
              <w:ind w:left="170"/>
            </w:pPr>
            <w:r>
              <w:rPr>
                <w:rFonts w:ascii="Calibri" w:hAnsi="Calibri"/>
                <w:b/>
                <w:color w:val="0D275A"/>
                <w:sz w:val="17"/>
              </w:rPr>
              <w:t>SOURCE AMOUNT</w:t>
            </w:r>
          </w:p>
        </w:tc>
        <w:tc>
          <w:tcPr>
            <w:tcW w:type="dxa" w:w="7087"/>
            <w:shd w:val="clear" w:color="auto" w:fill="FFFFFF"/>
            <w:tcBorders>
              <w:bottom w:val="single" w:sz="4" w:space="0" w:color="DDDDDD"/>
              <w:top w:val="none"/>
              <w:left w:val="none"/>
              <w:right w:val="none"/>
            </w:tcBorders>
          </w:tcPr>
          <w:p>
            <w:pPr>
              <w:spacing w:before="100" w:after="100"/>
              <w:ind w:left="170"/>
            </w:pPr>
            <w:r>
              <w:rPr>
                <w:rFonts w:ascii="Calibri" w:hAnsi="Calibri"/>
                <w:b w:val="0"/>
                <w:color w:val="1A1A1A"/>
                <w:sz w:val="18"/>
              </w:rPr>
              <w:t>USD 289,175,000.00</w:t>
            </w:r>
          </w:p>
        </w:tc>
      </w:tr>
      <w:tr>
        <w:tc>
          <w:tcPr>
            <w:tcW w:type="dxa" w:w="3118"/>
            <w:shd w:val="clear" w:color="auto" w:fill="F4F6FA"/>
            <w:tcBorders>
              <w:bottom w:val="single" w:sz="4" w:space="0" w:color="DDDDDD"/>
              <w:top w:val="none"/>
              <w:left w:val="none"/>
              <w:right w:val="none"/>
            </w:tcBorders>
          </w:tcPr>
          <w:p>
            <w:pPr>
              <w:spacing w:before="100" w:after="100"/>
              <w:ind w:left="170"/>
            </w:pPr>
            <w:r>
              <w:rPr>
                <w:rFonts w:ascii="Calibri" w:hAnsi="Calibri"/>
                <w:b/>
                <w:color w:val="0D275A"/>
                <w:sz w:val="17"/>
              </w:rPr>
              <w:t>USD EQUIVALENT</w:t>
            </w:r>
          </w:p>
        </w:tc>
        <w:tc>
          <w:tcPr>
            <w:tcW w:type="dxa" w:w="7087"/>
            <w:shd w:val="clear" w:color="auto" w:fill="F4F6FA"/>
            <w:tcBorders>
              <w:bottom w:val="single" w:sz="4" w:space="0" w:color="DDDDDD"/>
              <w:top w:val="none"/>
              <w:left w:val="none"/>
              <w:right w:val="none"/>
            </w:tcBorders>
          </w:tcPr>
          <w:p>
            <w:pPr>
              <w:spacing w:before="100" w:after="100"/>
              <w:ind w:left="170"/>
            </w:pPr>
            <w:r>
              <w:rPr>
                <w:rFonts w:ascii="Calibri" w:hAnsi="Calibri"/>
                <w:b w:val="0"/>
                <w:color w:val="1A1A1A"/>
                <w:sz w:val="18"/>
              </w:rPr>
              <w:t>USD 289,175,000.00</w:t>
            </w:r>
          </w:p>
        </w:tc>
      </w:tr>
      <w:tr>
        <w:tc>
          <w:tcPr>
            <w:tcW w:type="dxa" w:w="3118"/>
            <w:shd w:val="clear" w:color="auto" w:fill="FFFFFF"/>
            <w:tcBorders>
              <w:bottom w:val="single" w:sz="4" w:space="0" w:color="DDDDDD"/>
              <w:top w:val="none"/>
              <w:left w:val="none"/>
              <w:right w:val="none"/>
            </w:tcBorders>
          </w:tcPr>
          <w:p>
            <w:pPr>
              <w:spacing w:before="100" w:after="100"/>
              <w:ind w:left="170"/>
            </w:pPr>
            <w:r>
              <w:rPr>
                <w:rFonts w:ascii="Calibri" w:hAnsi="Calibri"/>
                <w:b/>
                <w:color w:val="0D275A"/>
                <w:sz w:val="17"/>
              </w:rPr>
              <w:t>SIG TOKENS ISSUED</w:t>
            </w:r>
          </w:p>
        </w:tc>
        <w:tc>
          <w:tcPr>
            <w:tcW w:type="dxa" w:w="7087"/>
            <w:shd w:val="clear" w:color="auto" w:fill="FFFFFF"/>
            <w:tcBorders>
              <w:bottom w:val="single" w:sz="4" w:space="0" w:color="DDDDDD"/>
              <w:top w:val="none"/>
              <w:left w:val="none"/>
              <w:right w:val="none"/>
            </w:tcBorders>
          </w:tcPr>
          <w:p>
            <w:pPr>
              <w:spacing w:before="100" w:after="100"/>
              <w:ind w:left="170"/>
            </w:pPr>
            <w:r>
              <w:rPr>
                <w:rFonts w:ascii="Calibri" w:hAnsi="Calibri"/>
                <w:b w:val="0"/>
                <w:color w:val="1A1A1A"/>
                <w:sz w:val="18"/>
              </w:rPr>
              <w:t>289,175,000.00 SIG</w:t>
            </w:r>
          </w:p>
        </w:tc>
      </w:tr>
      <w:tr>
        <w:tc>
          <w:tcPr>
            <w:tcW w:type="dxa" w:w="3118"/>
            <w:shd w:val="clear" w:color="auto" w:fill="F4F6FA"/>
            <w:tcBorders>
              <w:bottom w:val="single" w:sz="4" w:space="0" w:color="DDDDDD"/>
              <w:top w:val="none"/>
              <w:left w:val="none"/>
              <w:right w:val="none"/>
            </w:tcBorders>
          </w:tcPr>
          <w:p>
            <w:pPr>
              <w:spacing w:before="100" w:after="100"/>
              <w:ind w:left="170"/>
            </w:pPr>
            <w:r>
              <w:rPr>
                <w:rFonts w:ascii="Calibri" w:hAnsi="Calibri"/>
                <w:b/>
                <w:color w:val="0D275A"/>
                <w:sz w:val="17"/>
              </w:rPr>
              <w:t>NETWORK</w:t>
            </w:r>
          </w:p>
        </w:tc>
        <w:tc>
          <w:tcPr>
            <w:tcW w:type="dxa" w:w="7087"/>
            <w:shd w:val="clear" w:color="auto" w:fill="F4F6FA"/>
            <w:tcBorders>
              <w:bottom w:val="single" w:sz="4" w:space="0" w:color="DDDDDD"/>
              <w:top w:val="none"/>
              <w:left w:val="none"/>
              <w:right w:val="none"/>
            </w:tcBorders>
          </w:tcPr>
          <w:p>
            <w:pPr>
              <w:spacing w:before="100" w:after="100"/>
              <w:ind w:left="170"/>
            </w:pPr>
            <w:r>
              <w:rPr>
                <w:rFonts w:ascii="Calibri" w:hAnsi="Calibri"/>
                <w:b w:val="0"/>
                <w:color w:val="1A1A1A"/>
                <w:sz w:val="18"/>
              </w:rPr>
              <w:t>Ethereum Mainnet (ERC-20)</w:t>
            </w:r>
          </w:p>
        </w:tc>
      </w:tr>
      <w:tr>
        <w:tc>
          <w:tcPr>
            <w:tcW w:type="dxa" w:w="3118"/>
            <w:shd w:val="clear" w:color="auto" w:fill="FFFFFF"/>
            <w:tcBorders>
              <w:bottom w:val="single" w:sz="4" w:space="0" w:color="DDDDDD"/>
              <w:top w:val="none"/>
              <w:left w:val="none"/>
              <w:right w:val="none"/>
            </w:tcBorders>
          </w:tcPr>
          <w:p>
            <w:pPr>
              <w:spacing w:before="100" w:after="100"/>
              <w:ind w:left="170"/>
            </w:pPr>
            <w:r>
              <w:rPr>
                <w:rFonts w:ascii="Calibri" w:hAnsi="Calibri"/>
                <w:b/>
                <w:color w:val="0D275A"/>
                <w:sz w:val="17"/>
              </w:rPr>
              <w:t>STATUS</w:t>
            </w:r>
          </w:p>
        </w:tc>
        <w:tc>
          <w:tcPr>
            <w:tcW w:type="dxa" w:w="7087"/>
            <w:shd w:val="clear" w:color="auto" w:fill="FFFFFF"/>
            <w:tcBorders>
              <w:bottom w:val="single" w:sz="4" w:space="0" w:color="DDDDDD"/>
              <w:top w:val="none"/>
              <w:left w:val="none"/>
              <w:right w:val="none"/>
            </w:tcBorders>
          </w:tcPr>
          <w:p>
            <w:pPr>
              <w:spacing w:before="100" w:after="100"/>
              <w:ind w:left="170"/>
            </w:pPr>
            <w:r>
              <w:rPr>
                <w:rFonts w:ascii="Calibri" w:hAnsi="Calibri"/>
                <w:b/>
                <w:color w:val="057A3A"/>
                <w:sz w:val="18"/>
              </w:rPr>
              <w:t>CONFIRMED — 15,508 Block Confirmations</w:t>
            </w:r>
          </w:p>
        </w:tc>
      </w:tr>
    </w:tbl>
    <w:p/>
    <w:p>
      <w:pPr>
        <w:spacing w:before="80" w:after="80"/>
      </w:pPr>
      <w:r>
        <w:rPr>
          <w:rFonts w:ascii="Calibri" w:hAnsi="Calibri"/>
          <w:b/>
          <w:color w:val="0D275A"/>
          <w:sz w:val="19"/>
        </w:rPr>
        <w:t xml:space="preserve">Blockchain Verification Link 1 (Etherscan):  </w:t>
      </w:r>
      <w:r>
        <w:rPr>
          <w:rFonts w:ascii="Courier New" w:hAnsi="Courier New"/>
          <w:color w:val="006E8A"/>
          <w:sz w:val="17"/>
        </w:rPr>
        <w:t>https://etherscan.io/tx/0x9d81c52709ccda70c21285479a9598bc6c2c778c71a7d1010b4b21b89c67bdb7</w:t>
      </w:r>
    </w:p>
    <w:p>
      <w:pPr>
        <w:spacing w:before="80" w:after="80"/>
      </w:pPr>
      <w:r>
        <w:rPr>
          <w:rFonts w:ascii="Calibri" w:hAnsi="Calibri"/>
          <w:b/>
          <w:color w:val="0D275A"/>
          <w:sz w:val="19"/>
        </w:rPr>
        <w:t xml:space="preserve">Blockchain Verification Link 2 (Etherscan):  </w:t>
      </w:r>
      <w:r>
        <w:rPr>
          <w:rFonts w:ascii="Courier New" w:hAnsi="Courier New"/>
          <w:color w:val="006E8A"/>
          <w:sz w:val="17"/>
        </w:rPr>
        <w:t>https://etherscan.io/tx/0xbba3303667d83d97fa2b34bb66567d682c4a7fc24802fe8abf2746ba294d3787</w:t>
      </w:r>
    </w:p>
    <w:p/>
    <w:p>
      <w:pPr>
        <w:spacing w:before="200" w:after="100"/>
        <w:jc w:val="left"/>
        <w:pBdr>
          <w:bottom w:val="single" w:sz="6" w:space="3" w:color="B88600"/>
        </w:pBdr>
      </w:pPr>
      <w:r>
        <w:rPr>
          <w:rFonts w:ascii="Calibri" w:hAnsi="Calibri"/>
          <w:b/>
          <w:i w:val="0"/>
          <w:color w:val="0D275A"/>
          <w:sz w:val="28"/>
        </w:rPr>
        <w:t>ABOUT THE SIG TOKEN</w:t>
      </w:r>
    </w:p>
    <w:p>
      <w:pPr>
        <w:spacing w:before="60" w:after="100"/>
      </w:pPr>
      <w:r>
        <w:rPr>
          <w:rFonts w:ascii="Calibri" w:hAnsi="Calibri"/>
          <w:color w:val="444444"/>
          <w:sz w:val="20"/>
        </w:rPr>
        <w:t>The SIG Token (ticker: SIG) is the proprietary digital asset of AL-SHUMOOKH GROUP, deployed as an ERC-20 smart contract on the Ethereum Mainnet. It serves as the primary settlement and value-transfer instrument within the AL-SHUMOOKH financial ecosystem.</w:t>
      </w:r>
    </w:p>
    <w:tbl>
      <w:tblPr>
        <w:tblW w:type="auto" w:w="0"/>
        <w:jc w:val="center"/>
        <w:tblLook w:firstColumn="1" w:firstRow="1" w:lastColumn="0" w:lastRow="0" w:noHBand="0" w:noVBand="1" w:val="04A0"/>
      </w:tblPr>
      <w:tblGrid>
        <w:gridCol w:w="3135"/>
        <w:gridCol w:w="3135"/>
        <w:gridCol w:w="3135"/>
      </w:tblGrid>
      <w:tr>
        <w:tc>
          <w:tcPr>
            <w:tcW w:type="dxa" w:w="3402"/>
            <w:tcBorders>
              <w:top w:val="none"/>
              <w:bottom w:val="none"/>
              <w:left w:val="none"/>
              <w:right w:val="none"/>
            </w:tcBorders>
            <w:shd w:val="clear" w:color="auto" w:fill="0D275A"/>
          </w:tcPr>
          <w:p>
            <w:pPr>
              <w:spacing w:before="200" w:after="40"/>
              <w:jc w:val="center"/>
            </w:pPr>
            <w:r>
              <w:rPr>
                <w:rFonts w:ascii="Calibri" w:hAnsi="Calibri"/>
                <w:b/>
                <w:color w:val="B88600"/>
                <w:sz w:val="17"/>
              </w:rPr>
              <w:t>Token Standard</w:t>
            </w:r>
          </w:p>
          <w:p>
            <w:pPr>
              <w:spacing w:after="40"/>
              <w:jc w:val="center"/>
            </w:pPr>
            <w:r>
              <w:rPr>
                <w:rFonts w:ascii="Calibri" w:hAnsi="Calibri"/>
                <w:b/>
                <w:color w:val="FFFFFF"/>
                <w:sz w:val="22"/>
              </w:rPr>
              <w:t>ERC-20</w:t>
            </w:r>
          </w:p>
          <w:p>
            <w:pPr>
              <w:spacing w:after="40"/>
              <w:jc w:val="center"/>
            </w:pPr>
            <w:r>
              <w:rPr>
                <w:rFonts w:ascii="Calibri" w:hAnsi="Calibri"/>
                <w:b/>
                <w:color w:val="FFFFFF"/>
                <w:sz w:val="22"/>
              </w:rPr>
              <w:t>Ethereum Mainnet</w:t>
            </w:r>
          </w:p>
          <w:p>
            <w:pPr>
              <w:spacing w:after="200"/>
            </w:pPr>
          </w:p>
        </w:tc>
        <w:tc>
          <w:tcPr>
            <w:tcW w:type="dxa" w:w="3402"/>
            <w:tcBorders>
              <w:top w:val="none"/>
              <w:bottom w:val="none"/>
              <w:left w:val="none"/>
              <w:right w:val="none"/>
            </w:tcBorders>
            <w:shd w:val="clear" w:color="auto" w:fill="0D275A"/>
          </w:tcPr>
          <w:p>
            <w:pPr>
              <w:spacing w:before="200" w:after="40"/>
              <w:jc w:val="center"/>
            </w:pPr>
            <w:r>
              <w:rPr>
                <w:rFonts w:ascii="Calibri" w:hAnsi="Calibri"/>
                <w:b/>
                <w:color w:val="B88600"/>
                <w:sz w:val="17"/>
              </w:rPr>
              <w:t>Pegged Value</w:t>
            </w:r>
          </w:p>
          <w:p>
            <w:pPr>
              <w:spacing w:after="40"/>
              <w:jc w:val="center"/>
            </w:pPr>
            <w:r>
              <w:rPr>
                <w:rFonts w:ascii="Calibri" w:hAnsi="Calibri"/>
                <w:b/>
                <w:color w:val="FFFFFF"/>
                <w:sz w:val="22"/>
              </w:rPr>
              <w:t>USD 1.00</w:t>
            </w:r>
          </w:p>
          <w:p>
            <w:pPr>
              <w:spacing w:after="40"/>
              <w:jc w:val="center"/>
            </w:pPr>
            <w:r>
              <w:rPr>
                <w:rFonts w:ascii="Calibri" w:hAnsi="Calibri"/>
                <w:b/>
                <w:color w:val="FFFFFF"/>
                <w:sz w:val="22"/>
              </w:rPr>
              <w:t>per SIG token</w:t>
            </w:r>
          </w:p>
          <w:p>
            <w:pPr>
              <w:spacing w:after="200"/>
            </w:pPr>
          </w:p>
        </w:tc>
        <w:tc>
          <w:tcPr>
            <w:tcW w:type="dxa" w:w="3402"/>
            <w:tcBorders>
              <w:top w:val="none"/>
              <w:bottom w:val="none"/>
              <w:left w:val="none"/>
              <w:right w:val="none"/>
            </w:tcBorders>
            <w:shd w:val="clear" w:color="auto" w:fill="0D275A"/>
          </w:tcPr>
          <w:p>
            <w:pPr>
              <w:spacing w:before="200" w:after="40"/>
              <w:jc w:val="center"/>
            </w:pPr>
            <w:r>
              <w:rPr>
                <w:rFonts w:ascii="Calibri" w:hAnsi="Calibri"/>
                <w:b/>
                <w:color w:val="B88600"/>
                <w:sz w:val="17"/>
              </w:rPr>
              <w:t>Total Supply</w:t>
              <w:br/>
              <w:t>(Tokenized)</w:t>
            </w:r>
          </w:p>
          <w:p>
            <w:pPr>
              <w:spacing w:after="40"/>
              <w:jc w:val="center"/>
            </w:pPr>
            <w:r>
              <w:rPr>
                <w:rFonts w:ascii="Calibri" w:hAnsi="Calibri"/>
                <w:b/>
                <w:color w:val="FFFFFF"/>
                <w:sz w:val="22"/>
              </w:rPr>
              <w:t>289,175,000.00 SIG</w:t>
            </w:r>
          </w:p>
          <w:p>
            <w:pPr>
              <w:spacing w:after="40"/>
              <w:jc w:val="center"/>
            </w:pPr>
            <w:r>
              <w:rPr>
                <w:rFonts w:ascii="Calibri" w:hAnsi="Calibri"/>
                <w:b/>
                <w:color w:val="FFFFFF"/>
                <w:sz w:val="22"/>
              </w:rPr>
              <w:t>≈ USD 289.175 Million</w:t>
            </w:r>
          </w:p>
          <w:p>
            <w:pPr>
              <w:spacing w:after="200"/>
            </w:pPr>
          </w:p>
        </w:tc>
      </w:tr>
    </w:tbl>
    <w:p/>
    <w:p>
      <w:pPr>
        <w:spacing w:before="60" w:after="100"/>
      </w:pPr>
      <w:r>
        <w:rPr>
          <w:rFonts w:ascii="Calibri" w:hAnsi="Calibri"/>
          <w:color w:val="444444"/>
          <w:sz w:val="20"/>
        </w:rPr>
        <w:t>Once the initial liquidity pool is established on Uniswap V3 (SIG/USDT pair), SIG will have a real market price and holders will be able to swap SIG tokens directly from their wallets to any other supported cryptocurrency or stablecoin at any time, 24/7, without intermediaries.</w:t>
      </w:r>
    </w:p>
    <w:p/>
    <w:p>
      <w:pPr>
        <w:spacing w:before="200" w:after="100"/>
        <w:jc w:val="left"/>
        <w:pBdr>
          <w:bottom w:val="single" w:sz="6" w:space="3" w:color="B88600"/>
        </w:pBdr>
      </w:pPr>
      <w:r>
        <w:rPr>
          <w:rFonts w:ascii="Calibri" w:hAnsi="Calibri"/>
          <w:b/>
          <w:i w:val="0"/>
          <w:color w:val="0D275A"/>
          <w:sz w:val="28"/>
        </w:rPr>
        <w:t>WHY INITIAL LIQUIDITY IS REQUIRED</w:t>
      </w:r>
    </w:p>
    <w:p>
      <w:pPr>
        <w:spacing w:before="60" w:after="100"/>
      </w:pPr>
      <w:r>
        <w:rPr>
          <w:rFonts w:ascii="Calibri" w:hAnsi="Calibri"/>
          <w:color w:val="444444"/>
          <w:sz w:val="20"/>
        </w:rPr>
        <w:t>Although 289,175,000.00 SIG tokens are confirmed on-chain and fully backed by the M1 Fund, a decentralized token requires an initial liquidity pool on a DEX (Decentralized Exchange) to become tradable and to establish a real market price. Without liquidity, the token exists on the blockchain but cannot be bought, sold, or swapped by third parties.</w:t>
      </w:r>
    </w:p>
    <w:p>
      <w:pPr>
        <w:spacing w:before="60" w:after="100"/>
      </w:pPr>
      <w:r>
        <w:rPr>
          <w:rFonts w:ascii="Calibri" w:hAnsi="Calibri"/>
          <w:color w:val="444444"/>
          <w:sz w:val="20"/>
        </w:rPr>
        <w:t>The investment of EUR 210,000 in USDT will be paired with SIG tokens in a Uniswap V3 liquidity pool, creating the SIG/USDT trading pair. This single action will:</w:t>
      </w:r>
    </w:p>
    <w:p>
      <w:pPr>
        <w:spacing w:before="40" w:after="60"/>
        <w:ind w:left="283"/>
      </w:pPr>
      <w:r>
        <w:rPr>
          <w:rFonts w:ascii="Calibri" w:hAnsi="Calibri"/>
          <w:b/>
          <w:color w:val="B88600"/>
          <w:sz w:val="20"/>
        </w:rPr>
        <w:t xml:space="preserve">▸  </w:t>
      </w:r>
      <w:r>
        <w:rPr>
          <w:rFonts w:ascii="Calibri" w:hAnsi="Calibri"/>
          <w:color w:val="444444"/>
          <w:sz w:val="20"/>
        </w:rPr>
        <w:t>Establish a publicly verifiable market price of USD 1.00 per SIG</w:t>
      </w:r>
    </w:p>
    <w:p>
      <w:pPr>
        <w:spacing w:before="40" w:after="60"/>
        <w:ind w:left="283"/>
      </w:pPr>
      <w:r>
        <w:rPr>
          <w:rFonts w:ascii="Calibri" w:hAnsi="Calibri"/>
          <w:b/>
          <w:color w:val="B88600"/>
          <w:sz w:val="20"/>
        </w:rPr>
        <w:t xml:space="preserve">▸  </w:t>
      </w:r>
      <w:r>
        <w:rPr>
          <w:rFonts w:ascii="Calibri" w:hAnsi="Calibri"/>
          <w:color w:val="444444"/>
          <w:sz w:val="20"/>
        </w:rPr>
        <w:t>Enable direct swapping of SIG to USDT, ETH, or any other token on Uniswap</w:t>
      </w:r>
    </w:p>
    <w:p>
      <w:pPr>
        <w:spacing w:before="40" w:after="60"/>
        <w:ind w:left="283"/>
      </w:pPr>
      <w:r>
        <w:rPr>
          <w:rFonts w:ascii="Calibri" w:hAnsi="Calibri"/>
          <w:b/>
          <w:color w:val="B88600"/>
          <w:sz w:val="20"/>
        </w:rPr>
        <w:t xml:space="preserve">▸  </w:t>
      </w:r>
      <w:r>
        <w:rPr>
          <w:rFonts w:ascii="Calibri" w:hAnsi="Calibri"/>
          <w:color w:val="444444"/>
          <w:sz w:val="20"/>
        </w:rPr>
        <w:t>Allow all 289,175,000.00 SIG to be progressively liquidated at market value</w:t>
      </w:r>
    </w:p>
    <w:p>
      <w:pPr>
        <w:spacing w:before="40" w:after="60"/>
        <w:ind w:left="283"/>
      </w:pPr>
      <w:r>
        <w:rPr>
          <w:rFonts w:ascii="Calibri" w:hAnsi="Calibri"/>
          <w:b/>
          <w:color w:val="B88600"/>
          <w:sz w:val="20"/>
        </w:rPr>
        <w:t xml:space="preserve">▸  </w:t>
      </w:r>
      <w:r>
        <w:rPr>
          <w:rFonts w:ascii="Calibri" w:hAnsi="Calibri"/>
          <w:color w:val="444444"/>
          <w:sz w:val="20"/>
        </w:rPr>
        <w:t>Generate trading fees from every transaction in the pool (shared with liquidity providers)</w:t>
      </w:r>
    </w:p>
    <w:p>
      <w:pPr>
        <w:spacing w:before="40" w:after="60"/>
        <w:ind w:left="283"/>
      </w:pPr>
      <w:r>
        <w:rPr>
          <w:rFonts w:ascii="Calibri" w:hAnsi="Calibri"/>
          <w:b/>
          <w:color w:val="B88600"/>
          <w:sz w:val="20"/>
        </w:rPr>
        <w:t xml:space="preserve">▸  </w:t>
      </w:r>
      <w:r>
        <w:rPr>
          <w:rFonts w:ascii="Calibri" w:hAnsi="Calibri"/>
          <w:color w:val="444444"/>
          <w:sz w:val="20"/>
        </w:rPr>
        <w:t>Make SIG eligible for listing on CoinGecko, CoinMarketCap, and other tracking platforms</w:t>
      </w:r>
    </w:p>
    <w:p/>
    <w:p>
      <w:pPr>
        <w:spacing w:before="200" w:after="100"/>
        <w:jc w:val="left"/>
        <w:pBdr>
          <w:bottom w:val="single" w:sz="6" w:space="3" w:color="B88600"/>
        </w:pBdr>
      </w:pPr>
      <w:r>
        <w:rPr>
          <w:rFonts w:ascii="Calibri" w:hAnsi="Calibri"/>
          <w:b/>
          <w:i w:val="0"/>
          <w:color w:val="0D275A"/>
          <w:sz w:val="28"/>
        </w:rPr>
        <w:t>INVESTMENT TERMS &amp; STRUCTURE</w:t>
      </w:r>
    </w:p>
    <w:tbl>
      <w:tblPr>
        <w:tblW w:type="auto" w:w="0"/>
        <w:jc w:val="center"/>
        <w:tblLook w:firstColumn="1" w:firstRow="1" w:lastColumn="0" w:lastRow="0" w:noHBand="0" w:noVBand="1" w:val="04A0"/>
      </w:tblPr>
      <w:tblGrid>
        <w:gridCol w:w="4703"/>
        <w:gridCol w:w="4703"/>
      </w:tblGrid>
      <w:tr>
        <w:tc>
          <w:tcPr>
            <w:tcW w:type="dxa" w:w="2835"/>
            <w:shd w:val="clear" w:color="auto" w:fill="F4F6FA"/>
            <w:tcBorders>
              <w:bottom w:val="single" w:sz="4" w:space="0" w:color="CCCCCC"/>
              <w:top w:val="none"/>
              <w:left w:val="none"/>
              <w:right w:val="none"/>
            </w:tcBorders>
          </w:tcPr>
          <w:p>
            <w:pPr>
              <w:spacing w:before="120" w:after="120"/>
              <w:ind w:left="170"/>
            </w:pPr>
            <w:r>
              <w:rPr>
                <w:rFonts w:ascii="Calibri" w:hAnsi="Calibri"/>
                <w:b/>
                <w:color w:val="0D275A"/>
                <w:sz w:val="18"/>
              </w:rPr>
              <w:t>Investment Amount</w:t>
            </w:r>
          </w:p>
        </w:tc>
        <w:tc>
          <w:tcPr>
            <w:tcW w:type="dxa" w:w="7370"/>
            <w:shd w:val="clear" w:color="auto" w:fill="F4F6FA"/>
            <w:tcBorders>
              <w:bottom w:val="single" w:sz="4" w:space="0" w:color="CCCCCC"/>
              <w:top w:val="none"/>
              <w:left w:val="none"/>
              <w:right w:val="none"/>
            </w:tcBorders>
          </w:tcPr>
          <w:p>
            <w:pPr>
              <w:spacing w:before="120" w:after="120"/>
              <w:ind w:left="170"/>
            </w:pPr>
            <w:r>
              <w:rPr>
                <w:rFonts w:ascii="Calibri" w:hAnsi="Calibri"/>
                <w:b w:val="0"/>
                <w:color w:val="1A1A1A"/>
                <w:sz w:val="18"/>
              </w:rPr>
              <w:t>EUR 210,000.00 (equivalent to USD 243,054.00) payable in USDT (ERC-20 or TRC-20)</w:t>
            </w:r>
          </w:p>
        </w:tc>
      </w:tr>
      <w:tr>
        <w:tc>
          <w:tcPr>
            <w:tcW w:type="dxa" w:w="2835"/>
            <w:shd w:val="clear" w:color="auto" w:fill="FFFFFF"/>
            <w:tcBorders>
              <w:bottom w:val="single" w:sz="4" w:space="0" w:color="CCCCCC"/>
              <w:top w:val="none"/>
              <w:left w:val="none"/>
              <w:right w:val="none"/>
            </w:tcBorders>
          </w:tcPr>
          <w:p>
            <w:pPr>
              <w:spacing w:before="120" w:after="120"/>
              <w:ind w:left="170"/>
            </w:pPr>
            <w:r>
              <w:rPr>
                <w:rFonts w:ascii="Calibri" w:hAnsi="Calibri"/>
                <w:b/>
                <w:color w:val="0D275A"/>
                <w:sz w:val="18"/>
              </w:rPr>
              <w:t>Investment Period</w:t>
            </w:r>
          </w:p>
        </w:tc>
        <w:tc>
          <w:tcPr>
            <w:tcW w:type="dxa" w:w="7370"/>
            <w:shd w:val="clear" w:color="auto" w:fill="FFFFFF"/>
            <w:tcBorders>
              <w:bottom w:val="single" w:sz="4" w:space="0" w:color="CCCCCC"/>
              <w:top w:val="none"/>
              <w:left w:val="none"/>
              <w:right w:val="none"/>
            </w:tcBorders>
          </w:tcPr>
          <w:p>
            <w:pPr>
              <w:spacing w:before="120" w:after="120"/>
              <w:ind w:left="170"/>
            </w:pPr>
            <w:r>
              <w:rPr>
                <w:rFonts w:ascii="Calibri" w:hAnsi="Calibri"/>
                <w:b w:val="0"/>
                <w:color w:val="1A1A1A"/>
                <w:sz w:val="18"/>
              </w:rPr>
              <w:t>15 calendar days from the date of USDT receipt</w:t>
            </w:r>
          </w:p>
        </w:tc>
      </w:tr>
      <w:tr>
        <w:tc>
          <w:tcPr>
            <w:tcW w:type="dxa" w:w="2835"/>
            <w:shd w:val="clear" w:color="auto" w:fill="F4F6FA"/>
            <w:tcBorders>
              <w:bottom w:val="single" w:sz="4" w:space="0" w:color="CCCCCC"/>
              <w:top w:val="none"/>
              <w:left w:val="none"/>
              <w:right w:val="none"/>
            </w:tcBorders>
          </w:tcPr>
          <w:p>
            <w:pPr>
              <w:spacing w:before="120" w:after="120"/>
              <w:ind w:left="170"/>
            </w:pPr>
            <w:r>
              <w:rPr>
                <w:rFonts w:ascii="Calibri" w:hAnsi="Calibri"/>
                <w:b/>
                <w:color w:val="0D275A"/>
                <w:sz w:val="18"/>
              </w:rPr>
              <w:t>Investor Return</w:t>
            </w:r>
          </w:p>
        </w:tc>
        <w:tc>
          <w:tcPr>
            <w:tcW w:type="dxa" w:w="7370"/>
            <w:shd w:val="clear" w:color="auto" w:fill="F4F6FA"/>
            <w:tcBorders>
              <w:bottom w:val="single" w:sz="4" w:space="0" w:color="CCCCCC"/>
              <w:top w:val="none"/>
              <w:left w:val="none"/>
              <w:right w:val="none"/>
            </w:tcBorders>
          </w:tcPr>
          <w:p>
            <w:pPr>
              <w:spacing w:before="120" w:after="120"/>
              <w:ind w:left="170"/>
            </w:pPr>
            <w:r>
              <w:rPr>
                <w:rFonts w:ascii="Calibri" w:hAnsi="Calibri"/>
                <w:b/>
                <w:color w:val="057A3A"/>
                <w:sz w:val="19"/>
              </w:rPr>
              <w:t>5% of total transaction value = USD 14,458,750.00 payable in USDT</w:t>
            </w:r>
          </w:p>
        </w:tc>
      </w:tr>
      <w:tr>
        <w:tc>
          <w:tcPr>
            <w:tcW w:type="dxa" w:w="2835"/>
            <w:shd w:val="clear" w:color="auto" w:fill="FFFFFF"/>
            <w:tcBorders>
              <w:bottom w:val="single" w:sz="4" w:space="0" w:color="CCCCCC"/>
              <w:top w:val="none"/>
              <w:left w:val="none"/>
              <w:right w:val="none"/>
            </w:tcBorders>
          </w:tcPr>
          <w:p>
            <w:pPr>
              <w:spacing w:before="120" w:after="120"/>
              <w:ind w:left="170"/>
            </w:pPr>
            <w:r>
              <w:rPr>
                <w:rFonts w:ascii="Calibri" w:hAnsi="Calibri"/>
                <w:b/>
                <w:color w:val="0D275A"/>
                <w:sz w:val="18"/>
              </w:rPr>
              <w:t>Payment of Return</w:t>
            </w:r>
          </w:p>
        </w:tc>
        <w:tc>
          <w:tcPr>
            <w:tcW w:type="dxa" w:w="7370"/>
            <w:shd w:val="clear" w:color="auto" w:fill="FFFFFF"/>
            <w:tcBorders>
              <w:bottom w:val="single" w:sz="4" w:space="0" w:color="CCCCCC"/>
              <w:top w:val="none"/>
              <w:left w:val="none"/>
              <w:right w:val="none"/>
            </w:tcBorders>
          </w:tcPr>
          <w:p>
            <w:pPr>
              <w:spacing w:before="120" w:after="120"/>
              <w:ind w:left="170"/>
            </w:pPr>
            <w:r>
              <w:rPr>
                <w:rFonts w:ascii="Calibri" w:hAnsi="Calibri"/>
                <w:b w:val="0"/>
                <w:color w:val="1A1A1A"/>
                <w:sz w:val="18"/>
              </w:rPr>
              <w:t>Transferred directly to the investor's designated wallet address within 15 days</w:t>
            </w:r>
          </w:p>
        </w:tc>
      </w:tr>
      <w:tr>
        <w:tc>
          <w:tcPr>
            <w:tcW w:type="dxa" w:w="2835"/>
            <w:shd w:val="clear" w:color="auto" w:fill="F4F6FA"/>
            <w:tcBorders>
              <w:bottom w:val="single" w:sz="4" w:space="0" w:color="CCCCCC"/>
              <w:top w:val="none"/>
              <w:left w:val="none"/>
              <w:right w:val="none"/>
            </w:tcBorders>
          </w:tcPr>
          <w:p>
            <w:pPr>
              <w:spacing w:before="120" w:after="120"/>
              <w:ind w:left="170"/>
            </w:pPr>
            <w:r>
              <w:rPr>
                <w:rFonts w:ascii="Calibri" w:hAnsi="Calibri"/>
                <w:b/>
                <w:color w:val="0D275A"/>
                <w:sz w:val="18"/>
              </w:rPr>
              <w:t>Guarantee</w:t>
            </w:r>
          </w:p>
        </w:tc>
        <w:tc>
          <w:tcPr>
            <w:tcW w:type="dxa" w:w="7370"/>
            <w:shd w:val="clear" w:color="auto" w:fill="F4F6FA"/>
            <w:tcBorders>
              <w:bottom w:val="single" w:sz="4" w:space="0" w:color="CCCCCC"/>
              <w:top w:val="none"/>
              <w:left w:val="none"/>
              <w:right w:val="none"/>
            </w:tcBorders>
          </w:tcPr>
          <w:p>
            <w:pPr>
              <w:spacing w:before="120" w:after="120"/>
              <w:ind w:left="170"/>
            </w:pPr>
            <w:r>
              <w:rPr>
                <w:rFonts w:ascii="Calibri" w:hAnsi="Calibri"/>
                <w:b w:val="0"/>
                <w:color w:val="1A1A1A"/>
                <w:sz w:val="18"/>
              </w:rPr>
              <w:t>Formal Payment Guarantee Letter (PGL) signed and sealed by AL-SHUMOOKH GROUP CEO</w:t>
            </w:r>
          </w:p>
        </w:tc>
      </w:tr>
      <w:tr>
        <w:tc>
          <w:tcPr>
            <w:tcW w:type="dxa" w:w="2835"/>
            <w:shd w:val="clear" w:color="auto" w:fill="FFFFFF"/>
            <w:tcBorders>
              <w:bottom w:val="single" w:sz="4" w:space="0" w:color="CCCCCC"/>
              <w:top w:val="none"/>
              <w:left w:val="none"/>
              <w:right w:val="none"/>
            </w:tcBorders>
          </w:tcPr>
          <w:p>
            <w:pPr>
              <w:spacing w:before="120" w:after="120"/>
              <w:ind w:left="170"/>
            </w:pPr>
            <w:r>
              <w:rPr>
                <w:rFonts w:ascii="Calibri" w:hAnsi="Calibri"/>
                <w:b/>
                <w:color w:val="0D275A"/>
                <w:sz w:val="18"/>
              </w:rPr>
              <w:t>Use of Funds</w:t>
            </w:r>
          </w:p>
        </w:tc>
        <w:tc>
          <w:tcPr>
            <w:tcW w:type="dxa" w:w="7370"/>
            <w:shd w:val="clear" w:color="auto" w:fill="FFFFFF"/>
            <w:tcBorders>
              <w:bottom w:val="single" w:sz="4" w:space="0" w:color="CCCCCC"/>
              <w:top w:val="none"/>
              <w:left w:val="none"/>
              <w:right w:val="none"/>
            </w:tcBorders>
          </w:tcPr>
          <w:p>
            <w:pPr>
              <w:spacing w:before="120" w:after="120"/>
              <w:ind w:left="170"/>
            </w:pPr>
            <w:r>
              <w:rPr>
                <w:rFonts w:ascii="Calibri" w:hAnsi="Calibri"/>
                <w:b w:val="0"/>
                <w:color w:val="1A1A1A"/>
                <w:sz w:val="18"/>
              </w:rPr>
              <w:t>100% allocated to Uniswap V3 SIG/USDT initial liquidity pool</w:t>
            </w:r>
          </w:p>
        </w:tc>
      </w:tr>
      <w:tr>
        <w:tc>
          <w:tcPr>
            <w:tcW w:type="dxa" w:w="2835"/>
            <w:shd w:val="clear" w:color="auto" w:fill="F4F6FA"/>
            <w:tcBorders>
              <w:bottom w:val="single" w:sz="4" w:space="0" w:color="CCCCCC"/>
              <w:top w:val="none"/>
              <w:left w:val="none"/>
              <w:right w:val="none"/>
            </w:tcBorders>
          </w:tcPr>
          <w:p>
            <w:pPr>
              <w:spacing w:before="120" w:after="120"/>
              <w:ind w:left="170"/>
            </w:pPr>
            <w:r>
              <w:rPr>
                <w:rFonts w:ascii="Calibri" w:hAnsi="Calibri"/>
                <w:b/>
                <w:color w:val="0D275A"/>
                <w:sz w:val="18"/>
              </w:rPr>
              <w:t>Investor Benefit</w:t>
            </w:r>
          </w:p>
        </w:tc>
        <w:tc>
          <w:tcPr>
            <w:tcW w:type="dxa" w:w="7370"/>
            <w:shd w:val="clear" w:color="auto" w:fill="F4F6FA"/>
            <w:tcBorders>
              <w:bottom w:val="single" w:sz="4" w:space="0" w:color="CCCCCC"/>
              <w:top w:val="none"/>
              <w:left w:val="none"/>
              <w:right w:val="none"/>
            </w:tcBorders>
          </w:tcPr>
          <w:p>
            <w:pPr>
              <w:spacing w:before="120" w:after="120"/>
              <w:ind w:left="170"/>
            </w:pPr>
            <w:r>
              <w:rPr>
                <w:rFonts w:ascii="Calibri" w:hAnsi="Calibri"/>
                <w:b w:val="0"/>
                <w:color w:val="1A1A1A"/>
                <w:sz w:val="18"/>
              </w:rPr>
              <w:t>Investor holds SIG tokens enabling direct convert/swap to any asset</w:t>
            </w:r>
          </w:p>
        </w:tc>
      </w:tr>
      <w:tr>
        <w:tc>
          <w:tcPr>
            <w:tcW w:type="dxa" w:w="2835"/>
            <w:shd w:val="clear" w:color="auto" w:fill="FFFFFF"/>
            <w:tcBorders>
              <w:bottom w:val="single" w:sz="4" w:space="0" w:color="CCCCCC"/>
              <w:top w:val="none"/>
              <w:left w:val="none"/>
              <w:right w:val="none"/>
            </w:tcBorders>
          </w:tcPr>
          <w:p>
            <w:pPr>
              <w:spacing w:before="120" w:after="120"/>
              <w:ind w:left="170"/>
            </w:pPr>
            <w:r>
              <w:rPr>
                <w:rFonts w:ascii="Calibri" w:hAnsi="Calibri"/>
                <w:b/>
                <w:color w:val="0D275A"/>
                <w:sz w:val="18"/>
              </w:rPr>
              <w:t>Currency</w:t>
            </w:r>
          </w:p>
        </w:tc>
        <w:tc>
          <w:tcPr>
            <w:tcW w:type="dxa" w:w="7370"/>
            <w:shd w:val="clear" w:color="auto" w:fill="FFFFFF"/>
            <w:tcBorders>
              <w:bottom w:val="single" w:sz="4" w:space="0" w:color="CCCCCC"/>
              <w:top w:val="none"/>
              <w:left w:val="none"/>
              <w:right w:val="none"/>
            </w:tcBorders>
          </w:tcPr>
          <w:p>
            <w:pPr>
              <w:spacing w:before="120" w:after="120"/>
              <w:ind w:left="170"/>
            </w:pPr>
            <w:r>
              <w:rPr>
                <w:rFonts w:ascii="Calibri" w:hAnsi="Calibri"/>
                <w:b w:val="0"/>
                <w:color w:val="1A1A1A"/>
                <w:sz w:val="18"/>
              </w:rPr>
              <w:t>USDT (stablecoin) — no exposure to crypto volatility on invested capital</w:t>
            </w:r>
          </w:p>
        </w:tc>
      </w:tr>
    </w:tbl>
    <w:p/>
    <w:tbl>
      <w:tblPr>
        <w:tblW w:type="auto" w:w="0"/>
        <w:jc w:val="center"/>
        <w:tblLook w:firstColumn="1" w:firstRow="1" w:lastColumn="0" w:lastRow="0" w:noHBand="0" w:noVBand="1" w:val="04A0"/>
      </w:tblPr>
      <w:tblGrid>
        <w:gridCol w:w="9406"/>
      </w:tblGrid>
      <w:tr>
        <w:tc>
          <w:tcPr>
            <w:tcW w:type="dxa" w:w="9406"/>
            <w:tcBorders>
              <w:top w:val="none"/>
              <w:bottom w:val="none"/>
              <w:left w:val="none"/>
              <w:right w:val="none"/>
            </w:tcBorders>
            <w:shd w:val="clear" w:color="auto" w:fill="0D275A"/>
          </w:tcPr>
          <w:p>
            <w:pPr>
              <w:spacing w:before="160" w:after="160"/>
              <w:jc w:val="center"/>
            </w:pPr>
            <w:r>
              <w:rPr>
                <w:rFonts w:ascii="Calibri" w:hAnsi="Calibri"/>
                <w:b/>
                <w:color w:val="FFFFFF"/>
                <w:sz w:val="22"/>
              </w:rPr>
              <w:t>INVESTOR RETURN CALCULATION</w:t>
              <w:br/>
              <w:t>5% × USD 289,175,000.00  =  USD 14,458,750.00</w:t>
              <w:br/>
              <w:t>Paid directly in USDT within 15 days</w:t>
            </w:r>
          </w:p>
        </w:tc>
      </w:tr>
    </w:tbl>
    <w:p>
      <w:pPr>
        <w:spacing w:after="80"/>
      </w:pPr>
    </w:p>
    <w:p>
      <w:pPr>
        <w:spacing w:before="200" w:after="100"/>
        <w:jc w:val="left"/>
        <w:pBdr>
          <w:bottom w:val="single" w:sz="6" w:space="3" w:color="B88600"/>
        </w:pBdr>
      </w:pPr>
      <w:r>
        <w:rPr>
          <w:rFonts w:ascii="Calibri" w:hAnsi="Calibri"/>
          <w:b/>
          <w:i w:val="0"/>
          <w:color w:val="0D275A"/>
          <w:sz w:val="28"/>
        </w:rPr>
        <w:t>INVESTOR PROTECTIONS &amp; GUARANTEES</w:t>
      </w:r>
    </w:p>
    <w:p>
      <w:pPr>
        <w:spacing w:before="60" w:after="100"/>
      </w:pPr>
      <w:r>
        <w:rPr>
          <w:rFonts w:ascii="Calibri" w:hAnsi="Calibri"/>
          <w:color w:val="444444"/>
          <w:sz w:val="20"/>
        </w:rPr>
        <w:t>AL-SHUMOOKH GROUP is committed to full transparency and the protection of investor rights. The following guarantees are provided to the investor upon execution of this agreement:</w:t>
      </w:r>
    </w:p>
    <w:p>
      <w:pPr>
        <w:spacing w:before="120" w:after="40"/>
        <w:ind w:left="170"/>
      </w:pPr>
      <w:r>
        <w:rPr>
          <w:rFonts w:ascii="Calibri" w:hAnsi="Calibri"/>
          <w:b/>
          <w:color w:val="0D275A"/>
          <w:sz w:val="20"/>
        </w:rPr>
        <w:t>✦  Payment Guarantee Letter (PGL)</w:t>
      </w:r>
    </w:p>
    <w:p>
      <w:pPr>
        <w:spacing w:before="0" w:after="120"/>
        <w:ind w:left="454"/>
      </w:pPr>
      <w:r>
        <w:rPr>
          <w:rFonts w:ascii="Calibri" w:hAnsi="Calibri"/>
          <w:color w:val="444444"/>
          <w:sz w:val="19"/>
        </w:rPr>
        <w:t>A formal, legally binding PGL will be issued and signed by Mr. Ahmed Mohammed, CEO of AL-SHUMOOKH GROUP, guaranteeing the payment of the 5% return (USD 14,458,750.00) within 15 days of the investment date.</w:t>
      </w:r>
    </w:p>
    <w:p>
      <w:pPr>
        <w:spacing w:before="120" w:after="40"/>
        <w:ind w:left="170"/>
      </w:pPr>
      <w:r>
        <w:rPr>
          <w:rFonts w:ascii="Calibri" w:hAnsi="Calibri"/>
          <w:b/>
          <w:color w:val="0D275A"/>
          <w:sz w:val="20"/>
        </w:rPr>
        <w:t>✦  On-Chain Proof of Asset</w:t>
      </w:r>
    </w:p>
    <w:p>
      <w:pPr>
        <w:spacing w:before="0" w:after="120"/>
        <w:ind w:left="454"/>
      </w:pPr>
      <w:r>
        <w:rPr>
          <w:rFonts w:ascii="Calibri" w:hAnsi="Calibri"/>
          <w:color w:val="444444"/>
          <w:sz w:val="19"/>
        </w:rPr>
        <w:t>The full tokenization of USD 289,175,000 into 289,175,000.00 SIG tokens is publicly verifiable on the Ethereum blockchain. The transaction hash and block confirmation are provided in this document and can be independently verified by any third party at any time.</w:t>
      </w:r>
    </w:p>
    <w:p>
      <w:pPr>
        <w:spacing w:before="120" w:after="40"/>
        <w:ind w:left="170"/>
      </w:pPr>
      <w:r>
        <w:rPr>
          <w:rFonts w:ascii="Calibri" w:hAnsi="Calibri"/>
          <w:b/>
          <w:color w:val="0D275A"/>
          <w:sz w:val="20"/>
        </w:rPr>
        <w:t>✦  SIG Token Allocation</w:t>
      </w:r>
    </w:p>
    <w:p>
      <w:pPr>
        <w:spacing w:before="0" w:after="120"/>
        <w:ind w:left="454"/>
      </w:pPr>
      <w:r>
        <w:rPr>
          <w:rFonts w:ascii="Calibri" w:hAnsi="Calibri"/>
          <w:color w:val="444444"/>
          <w:sz w:val="19"/>
        </w:rPr>
        <w:t>The investor will receive SIG tokens proportional to their contribution, which can be converted or swapped directly from their wallet once the liquidity pool is active.</w:t>
      </w:r>
    </w:p>
    <w:p>
      <w:pPr>
        <w:spacing w:before="120" w:after="40"/>
        <w:ind w:left="170"/>
      </w:pPr>
      <w:r>
        <w:rPr>
          <w:rFonts w:ascii="Calibri" w:hAnsi="Calibri"/>
          <w:b/>
          <w:color w:val="0D275A"/>
          <w:sz w:val="20"/>
        </w:rPr>
        <w:t>✦  Full Transparency</w:t>
      </w:r>
    </w:p>
    <w:p>
      <w:pPr>
        <w:spacing w:before="0" w:after="120"/>
        <w:ind w:left="454"/>
      </w:pPr>
      <w:r>
        <w:rPr>
          <w:rFonts w:ascii="Calibri" w:hAnsi="Calibri"/>
          <w:color w:val="444444"/>
          <w:sz w:val="19"/>
        </w:rPr>
        <w:t>All fund movements, pool creation transactions, and return payments will be executed on-chain and verifiable on Etherscan, ensuring complete auditability.</w:t>
      </w:r>
    </w:p>
    <w:p/>
    <w:p>
      <w:pPr>
        <w:spacing w:before="200" w:after="100"/>
        <w:jc w:val="left"/>
        <w:pBdr>
          <w:bottom w:val="single" w:sz="6" w:space="3" w:color="B88600"/>
        </w:pBdr>
      </w:pPr>
      <w:r>
        <w:rPr>
          <w:rFonts w:ascii="Calibri" w:hAnsi="Calibri"/>
          <w:b/>
          <w:i w:val="0"/>
          <w:color w:val="0D275A"/>
          <w:sz w:val="28"/>
        </w:rPr>
        <w:t>INVESTMENT TIMELINE</w:t>
      </w:r>
    </w:p>
    <w:tbl>
      <w:tblPr>
        <w:tblW w:type="auto" w:w="0"/>
        <w:jc w:val="center"/>
        <w:tblLook w:firstColumn="1" w:firstRow="1" w:lastColumn="0" w:lastRow="0" w:noHBand="0" w:noVBand="1" w:val="04A0"/>
      </w:tblPr>
      <w:tblGrid>
        <w:gridCol w:w="4703"/>
        <w:gridCol w:w="4703"/>
      </w:tblGrid>
      <w:tr>
        <w:tc>
          <w:tcPr>
            <w:tcW w:type="dxa" w:w="1417"/>
            <w:tcBorders>
              <w:top w:val="none"/>
              <w:bottom w:val="none"/>
              <w:left w:val="none"/>
              <w:right w:val="none"/>
            </w:tcBorders>
            <w:shd w:val="clear" w:color="auto" w:fill="B88600"/>
          </w:tcPr>
          <w:p>
            <w:pPr>
              <w:spacing w:before="140" w:after="140"/>
              <w:jc w:val="center"/>
            </w:pPr>
            <w:r>
              <w:rPr>
                <w:rFonts w:ascii="Calibri" w:hAnsi="Calibri"/>
                <w:b/>
                <w:color w:val="0D275A"/>
                <w:sz w:val="18"/>
              </w:rPr>
              <w:t>Day 0</w:t>
            </w:r>
          </w:p>
        </w:tc>
        <w:tc>
          <w:tcPr>
            <w:tcW w:type="dxa" w:w="8787"/>
            <w:tcBorders>
              <w:top w:val="none"/>
              <w:bottom w:val="none"/>
              <w:left w:val="none"/>
              <w:right w:val="none"/>
            </w:tcBorders>
            <w:shd w:val="clear" w:color="auto" w:fill="F4F6FA"/>
          </w:tcPr>
          <w:p>
            <w:pPr>
              <w:spacing w:before="140" w:after="140"/>
              <w:ind w:left="170"/>
            </w:pPr>
            <w:r>
              <w:rPr>
                <w:rFonts w:ascii="Calibri" w:hAnsi="Calibri"/>
                <w:b w:val="0"/>
                <w:color w:val="1A1A1A"/>
                <w:sz w:val="19"/>
              </w:rPr>
              <w:t>Agreement signed + PGL issued. Investor sends EUR 210,000.00  (USD 243,054.00) in USDT.</w:t>
            </w:r>
          </w:p>
        </w:tc>
      </w:tr>
      <w:tr>
        <w:tc>
          <w:tcPr>
            <w:tcW w:type="dxa" w:w="1417"/>
            <w:tcBorders>
              <w:top w:val="none"/>
              <w:bottom w:val="none"/>
              <w:left w:val="none"/>
              <w:right w:val="none"/>
            </w:tcBorders>
            <w:shd w:val="clear" w:color="auto" w:fill="B88600"/>
          </w:tcPr>
          <w:p>
            <w:pPr>
              <w:spacing w:before="140" w:after="140"/>
              <w:jc w:val="center"/>
            </w:pPr>
            <w:r>
              <w:rPr>
                <w:rFonts w:ascii="Calibri" w:hAnsi="Calibri"/>
                <w:b/>
                <w:color w:val="0D275A"/>
                <w:sz w:val="18"/>
              </w:rPr>
              <w:t>Day 0–1</w:t>
            </w:r>
          </w:p>
        </w:tc>
        <w:tc>
          <w:tcPr>
            <w:tcW w:type="dxa" w:w="8787"/>
            <w:tcBorders>
              <w:top w:val="none"/>
              <w:bottom w:val="none"/>
              <w:left w:val="none"/>
              <w:right w:val="none"/>
            </w:tcBorders>
            <w:shd w:val="clear" w:color="auto" w:fill="FFFFFF"/>
          </w:tcPr>
          <w:p>
            <w:pPr>
              <w:spacing w:before="140" w:after="140"/>
              <w:ind w:left="170"/>
            </w:pPr>
            <w:r>
              <w:rPr>
                <w:rFonts w:ascii="Calibri" w:hAnsi="Calibri"/>
                <w:b w:val="0"/>
                <w:color w:val="1A1A1A"/>
                <w:sz w:val="19"/>
              </w:rPr>
              <w:t>AL-SHUMOOKH GROUP creates the SIG/USDT liquidity pool on Uniswap V3.</w:t>
            </w:r>
          </w:p>
        </w:tc>
      </w:tr>
      <w:tr>
        <w:tc>
          <w:tcPr>
            <w:tcW w:type="dxa" w:w="1417"/>
            <w:tcBorders>
              <w:top w:val="none"/>
              <w:bottom w:val="none"/>
              <w:left w:val="none"/>
              <w:right w:val="none"/>
            </w:tcBorders>
            <w:shd w:val="clear" w:color="auto" w:fill="B88600"/>
          </w:tcPr>
          <w:p>
            <w:pPr>
              <w:spacing w:before="140" w:after="140"/>
              <w:jc w:val="center"/>
            </w:pPr>
            <w:r>
              <w:rPr>
                <w:rFonts w:ascii="Calibri" w:hAnsi="Calibri"/>
                <w:b/>
                <w:color w:val="0D275A"/>
                <w:sz w:val="18"/>
              </w:rPr>
              <w:t>Day 1</w:t>
            </w:r>
          </w:p>
        </w:tc>
        <w:tc>
          <w:tcPr>
            <w:tcW w:type="dxa" w:w="8787"/>
            <w:tcBorders>
              <w:top w:val="none"/>
              <w:bottom w:val="none"/>
              <w:left w:val="none"/>
              <w:right w:val="none"/>
            </w:tcBorders>
            <w:shd w:val="clear" w:color="auto" w:fill="F4F6FA"/>
          </w:tcPr>
          <w:p>
            <w:pPr>
              <w:spacing w:before="140" w:after="140"/>
              <w:ind w:left="170"/>
            </w:pPr>
            <w:r>
              <w:rPr>
                <w:rFonts w:ascii="Calibri" w:hAnsi="Calibri"/>
                <w:b w:val="0"/>
                <w:color w:val="1A1A1A"/>
                <w:sz w:val="19"/>
              </w:rPr>
              <w:t>SIG token becomes fully tradable. Price established at USD 1.00/SIG.</w:t>
            </w:r>
          </w:p>
        </w:tc>
      </w:tr>
      <w:tr>
        <w:tc>
          <w:tcPr>
            <w:tcW w:type="dxa" w:w="1417"/>
            <w:tcBorders>
              <w:top w:val="none"/>
              <w:bottom w:val="none"/>
              <w:left w:val="none"/>
              <w:right w:val="none"/>
            </w:tcBorders>
            <w:shd w:val="clear" w:color="auto" w:fill="B88600"/>
          </w:tcPr>
          <w:p>
            <w:pPr>
              <w:spacing w:before="140" w:after="140"/>
              <w:jc w:val="center"/>
            </w:pPr>
            <w:r>
              <w:rPr>
                <w:rFonts w:ascii="Calibri" w:hAnsi="Calibri"/>
                <w:b/>
                <w:color w:val="0D275A"/>
                <w:sz w:val="18"/>
              </w:rPr>
              <w:t>Day 1–15</w:t>
            </w:r>
          </w:p>
        </w:tc>
        <w:tc>
          <w:tcPr>
            <w:tcW w:type="dxa" w:w="8787"/>
            <w:tcBorders>
              <w:top w:val="none"/>
              <w:bottom w:val="none"/>
              <w:left w:val="none"/>
              <w:right w:val="none"/>
            </w:tcBorders>
            <w:shd w:val="clear" w:color="auto" w:fill="FFFFFF"/>
          </w:tcPr>
          <w:p>
            <w:pPr>
              <w:spacing w:before="140" w:after="140"/>
              <w:ind w:left="170"/>
            </w:pPr>
            <w:r>
              <w:rPr>
                <w:rFonts w:ascii="Calibri" w:hAnsi="Calibri"/>
                <w:b w:val="0"/>
                <w:color w:val="1A1A1A"/>
                <w:sz w:val="19"/>
              </w:rPr>
              <w:t>SIG liquidity is active. Investor holds SIG allocation freely convertible.</w:t>
            </w:r>
          </w:p>
        </w:tc>
      </w:tr>
      <w:tr>
        <w:tc>
          <w:tcPr>
            <w:tcW w:type="dxa" w:w="1417"/>
            <w:tcBorders>
              <w:top w:val="none"/>
              <w:bottom w:val="none"/>
              <w:left w:val="none"/>
              <w:right w:val="none"/>
            </w:tcBorders>
            <w:shd w:val="clear" w:color="auto" w:fill="B88600"/>
          </w:tcPr>
          <w:p>
            <w:pPr>
              <w:spacing w:before="140" w:after="140"/>
              <w:jc w:val="center"/>
            </w:pPr>
            <w:r>
              <w:rPr>
                <w:rFonts w:ascii="Calibri" w:hAnsi="Calibri"/>
                <w:b/>
                <w:color w:val="0D275A"/>
                <w:sz w:val="18"/>
              </w:rPr>
              <w:t>Day 15</w:t>
            </w:r>
          </w:p>
        </w:tc>
        <w:tc>
          <w:tcPr>
            <w:tcW w:type="dxa" w:w="8787"/>
            <w:tcBorders>
              <w:top w:val="none"/>
              <w:bottom w:val="none"/>
              <w:left w:val="none"/>
              <w:right w:val="none"/>
            </w:tcBorders>
            <w:shd w:val="clear" w:color="auto" w:fill="F4F6FA"/>
          </w:tcPr>
          <w:p>
            <w:pPr>
              <w:spacing w:before="140" w:after="140"/>
              <w:ind w:left="170"/>
            </w:pPr>
            <w:r>
              <w:rPr>
                <w:rFonts w:ascii="Calibri" w:hAnsi="Calibri"/>
                <w:b/>
                <w:color w:val="057A3A"/>
                <w:sz w:val="19"/>
              </w:rPr>
              <w:t>AL-SHUMOOKH GROUP transfers USD 14,458,750.00 USDT to investor's wallet.</w:t>
            </w:r>
          </w:p>
        </w:tc>
      </w:tr>
    </w:tbl>
    <w:p/>
    <w:p>
      <w:pPr>
        <w:spacing w:before="200" w:after="100"/>
        <w:jc w:val="left"/>
        <w:pBdr>
          <w:bottom w:val="single" w:sz="6" w:space="3" w:color="B88600"/>
        </w:pBdr>
      </w:pPr>
      <w:r>
        <w:rPr>
          <w:rFonts w:ascii="Calibri" w:hAnsi="Calibri"/>
          <w:b/>
          <w:i w:val="0"/>
          <w:color w:val="0D275A"/>
          <w:sz w:val="28"/>
        </w:rPr>
        <w:t>NEXT STEPS TO PROCEED</w:t>
      </w:r>
    </w:p>
    <w:p>
      <w:pPr>
        <w:spacing w:before="60" w:after="60"/>
        <w:ind w:left="170"/>
      </w:pPr>
      <w:r>
        <w:rPr>
          <w:rFonts w:ascii="Calibri" w:hAnsi="Calibri"/>
          <w:b/>
          <w:color w:val="B88600"/>
          <w:sz w:val="22"/>
        </w:rPr>
        <w:t xml:space="preserve">  1.  </w:t>
      </w:r>
      <w:r>
        <w:rPr>
          <w:rFonts w:ascii="Calibri" w:hAnsi="Calibri"/>
          <w:color w:val="444444"/>
          <w:sz w:val="20"/>
        </w:rPr>
        <w:t>Investor reviews and acknowledges this proposal</w:t>
      </w:r>
    </w:p>
    <w:p>
      <w:pPr>
        <w:spacing w:before="60" w:after="60"/>
        <w:ind w:left="170"/>
      </w:pPr>
      <w:r>
        <w:rPr>
          <w:rFonts w:ascii="Calibri" w:hAnsi="Calibri"/>
          <w:b/>
          <w:color w:val="B88600"/>
          <w:sz w:val="22"/>
        </w:rPr>
        <w:t xml:space="preserve">  2.  </w:t>
      </w:r>
      <w:r>
        <w:rPr>
          <w:rFonts w:ascii="Calibri" w:hAnsi="Calibri"/>
          <w:color w:val="444444"/>
          <w:sz w:val="20"/>
        </w:rPr>
        <w:t>AL-SHUMOOKH GROUP prepares and signs the Payment Guarantee Letter (PGL)</w:t>
      </w:r>
    </w:p>
    <w:p>
      <w:pPr>
        <w:spacing w:before="60" w:after="60"/>
        <w:ind w:left="170"/>
      </w:pPr>
      <w:r>
        <w:rPr>
          <w:rFonts w:ascii="Calibri" w:hAnsi="Calibri"/>
          <w:b/>
          <w:color w:val="B88600"/>
          <w:sz w:val="22"/>
        </w:rPr>
        <w:t xml:space="preserve">  3.  </w:t>
      </w:r>
      <w:r>
        <w:rPr>
          <w:rFonts w:ascii="Calibri" w:hAnsi="Calibri"/>
          <w:color w:val="444444"/>
          <w:sz w:val="20"/>
        </w:rPr>
        <w:t>Both parties sign the Investment Agreement</w:t>
      </w:r>
    </w:p>
    <w:p>
      <w:pPr>
        <w:spacing w:before="60" w:after="60"/>
        <w:ind w:left="170"/>
      </w:pPr>
      <w:r>
        <w:rPr>
          <w:rFonts w:ascii="Calibri" w:hAnsi="Calibri"/>
          <w:b/>
          <w:color w:val="B88600"/>
          <w:sz w:val="22"/>
        </w:rPr>
        <w:t xml:space="preserve">  4.  </w:t>
      </w:r>
      <w:r>
        <w:rPr>
          <w:rFonts w:ascii="Calibri" w:hAnsi="Calibri"/>
          <w:color w:val="444444"/>
          <w:sz w:val="20"/>
        </w:rPr>
        <w:t>Investor transfers EUR 210,000.00  (USD 243,054.00) in USDT to the designated AL-SHUMOOKH wallet</w:t>
      </w:r>
    </w:p>
    <w:p>
      <w:pPr>
        <w:spacing w:before="60" w:after="60"/>
        <w:ind w:left="170"/>
      </w:pPr>
      <w:r>
        <w:rPr>
          <w:rFonts w:ascii="Calibri" w:hAnsi="Calibri"/>
          <w:b/>
          <w:color w:val="B88600"/>
          <w:sz w:val="22"/>
        </w:rPr>
        <w:t xml:space="preserve">  5.  </w:t>
      </w:r>
      <w:r>
        <w:rPr>
          <w:rFonts w:ascii="Calibri" w:hAnsi="Calibri"/>
          <w:color w:val="444444"/>
          <w:sz w:val="20"/>
        </w:rPr>
        <w:t>AL-SHUMOOKH GROUP creates the Uniswap V3 SIG/USDT liquidity pool on Day 0</w:t>
      </w:r>
    </w:p>
    <w:p>
      <w:pPr>
        <w:spacing w:before="60" w:after="60"/>
        <w:ind w:left="170"/>
      </w:pPr>
      <w:r>
        <w:rPr>
          <w:rFonts w:ascii="Calibri" w:hAnsi="Calibri"/>
          <w:b/>
          <w:color w:val="B88600"/>
          <w:sz w:val="22"/>
        </w:rPr>
        <w:t xml:space="preserve">  6.  </w:t>
      </w:r>
      <w:r>
        <w:rPr>
          <w:rFonts w:ascii="Calibri" w:hAnsi="Calibri"/>
          <w:color w:val="444444"/>
          <w:sz w:val="20"/>
        </w:rPr>
        <w:t>Investor return of USD 14,458,750.00 USDT transferred on Day 15</w:t>
      </w:r>
    </w:p>
    <w:p/>
    <w:p>
      <w:pPr>
        <w:spacing w:before="200" w:after="100"/>
        <w:jc w:val="left"/>
        <w:pBdr>
          <w:bottom w:val="single" w:sz="6" w:space="3" w:color="B88600"/>
        </w:pBdr>
      </w:pPr>
      <w:r>
        <w:rPr>
          <w:rFonts w:ascii="Calibri" w:hAnsi="Calibri"/>
          <w:b/>
          <w:i w:val="0"/>
          <w:color w:val="0D275A"/>
          <w:sz w:val="28"/>
        </w:rPr>
        <w:t>AUTHORIZATION &amp; CONTACT</w:t>
      </w:r>
    </w:p>
    <w:tbl>
      <w:tblPr>
        <w:tblW w:type="auto" w:w="0"/>
        <w:jc w:val="center"/>
        <w:tblLook w:firstColumn="1" w:firstRow="1" w:lastColumn="0" w:lastRow="0" w:noHBand="0" w:noVBand="1" w:val="04A0"/>
      </w:tblPr>
      <w:tblGrid>
        <w:gridCol w:w="4703"/>
        <w:gridCol w:w="4703"/>
      </w:tblGrid>
      <w:tr>
        <w:tc>
          <w:tcPr>
            <w:tcW w:type="dxa" w:w="5102"/>
            <w:tcBorders>
              <w:top w:val="none"/>
              <w:bottom w:val="none"/>
              <w:left w:val="none"/>
              <w:right w:val="none"/>
            </w:tcBorders>
            <w:shd w:val="clear" w:color="auto" w:fill="F4F6FA"/>
          </w:tcPr>
          <w:p>
            <w:pPr>
              <w:spacing w:before="120" w:after="60"/>
              <w:ind w:left="227"/>
            </w:pPr>
            <w:r>
              <w:rPr>
                <w:rFonts w:ascii="Calibri" w:hAnsi="Calibri"/>
                <w:b/>
                <w:color w:val="0D275A"/>
                <w:sz w:val="18"/>
              </w:rPr>
              <w:t>ISSUED BY</w:t>
            </w:r>
          </w:p>
          <w:p>
            <w:pPr>
              <w:spacing w:before="60" w:after="60"/>
              <w:ind w:left="227"/>
            </w:pPr>
            <w:r>
              <w:rPr>
                <w:rFonts w:ascii="Calibri" w:hAnsi="Calibri"/>
                <w:b/>
                <w:color w:val="0D275A"/>
                <w:sz w:val="22"/>
              </w:rPr>
              <w:t>AL-SHUMOOKH GROUP</w:t>
            </w:r>
          </w:p>
          <w:p>
            <w:pPr>
              <w:spacing w:before="60" w:after="60"/>
              <w:ind w:left="227"/>
            </w:pPr>
            <w:r>
              <w:rPr>
                <w:rFonts w:ascii="Calibri" w:hAnsi="Calibri"/>
                <w:b w:val="0"/>
                <w:color w:val="1A1A1A"/>
                <w:sz w:val="20"/>
              </w:rPr>
              <w:t>Mr. Ahmed Mohammed</w:t>
            </w:r>
          </w:p>
          <w:p>
            <w:pPr>
              <w:spacing w:before="60" w:after="60"/>
              <w:ind w:left="227"/>
            </w:pPr>
            <w:r>
              <w:rPr>
                <w:rFonts w:ascii="Calibri" w:hAnsi="Calibri"/>
                <w:b w:val="0"/>
                <w:color w:val="444444"/>
                <w:sz w:val="18"/>
              </w:rPr>
              <w:t>Chief Executive Officer (CEO)</w:t>
            </w:r>
          </w:p>
          <w:p>
            <w:pPr>
              <w:spacing w:before="60" w:after="60"/>
              <w:ind w:left="227"/>
            </w:pPr>
            <w:r>
              <w:rPr>
                <w:rFonts w:ascii="Calibri" w:hAnsi="Calibri"/>
                <w:b w:val="0"/>
                <w:color w:val="444444"/>
                <w:sz w:val="18"/>
              </w:rPr>
              <w:t>Date: June 14, 2026</w:t>
            </w:r>
          </w:p>
          <w:p>
            <w:pPr>
              <w:spacing w:before="60" w:after="60"/>
              <w:ind w:left="227"/>
            </w:pPr>
            <w:r>
              <w:rPr>
                <w:rFonts w:ascii="Calibri" w:hAnsi="Calibri"/>
                <w:b w:val="0"/>
                <w:color w:val="444444"/>
                <w:sz w:val="18"/>
              </w:rPr>
            </w:r>
          </w:p>
          <w:p>
            <w:pPr>
              <w:spacing w:before="60" w:after="60"/>
              <w:ind w:left="227"/>
            </w:pPr>
            <w:r>
              <w:rPr>
                <w:rFonts w:ascii="Calibri" w:hAnsi="Calibri"/>
                <w:b w:val="0"/>
                <w:color w:val="0D275A"/>
                <w:sz w:val="20"/>
              </w:rPr>
              <w:t>______________________________________</w:t>
            </w:r>
          </w:p>
          <w:p>
            <w:pPr>
              <w:spacing w:before="60" w:after="60"/>
              <w:ind w:left="227"/>
            </w:pPr>
            <w:r>
              <w:rPr>
                <w:rFonts w:ascii="Calibri" w:hAnsi="Calibri"/>
                <w:b/>
                <w:color w:val="444444"/>
                <w:sz w:val="16"/>
              </w:rPr>
              <w:t>Signature &amp; Seal</w:t>
            </w:r>
          </w:p>
          <w:p>
            <w:pPr>
              <w:spacing w:after="160"/>
            </w:pPr>
          </w:p>
        </w:tc>
        <w:tc>
          <w:tcPr>
            <w:tcW w:type="dxa" w:w="5102"/>
            <w:tcBorders>
              <w:top w:val="none"/>
              <w:bottom w:val="none"/>
              <w:left w:val="none"/>
              <w:right w:val="none"/>
            </w:tcBorders>
            <w:shd w:val="clear" w:color="auto" w:fill="FFFFFF"/>
          </w:tcPr>
          <w:p>
            <w:pPr>
              <w:spacing w:before="120" w:after="60"/>
              <w:ind w:left="227"/>
            </w:pPr>
            <w:r>
              <w:rPr>
                <w:rFonts w:ascii="Calibri" w:hAnsi="Calibri"/>
                <w:b/>
                <w:color w:val="0D275A"/>
                <w:sz w:val="18"/>
              </w:rPr>
              <w:t>ACKNOWLEDGED BY</w:t>
            </w:r>
          </w:p>
          <w:p>
            <w:pPr>
              <w:spacing w:before="60" w:after="60"/>
              <w:ind w:left="227"/>
            </w:pPr>
            <w:r>
              <w:rPr>
                <w:rFonts w:ascii="Calibri" w:hAnsi="Calibri"/>
                <w:b/>
                <w:color w:val="0D275A"/>
                <w:sz w:val="22"/>
              </w:rPr>
              <w:t>INVESTOR</w:t>
            </w:r>
          </w:p>
          <w:p>
            <w:pPr>
              <w:spacing w:before="60" w:after="60"/>
              <w:ind w:left="227"/>
            </w:pPr>
            <w:r>
              <w:rPr>
                <w:rFonts w:ascii="Calibri" w:hAnsi="Calibri"/>
                <w:b w:val="0"/>
                <w:color w:val="444444"/>
                <w:sz w:val="18"/>
              </w:rPr>
              <w:t>Full Name: ___________________</w:t>
            </w:r>
          </w:p>
          <w:p>
            <w:pPr>
              <w:spacing w:before="60" w:after="60"/>
              <w:ind w:left="227"/>
            </w:pPr>
            <w:r>
              <w:rPr>
                <w:rFonts w:ascii="Calibri" w:hAnsi="Calibri"/>
                <w:b w:val="0"/>
                <w:color w:val="444444"/>
                <w:sz w:val="18"/>
              </w:rPr>
              <w:t>Company: ____________________</w:t>
            </w:r>
          </w:p>
          <w:p>
            <w:pPr>
              <w:spacing w:before="60" w:after="60"/>
              <w:ind w:left="227"/>
            </w:pPr>
            <w:r>
              <w:rPr>
                <w:rFonts w:ascii="Calibri" w:hAnsi="Calibri"/>
                <w:b w:val="0"/>
                <w:color w:val="444444"/>
                <w:sz w:val="18"/>
              </w:rPr>
              <w:t>Date: _______________________</w:t>
            </w:r>
          </w:p>
          <w:p>
            <w:pPr>
              <w:spacing w:before="60" w:after="60"/>
              <w:ind w:left="227"/>
            </w:pPr>
            <w:r>
              <w:rPr>
                <w:rFonts w:ascii="Calibri" w:hAnsi="Calibri"/>
                <w:b w:val="0"/>
                <w:color w:val="444444"/>
                <w:sz w:val="18"/>
              </w:rPr>
              <w:t>Wallet Address:</w:t>
            </w:r>
          </w:p>
          <w:p>
            <w:pPr>
              <w:spacing w:before="60" w:after="60"/>
              <w:ind w:left="227"/>
            </w:pPr>
            <w:r>
              <w:rPr>
                <w:rFonts w:ascii="Calibri" w:hAnsi="Calibri"/>
                <w:b w:val="0"/>
                <w:color w:val="0D275A"/>
                <w:sz w:val="20"/>
              </w:rPr>
              <w:t>______________________________________</w:t>
            </w:r>
          </w:p>
          <w:p>
            <w:pPr>
              <w:spacing w:before="60" w:after="60"/>
              <w:ind w:left="227"/>
            </w:pPr>
            <w:r>
              <w:rPr>
                <w:rFonts w:ascii="Calibri" w:hAnsi="Calibri"/>
                <w:b/>
                <w:color w:val="444444"/>
                <w:sz w:val="16"/>
              </w:rPr>
              <w:t>Signature</w:t>
            </w:r>
          </w:p>
          <w:p>
            <w:pPr>
              <w:spacing w:after="160"/>
            </w:pPr>
          </w:p>
        </w:tc>
      </w:tr>
    </w:tbl>
    <w:p/>
    <w:p>
      <w:pPr>
        <w:spacing w:before="200"/>
        <w:jc w:val="center"/>
      </w:pPr>
      <w:r>
        <w:rPr>
          <w:rFonts w:ascii="Calibri" w:hAnsi="Calibri"/>
          <w:i/>
          <w:color w:val="999999"/>
          <w:sz w:val="16"/>
        </w:rPr>
        <w:t>This document is strictly confidential and intended solely for the named recipient. All figures are based on verified on-chain data. AL-SHUMOOKH GROUP · Dubai, UAE  ·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