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C9A227"/>
          <w:sz w:val="36"/>
        </w:rPr>
        <w:t>ALSHUMOOKH GLOBAL</w:t>
      </w:r>
    </w:p>
    <w:p>
      <w:pPr>
        <w:spacing w:after="40"/>
        <w:jc w:val="center"/>
      </w:pPr>
      <w:r>
        <w:rPr>
          <w:color w:val="555555"/>
          <w:sz w:val="20"/>
        </w:rPr>
        <w:t>Banking Finance &amp; Credit  ·  License No. 887065  ·  BIC: ALSHAEADXXX</w:t>
      </w:r>
    </w:p>
    <w:p>
      <w:pPr>
        <w:spacing w:before="0" w:after="80"/>
        <w:pBdr>
          <w:bottom w:val="single" w:sz="12" w:color="C9A227"/>
        </w:pBdr>
      </w:pPr>
    </w:p>
    <w:p>
      <w:pPr>
        <w:spacing w:after="80"/>
      </w:pPr>
    </w:p>
    <w:p>
      <w:pPr>
        <w:spacing w:after="0"/>
        <w:jc w:val="right"/>
      </w:pPr>
      <w:r>
        <w:rPr>
          <w:color w:val="555555"/>
          <w:sz w:val="20"/>
        </w:rPr>
        <w:t>Dubai, UAE  —  16 July 2026</w:t>
      </w:r>
    </w:p>
    <w:p>
      <w:pPr>
        <w:spacing w:after="200"/>
        <w:jc w:val="right"/>
      </w:pPr>
      <w:r>
        <w:rPr>
          <w:color w:val="555555"/>
          <w:sz w:val="20"/>
        </w:rPr>
        <w:t>Our Ref: ALSH-RESPONSE-DCB-20260716</w:t>
      </w:r>
    </w:p>
    <w:p>
      <w:pPr>
        <w:spacing w:after="20"/>
      </w:pPr>
      <w:r>
        <w:rPr>
          <w:color w:val="0A1628"/>
          <w:sz w:val="22"/>
        </w:rPr>
        <w:t>Digital Commercial Bank Ltd. (DCB Bank)</w:t>
      </w:r>
    </w:p>
    <w:p>
      <w:pPr>
        <w:spacing w:after="20"/>
      </w:pPr>
      <w:r>
        <w:rPr>
          <w:color w:val="0A1628"/>
          <w:sz w:val="22"/>
        </w:rPr>
        <w:t>Treasury &amp; Correspondent Banking Division</w:t>
      </w:r>
    </w:p>
    <w:p>
      <w:pPr>
        <w:spacing w:after="20"/>
      </w:pPr>
      <w:r>
        <w:rPr>
          <w:color w:val="0A1628"/>
          <w:sz w:val="22"/>
        </w:rPr>
        <w:t>LEI: 254900KLR17QIS1G6I63</w:t>
      </w:r>
    </w:p>
    <w:p>
      <w:pPr>
        <w:spacing w:after="120"/>
      </w:pPr>
    </w:p>
    <w:tbl>
      <w:tblPr>
        <w:tblStyle w:val="TableGrid"/>
        <w:tblW w:type="auto" w:w="0"/>
        <w:tblLook w:firstColumn="1" w:firstRow="1" w:lastColumn="0" w:lastRow="0" w:noHBand="0" w:noVBand="1" w:val="04A0"/>
      </w:tblPr>
      <w:tblGrid>
        <w:gridCol w:w="8496"/>
      </w:tblGrid>
      <w:tr>
        <w:tc>
          <w:tcPr>
            <w:tcW w:type="dxa" w:w="9216"/>
            <w:shd w:val="clear" w:color="auto" w:fill="FFF8E7"/>
          </w:tcPr>
          <w:p>
            <w:r>
              <w:rPr>
                <w:b/>
                <w:color w:val="0A1628"/>
                <w:sz w:val="24"/>
              </w:rPr>
              <w:t>SUBJECT: Acknowledgment of ISO 20022 Integration Test &amp; Settlement Confirmation</w:t>
            </w:r>
          </w:p>
          <w:p>
            <w:r>
              <w:rPr>
                <w:color w:val="555555"/>
                <w:sz w:val="19"/>
              </w:rPr>
              <w:t>Transaction Reference: ALSH-MRNMKJPX-7BF22A19  |  Message ID: ALSH93CFA1DE31F44BA3</w:t>
            </w:r>
          </w:p>
        </w:tc>
      </w:tr>
    </w:tbl>
    <w:p>
      <w:pPr>
        <w:spacing w:after="120"/>
      </w:pPr>
    </w:p>
    <w:p>
      <w:pPr>
        <w:spacing w:before="0" w:after="160"/>
        <w:jc w:val="left"/>
      </w:pPr>
      <w:r>
        <w:rPr>
          <w:b w:val="0"/>
          <w:color w:val="0A1628"/>
          <w:sz w:val="22"/>
        </w:rPr>
        <w:t>Dear Treasury &amp; Correspondent Banking Team,</w:t>
      </w:r>
    </w:p>
    <w:p>
      <w:pPr>
        <w:spacing w:before="0" w:after="160"/>
        <w:jc w:val="left"/>
      </w:pPr>
      <w:r>
        <w:rPr>
          <w:b w:val="0"/>
          <w:color w:val="0A1628"/>
          <w:sz w:val="22"/>
        </w:rPr>
        <w:t>We write to formally acknowledge receipt of your ISO 20022 settlement package dated 16 July 2026, and to confirm the successful integration test conducted between Digital Commercial Bank Ltd. (DCB Bank) and Alshumookh Global Banking Finance &amp; Credit.</w:t>
      </w:r>
    </w:p>
    <w:p/>
    <w:p>
      <w:pPr>
        <w:spacing w:before="80" w:after="40"/>
      </w:pPr>
      <w:r>
        <w:rPr>
          <w:b/>
          <w:color w:val="C9A227"/>
          <w:sz w:val="26"/>
        </w:rPr>
        <w:t>1.  Transaction Confirmation</w:t>
      </w:r>
    </w:p>
    <w:p>
      <w:pPr>
        <w:spacing w:before="0" w:after="80"/>
        <w:pBdr>
          <w:bottom w:val="single" w:sz="12" w:color="C9A227"/>
        </w:pBdr>
      </w:pPr>
    </w:p>
    <w:p>
      <w:pPr>
        <w:spacing w:after="40"/>
      </w:pPr>
    </w:p>
    <w:p>
      <w:pPr>
        <w:spacing w:before="0" w:after="120"/>
        <w:jc w:val="left"/>
      </w:pPr>
      <w:r>
        <w:rPr>
          <w:b w:val="0"/>
          <w:color w:val="0A1628"/>
          <w:sz w:val="22"/>
        </w:rPr>
        <w:t>Our systems have successfully received, parsed, and recorded the following transaction:</w:t>
      </w:r>
    </w:p>
    <w:tbl>
      <w:tblPr>
        <w:tblStyle w:val="TableGrid"/>
        <w:tblW w:type="auto" w:w="0"/>
        <w:jc w:val="left"/>
        <w:tblLook w:firstColumn="1" w:firstRow="1" w:lastColumn="0" w:lastRow="0" w:noHBand="0" w:noVBand="1" w:val="04A0"/>
      </w:tblPr>
      <w:tblGrid>
        <w:gridCol w:w="3168"/>
        <w:gridCol w:w="6048"/>
      </w:tblGrid>
      <w:tr>
        <w:tc>
          <w:tcPr>
            <w:tcW w:type="dxa" w:w="4248"/>
            <w:shd w:val="clear" w:color="auto" w:fill="F5F7FA"/>
          </w:tcPr>
          <w:p>
            <w:r>
              <w:rPr>
                <w:b/>
                <w:color w:val="555555"/>
                <w:sz w:val="20"/>
              </w:rPr>
              <w:t>Message ID</w:t>
            </w:r>
          </w:p>
        </w:tc>
        <w:tc>
          <w:tcPr>
            <w:tcW w:type="dxa" w:w="4248"/>
            <w:shd w:val="clear" w:color="auto" w:fill="F5F7FA"/>
          </w:tcPr>
          <w:p>
            <w:r>
              <w:rPr>
                <w:color w:val="0A1628"/>
                <w:sz w:val="20"/>
              </w:rPr>
              <w:t>ALSH93CFA1DE31F44BA3</w:t>
            </w:r>
          </w:p>
        </w:tc>
      </w:tr>
      <w:tr>
        <w:tc>
          <w:tcPr>
            <w:tcW w:type="dxa" w:w="4248"/>
            <w:shd w:val="clear" w:color="auto" w:fill="FFFFFF"/>
          </w:tcPr>
          <w:p>
            <w:r>
              <w:rPr>
                <w:b/>
                <w:color w:val="555555"/>
                <w:sz w:val="20"/>
              </w:rPr>
              <w:t>Transaction ID</w:t>
            </w:r>
          </w:p>
        </w:tc>
        <w:tc>
          <w:tcPr>
            <w:tcW w:type="dxa" w:w="4248"/>
            <w:shd w:val="clear" w:color="auto" w:fill="FFFFFF"/>
          </w:tcPr>
          <w:p>
            <w:r>
              <w:rPr>
                <w:color w:val="0A1628"/>
                <w:sz w:val="20"/>
              </w:rPr>
              <w:t>93cfa1de-31f4-4ba3-9151-f204361ca1c3</w:t>
            </w:r>
          </w:p>
        </w:tc>
      </w:tr>
      <w:tr>
        <w:tc>
          <w:tcPr>
            <w:tcW w:type="dxa" w:w="4248"/>
            <w:shd w:val="clear" w:color="auto" w:fill="F5F7FA"/>
          </w:tcPr>
          <w:p>
            <w:r>
              <w:rPr>
                <w:b/>
                <w:color w:val="555555"/>
                <w:sz w:val="20"/>
              </w:rPr>
              <w:t>End-to-End Reference</w:t>
            </w:r>
          </w:p>
        </w:tc>
        <w:tc>
          <w:tcPr>
            <w:tcW w:type="dxa" w:w="4248"/>
            <w:shd w:val="clear" w:color="auto" w:fill="F5F7FA"/>
          </w:tcPr>
          <w:p>
            <w:r>
              <w:rPr>
                <w:color w:val="0A1628"/>
                <w:sz w:val="20"/>
              </w:rPr>
              <w:t>ALSH-MRNMKJPX-7BF22A19</w:t>
            </w:r>
          </w:p>
        </w:tc>
      </w:tr>
      <w:tr>
        <w:tc>
          <w:tcPr>
            <w:tcW w:type="dxa" w:w="4248"/>
            <w:shd w:val="clear" w:color="auto" w:fill="FFFFFF"/>
          </w:tcPr>
          <w:p>
            <w:r>
              <w:rPr>
                <w:b/>
                <w:color w:val="555555"/>
                <w:sz w:val="20"/>
              </w:rPr>
              <w:t>Amount</w:t>
            </w:r>
          </w:p>
        </w:tc>
        <w:tc>
          <w:tcPr>
            <w:tcW w:type="dxa" w:w="4248"/>
            <w:shd w:val="clear" w:color="auto" w:fill="FFFFFF"/>
          </w:tcPr>
          <w:p>
            <w:r>
              <w:rPr>
                <w:color w:val="0A1628"/>
                <w:sz w:val="20"/>
              </w:rPr>
              <w:t>EUR 102.00</w:t>
            </w:r>
          </w:p>
        </w:tc>
      </w:tr>
      <w:tr>
        <w:tc>
          <w:tcPr>
            <w:tcW w:type="dxa" w:w="4248"/>
            <w:shd w:val="clear" w:color="auto" w:fill="F5F7FA"/>
          </w:tcPr>
          <w:p>
            <w:r>
              <w:rPr>
                <w:b/>
                <w:color w:val="555555"/>
                <w:sz w:val="20"/>
              </w:rPr>
              <w:t>Settlement Method</w:t>
            </w:r>
          </w:p>
        </w:tc>
        <w:tc>
          <w:tcPr>
            <w:tcW w:type="dxa" w:w="4248"/>
            <w:shd w:val="clear" w:color="auto" w:fill="F5F7FA"/>
          </w:tcPr>
          <w:p>
            <w:r>
              <w:rPr>
                <w:color w:val="0A1628"/>
                <w:sz w:val="20"/>
              </w:rPr>
              <w:t>INDA (Indirect Account)</w:t>
            </w:r>
          </w:p>
        </w:tc>
      </w:tr>
      <w:tr>
        <w:tc>
          <w:tcPr>
            <w:tcW w:type="dxa" w:w="4248"/>
            <w:shd w:val="clear" w:color="auto" w:fill="FFFFFF"/>
          </w:tcPr>
          <w:p>
            <w:r>
              <w:rPr>
                <w:b/>
                <w:color w:val="555555"/>
                <w:sz w:val="20"/>
              </w:rPr>
              <w:t>Debtor Institution</w:t>
            </w:r>
          </w:p>
        </w:tc>
        <w:tc>
          <w:tcPr>
            <w:tcW w:type="dxa" w:w="4248"/>
            <w:shd w:val="clear" w:color="auto" w:fill="FFFFFF"/>
          </w:tcPr>
          <w:p>
            <w:r>
              <w:rPr>
                <w:color w:val="0A1628"/>
                <w:sz w:val="20"/>
              </w:rPr>
              <w:t>Citibank N.A. (CBSWCHZZXXX)</w:t>
            </w:r>
          </w:p>
        </w:tc>
      </w:tr>
      <w:tr>
        <w:tc>
          <w:tcPr>
            <w:tcW w:type="dxa" w:w="4248"/>
            <w:shd w:val="clear" w:color="auto" w:fill="F5F7FA"/>
          </w:tcPr>
          <w:p>
            <w:r>
              <w:rPr>
                <w:b/>
                <w:color w:val="555555"/>
                <w:sz w:val="20"/>
              </w:rPr>
              <w:t>Creditor Institution</w:t>
            </w:r>
          </w:p>
        </w:tc>
        <w:tc>
          <w:tcPr>
            <w:tcW w:type="dxa" w:w="4248"/>
            <w:shd w:val="clear" w:color="auto" w:fill="F5F7FA"/>
          </w:tcPr>
          <w:p>
            <w:r>
              <w:rPr>
                <w:color w:val="0A1628"/>
                <w:sz w:val="20"/>
              </w:rPr>
              <w:t>Alshumookh Global Banking Finance &amp; Credit (ALSHAEADXXX)</w:t>
            </w:r>
          </w:p>
        </w:tc>
      </w:tr>
      <w:tr>
        <w:tc>
          <w:tcPr>
            <w:tcW w:type="dxa" w:w="4248"/>
            <w:shd w:val="clear" w:color="auto" w:fill="FFFFFF"/>
          </w:tcPr>
          <w:p>
            <w:r>
              <w:rPr>
                <w:b/>
                <w:color w:val="555555"/>
                <w:sz w:val="20"/>
              </w:rPr>
              <w:t>Submission Date</w:t>
            </w:r>
          </w:p>
        </w:tc>
        <w:tc>
          <w:tcPr>
            <w:tcW w:type="dxa" w:w="4248"/>
            <w:shd w:val="clear" w:color="auto" w:fill="FFFFFF"/>
          </w:tcPr>
          <w:p>
            <w:r>
              <w:rPr>
                <w:color w:val="0A1628"/>
                <w:sz w:val="20"/>
              </w:rPr>
              <w:t>16 July 2026 — 14:49:28 UTC</w:t>
            </w:r>
          </w:p>
        </w:tc>
      </w:tr>
      <w:tr>
        <w:tc>
          <w:tcPr>
            <w:tcW w:type="dxa" w:w="4248"/>
            <w:shd w:val="clear" w:color="auto" w:fill="F5F7FA"/>
          </w:tcPr>
          <w:p>
            <w:r>
              <w:rPr>
                <w:b/>
                <w:color w:val="555555"/>
                <w:sz w:val="20"/>
              </w:rPr>
              <w:t>System Receipt Date</w:t>
            </w:r>
          </w:p>
        </w:tc>
        <w:tc>
          <w:tcPr>
            <w:tcW w:type="dxa" w:w="4248"/>
            <w:shd w:val="clear" w:color="auto" w:fill="F5F7FA"/>
          </w:tcPr>
          <w:p>
            <w:r>
              <w:rPr>
                <w:color w:val="0A1628"/>
                <w:sz w:val="20"/>
              </w:rPr>
              <w:t>16 July 2026 — 14:54:38 UTC</w:t>
            </w:r>
          </w:p>
        </w:tc>
      </w:tr>
      <w:tr>
        <w:tc>
          <w:tcPr>
            <w:tcW w:type="dxa" w:w="4248"/>
            <w:shd w:val="clear" w:color="auto" w:fill="FFFFFF"/>
          </w:tcPr>
          <w:p>
            <w:r>
              <w:rPr>
                <w:b/>
                <w:color w:val="555555"/>
                <w:sz w:val="20"/>
              </w:rPr>
              <w:t>Current Status</w:t>
            </w:r>
          </w:p>
        </w:tc>
        <w:tc>
          <w:tcPr>
            <w:tcW w:type="dxa" w:w="4248"/>
            <w:shd w:val="clear" w:color="auto" w:fill="FFFFFF"/>
          </w:tcPr>
          <w:p>
            <w:r>
              <w:rPr>
                <w:color w:val="0A1628"/>
                <w:sz w:val="20"/>
              </w:rPr>
              <w:t>RECEIVED — Pending Final Verification</w:t>
            </w:r>
          </w:p>
        </w:tc>
      </w:tr>
    </w:tbl>
    <w:p>
      <w:pPr>
        <w:spacing w:after="80"/>
      </w:pPr>
    </w:p>
    <w:p/>
    <w:p>
      <w:pPr>
        <w:spacing w:before="80" w:after="40"/>
      </w:pPr>
      <w:r>
        <w:rPr>
          <w:b/>
          <w:color w:val="C9A227"/>
          <w:sz w:val="26"/>
        </w:rPr>
        <w:t>2.  Integration Test Assessment</w:t>
      </w:r>
    </w:p>
    <w:p>
      <w:pPr>
        <w:spacing w:before="0" w:after="80"/>
        <w:pBdr>
          <w:bottom w:val="single" w:sz="12" w:color="C9A227"/>
        </w:pBdr>
      </w:pPr>
    </w:p>
    <w:p>
      <w:pPr>
        <w:spacing w:after="40"/>
      </w:pPr>
    </w:p>
    <w:p>
      <w:pPr>
        <w:spacing w:before="0" w:after="120"/>
        <w:jc w:val="left"/>
      </w:pPr>
      <w:r>
        <w:rPr>
          <w:b w:val="0"/>
          <w:color w:val="0A1628"/>
          <w:sz w:val="22"/>
        </w:rPr>
        <w:t>The integration test has been assessed as fully successful. The following protocols were confirmed operational:</w:t>
      </w:r>
    </w:p>
    <w:p>
      <w:pPr>
        <w:pStyle w:val="ListBullet"/>
        <w:spacing w:after="80"/>
      </w:pPr>
      <w:r>
        <w:rPr>
          <w:b/>
          <w:color w:val="C9A227"/>
          <w:sz w:val="21"/>
        </w:rPr>
        <w:t xml:space="preserve">ISO 20022 Protocol — </w:t>
      </w:r>
      <w:r>
        <w:rPr>
          <w:color w:val="0A1628"/>
          <w:sz w:val="21"/>
        </w:rPr>
        <w:t>All five message types received and parsed correctly (pacs.008, pacs.002, pain.001, pain.002, camt.054).</w:t>
      </w:r>
    </w:p>
    <w:p>
      <w:pPr>
        <w:pStyle w:val="ListBullet"/>
        <w:spacing w:after="80"/>
      </w:pPr>
      <w:r>
        <w:rPr>
          <w:b/>
          <w:color w:val="C9A227"/>
          <w:sz w:val="21"/>
        </w:rPr>
        <w:t xml:space="preserve">API Connectivity — </w:t>
      </w:r>
      <w:r>
        <w:rPr>
          <w:color w:val="0A1628"/>
          <w:sz w:val="21"/>
        </w:rPr>
        <w:t>Payload delivered to Alshumookh Pay API. Response confirmed with unique payload ID and request ID.</w:t>
      </w:r>
    </w:p>
    <w:p>
      <w:pPr>
        <w:pStyle w:val="ListBullet"/>
        <w:spacing w:after="80"/>
      </w:pPr>
      <w:r>
        <w:rPr>
          <w:b/>
          <w:color w:val="C9A227"/>
          <w:sz w:val="21"/>
        </w:rPr>
        <w:t xml:space="preserve">Cryptographic Security — </w:t>
      </w:r>
      <w:r>
        <w:rPr>
          <w:color w:val="0A1628"/>
          <w:sz w:val="21"/>
        </w:rPr>
        <w:t>HMAC-SHA256 signatures, PKI digital certificate, and TLS connection certificate accepted.</w:t>
      </w:r>
    </w:p>
    <w:p>
      <w:pPr>
        <w:pStyle w:val="ListBullet"/>
        <w:spacing w:after="80"/>
      </w:pPr>
      <w:r>
        <w:rPr>
          <w:b/>
          <w:color w:val="C9A227"/>
          <w:sz w:val="21"/>
        </w:rPr>
        <w:t xml:space="preserve">Regulatory Compliance — </w:t>
      </w:r>
      <w:r>
        <w:rPr>
          <w:color w:val="0A1628"/>
          <w:sz w:val="21"/>
        </w:rPr>
        <w:t>AML/KYC, Source of Funds, and FATF R.16 compliance documents received and filed.</w:t>
      </w:r>
    </w:p>
    <w:p>
      <w:pPr>
        <w:pStyle w:val="ListBullet"/>
        <w:spacing w:after="80"/>
      </w:pPr>
      <w:r>
        <w:rPr>
          <w:b/>
          <w:color w:val="C9A227"/>
          <w:sz w:val="21"/>
        </w:rPr>
        <w:t xml:space="preserve">Settlement Finality — </w:t>
      </w:r>
      <w:r>
        <w:rPr>
          <w:color w:val="0A1628"/>
          <w:sz w:val="21"/>
        </w:rPr>
        <w:t>EU Directive 98/26/EC finality certificate acknowledged. Transaction recorded as irrevocable.</w:t>
      </w:r>
    </w:p>
    <w:p/>
    <w:p>
      <w:pPr>
        <w:spacing w:before="80" w:after="40"/>
      </w:pPr>
      <w:r>
        <w:rPr>
          <w:b/>
          <w:color w:val="C9A227"/>
          <w:sz w:val="26"/>
        </w:rPr>
        <w:t>3.  Partnership Interest &amp; Next Steps</w:t>
      </w:r>
    </w:p>
    <w:p>
      <w:pPr>
        <w:spacing w:before="0" w:after="80"/>
        <w:pBdr>
          <w:bottom w:val="single" w:sz="12" w:color="C9A227"/>
        </w:pBdr>
      </w:pPr>
    </w:p>
    <w:p>
      <w:pPr>
        <w:spacing w:after="40"/>
      </w:pPr>
    </w:p>
    <w:p>
      <w:pPr>
        <w:spacing w:before="0" w:after="160"/>
        <w:jc w:val="left"/>
      </w:pPr>
      <w:r>
        <w:rPr>
          <w:b w:val="0"/>
          <w:color w:val="0A1628"/>
          <w:sz w:val="22"/>
        </w:rPr>
        <w:t>Alshumookh Global Banking Finance &amp; Credit is pleased to confirm its interest in establishing a formal correspondent banking and settlement partnership with Digital Commercial Bank Ltd. The successful completion of this integration test demonstrates your institution's technical readiness and commitment to international banking standards.</w:t>
      </w:r>
    </w:p>
    <w:p>
      <w:pPr>
        <w:spacing w:before="0" w:after="80"/>
        <w:jc w:val="left"/>
      </w:pPr>
      <w:r>
        <w:rPr>
          <w:b w:val="0"/>
          <w:color w:val="0A1628"/>
          <w:sz w:val="22"/>
        </w:rPr>
        <w:t>We propose the following steps to advance this partnership:</w:t>
      </w:r>
    </w:p>
    <w:p>
      <w:pPr>
        <w:pStyle w:val="ListBullet"/>
        <w:spacing w:after="80"/>
      </w:pPr>
      <w:r>
        <w:rPr>
          <w:color w:val="0A1628"/>
          <w:sz w:val="21"/>
        </w:rPr>
        <w:t>Execution of a formal Correspondent Banking Agreement (CBA) and Service Level Agreement (SLA).</w:t>
      </w:r>
    </w:p>
    <w:p>
      <w:pPr>
        <w:pStyle w:val="ListBullet"/>
        <w:spacing w:after="80"/>
      </w:pPr>
      <w:r>
        <w:rPr>
          <w:color w:val="0A1628"/>
          <w:sz w:val="21"/>
        </w:rPr>
        <w:t>Exchange of official API credentials, static IP addresses, and HMAC shared keys for production.</w:t>
      </w:r>
    </w:p>
    <w:p>
      <w:pPr>
        <w:pStyle w:val="ListBullet"/>
        <w:spacing w:after="80"/>
      </w:pPr>
      <w:r>
        <w:rPr>
          <w:color w:val="0A1628"/>
          <w:sz w:val="21"/>
        </w:rPr>
        <w:t>Execution of a larger pilot transaction to validate full production settlement capacity.</w:t>
      </w:r>
    </w:p>
    <w:p>
      <w:pPr>
        <w:pStyle w:val="ListBullet"/>
        <w:spacing w:after="80"/>
      </w:pPr>
      <w:r>
        <w:rPr>
          <w:color w:val="0A1628"/>
          <w:sz w:val="21"/>
        </w:rPr>
        <w:t>Scheduling of a formal onboarding call between our respective Treasury and Compliance teams.</w:t>
      </w:r>
    </w:p>
    <w:p>
      <w:pPr>
        <w:pStyle w:val="ListBullet"/>
        <w:spacing w:after="80"/>
      </w:pPr>
      <w:r>
        <w:rPr>
          <w:color w:val="0A1628"/>
          <w:sz w:val="21"/>
        </w:rPr>
        <w:t>Mutual exchange of updated KYC/KYB documentation packages.</w:t>
      </w:r>
    </w:p>
    <w:p>
      <w:pPr>
        <w:spacing w:after="80"/>
      </w:pPr>
    </w:p>
    <w:p>
      <w:pPr>
        <w:spacing w:before="0" w:after="200"/>
        <w:jc w:val="left"/>
      </w:pPr>
      <w:r>
        <w:rPr>
          <w:b w:val="0"/>
          <w:color w:val="0A1628"/>
          <w:sz w:val="22"/>
        </w:rPr>
        <w:t>We look forward to building a strong and mutually beneficial institutional relationship with Digital Commercial Bank Ltd. Please do not hesitate to contact our Correspondent Banking desk to schedule the next steps.</w:t>
      </w:r>
    </w:p>
    <w:p>
      <w:pPr>
        <w:spacing w:before="0" w:after="600"/>
        <w:jc w:val="left"/>
      </w:pPr>
      <w:r>
        <w:rPr>
          <w:b w:val="0"/>
          <w:color w:val="0A1628"/>
          <w:sz w:val="22"/>
        </w:rPr>
        <w:t>Yours faithfully,</w:t>
      </w:r>
    </w:p>
    <w:p>
      <w:pPr>
        <w:spacing w:before="0" w:after="40"/>
        <w:jc w:val="left"/>
      </w:pPr>
      <w:r>
        <w:rPr>
          <w:b w:val="0"/>
          <w:color w:val="555555"/>
          <w:sz w:val="22"/>
        </w:rPr>
        <w:t>________________________________</w:t>
      </w:r>
    </w:p>
    <w:p>
      <w:pPr>
        <w:spacing w:before="0" w:after="40"/>
        <w:jc w:val="left"/>
      </w:pPr>
      <w:r>
        <w:rPr>
          <w:b/>
          <w:color w:val="0A1628"/>
          <w:sz w:val="22"/>
        </w:rPr>
        <w:t>Authorized Signatory</w:t>
      </w:r>
    </w:p>
    <w:p>
      <w:pPr>
        <w:spacing w:before="0" w:after="40"/>
        <w:jc w:val="left"/>
      </w:pPr>
      <w:r>
        <w:rPr>
          <w:b w:val="0"/>
          <w:color w:val="0A1628"/>
          <w:sz w:val="22"/>
        </w:rPr>
        <w:t>ALSHUMOOKH Global Banking Finance &amp; Credit</w:t>
      </w:r>
    </w:p>
    <w:p>
      <w:pPr>
        <w:spacing w:before="0" w:after="40"/>
        <w:jc w:val="left"/>
      </w:pPr>
      <w:r>
        <w:rPr>
          <w:b w:val="0"/>
          <w:color w:val="555555"/>
          <w:sz w:val="20"/>
        </w:rPr>
        <w:t>API World Tower, Office 2103/2104, SZR, Dubai, UAE</w:t>
      </w:r>
    </w:p>
    <w:p>
      <w:pPr>
        <w:spacing w:before="0" w:after="0"/>
        <w:jc w:val="left"/>
      </w:pPr>
      <w:r>
        <w:rPr>
          <w:b w:val="0"/>
          <w:color w:val="555555"/>
          <w:sz w:val="20"/>
        </w:rPr>
        <w:t>BIC: ALSHAEADXXX  |  License: 887065  |  api.alshumookh-pay.com</w:t>
      </w:r>
    </w:p>
    <w:sectPr w:rsidR="00FC693F" w:rsidRPr="0006063C" w:rsidSect="00034616">
      <w:pgSz w:w="12240" w:h="15840"/>
      <w:pgMar w:top="1584" w:right="1872" w:bottom="1584"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