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2"/>
        <w:gridCol w:w="4535"/>
      </w:tblGrid>
      <w:tr>
        <w:tc>
          <w:tcPr>
            <w:tcW w:type="dxa" w:w="5102"/>
            <w:shd w:val="clear" w:color="auto" w:fill="0D1117"/>
            <w:tcBorders>
              <w:top w:val="none" w:sz="0" w:color="auto"/>
              <w:left w:val="none" w:sz="0" w:color="auto"/>
              <w:bottom w:val="none" w:sz="0" w:color="auto"/>
              <w:right w:val="none" w:sz="0" w:color="auto"/>
            </w:tcBorders>
          </w:tcPr>
          <w:p>
            <w:pPr>
              <w:jc w:val="left"/>
              <w:spacing w:before="60" w:after="20"/>
            </w:pPr>
            <w:r>
              <w:rPr>
                <w:rFonts w:ascii="Arial" w:hAnsi="Arial"/>
                <w:b/>
                <w:color w:val="C9A84C"/>
                <w:sz w:val="36"/>
              </w:rPr>
              <w:t>ALSHUMOOKH</w:t>
            </w:r>
          </w:p>
          <w:p>
            <w:pPr>
              <w:jc w:val="left"/>
              <w:spacing w:before="0" w:after="80"/>
            </w:pPr>
            <w:r>
              <w:rPr>
                <w:rFonts w:ascii="Arial" w:hAnsi="Arial"/>
                <w:color w:val="FFFFFF"/>
                <w:sz w:val="18"/>
              </w:rPr>
              <w:t>GLOBAL BANKING FINANCE &amp; CREDIT</w:t>
            </w:r>
          </w:p>
        </w:tc>
        <w:tc>
          <w:tcPr>
            <w:tcW w:type="dxa" w:w="4535"/>
            <w:shd w:val="clear" w:color="auto" w:fill="0D1117"/>
            <w:tcBorders>
              <w:top w:val="none" w:sz="0" w:color="auto"/>
              <w:left w:val="none" w:sz="0" w:color="auto"/>
              <w:bottom w:val="none" w:sz="0" w:color="auto"/>
              <w:right w:val="none" w:sz="0" w:color="auto"/>
            </w:tcBorders>
          </w:tcPr>
          <w:p>
            <w:pPr>
              <w:jc w:val="right"/>
              <w:spacing w:before="60" w:after="20"/>
            </w:pPr>
            <w:r>
              <w:rPr>
                <w:rFonts w:ascii="Arial" w:hAnsi="Arial"/>
                <w:b/>
                <w:color w:val="C9A84C"/>
                <w:sz w:val="22"/>
              </w:rPr>
              <w:t>OFFICIAL NOTICE</w:t>
            </w:r>
          </w:p>
          <w:p>
            <w:pPr>
              <w:jc w:val="right"/>
              <w:spacing w:before="0" w:after="10"/>
            </w:pPr>
            <w:r>
              <w:rPr>
                <w:rFonts w:ascii="Arial" w:hAnsi="Arial"/>
                <w:color w:val="FFFFFF"/>
                <w:sz w:val="18"/>
              </w:rPr>
              <w:t>Date: 23 June 2026</w:t>
            </w:r>
          </w:p>
          <w:p>
            <w:pPr>
              <w:jc w:val="right"/>
              <w:spacing w:before="0" w:after="80"/>
            </w:pPr>
            <w:r>
              <w:rPr>
                <w:rFonts w:ascii="Arial" w:hAnsi="Arial"/>
                <w:color w:val="FFFFFF"/>
                <w:sz w:val="18"/>
              </w:rPr>
              <w:t>Ref: ASIG-REJ-20260623-001</w:t>
            </w:r>
          </w:p>
        </w:tc>
      </w:tr>
    </w:tbl>
    <w:p>
      <w:pPr>
        <w:pBdr>
          <w:bottom w:val="single" w:sz="12" w:color="C9A84C"/>
        </w:pBdr>
        <w:spacing w:before="0" w:after="60"/>
      </w:pPr>
    </w:p>
    <w:tbl>
      <w:tblPr>
        <w:tblW w:type="auto" w:w="0"/>
        <w:jc w:val="center"/>
        <w:tblLook w:firstColumn="1" w:firstRow="1" w:lastColumn="0" w:lastRow="0" w:noHBand="0" w:noVBand="1" w:val="04A0"/>
      </w:tblPr>
      <w:tblGrid>
        <w:gridCol w:w="5669"/>
      </w:tblGrid>
      <w:tr>
        <w:tc>
          <w:tcPr>
            <w:tcW w:type="dxa" w:w="5669"/>
            <w:shd w:val="clear" w:color="auto" w:fill="C0392B"/>
            <w:tcBorders>
              <w:top w:val="single" w:sz="4" w:color="C0392B"/>
              <w:left w:val="single" w:sz="4" w:color="C0392B"/>
              <w:bottom w:val="single" w:sz="4" w:color="C0392B"/>
              <w:right w:val="single" w:sz="4" w:color="C0392B"/>
            </w:tcBorders>
          </w:tcPr>
          <w:p>
            <w:pPr>
              <w:jc w:val="center"/>
              <w:spacing w:before="80" w:after="80"/>
            </w:pPr>
            <w:r>
              <w:rPr>
                <w:rFonts w:ascii="Arial" w:hAnsi="Arial"/>
                <w:b/>
                <w:color w:val="FFFFFF"/>
                <w:sz w:val="32"/>
              </w:rPr>
              <w:t xml:space="preserve">  TRANSACTION RETURNED  </w:t>
            </w:r>
          </w:p>
        </w:tc>
      </w:tr>
    </w:tbl>
    <w:p>
      <w:pPr>
        <w:spacing w:before="0" w:after="40"/>
      </w:pPr>
    </w:p>
    <w:tbl>
      <w:tblPr>
        <w:tblW w:type="auto" w:w="0"/>
        <w:jc w:val="center"/>
        <w:tblLook w:firstColumn="1" w:firstRow="1" w:lastColumn="0" w:lastRow="0" w:noHBand="0" w:noVBand="1" w:val="04A0"/>
      </w:tblPr>
      <w:tblGrid>
        <w:gridCol w:w="9972"/>
      </w:tblGrid>
      <w:tr>
        <w:tc>
          <w:tcPr>
            <w:tcW w:type="dxa" w:w="9972"/>
            <w:shd w:val="clear" w:color="auto" w:fill="161B22"/>
            <w:tcBorders>
              <w:top w:val="single" w:sz="4" w:color="C9A84C"/>
              <w:left w:val="single" w:sz="4" w:color="C9A84C"/>
              <w:bottom w:val="single" w:sz="4" w:color="C9A84C"/>
              <w:right w:val="single" w:sz="4" w:color="C9A84C"/>
            </w:tcBorders>
          </w:tcPr>
          <w:p>
            <w:pPr>
              <w:jc w:val="left"/>
              <w:spacing w:before="80" w:after="80"/>
            </w:pPr>
            <w:r>
              <w:rPr>
                <w:rFonts w:ascii="Arial" w:hAnsi="Arial"/>
                <w:b/>
                <w:color w:val="C9A84C"/>
                <w:sz w:val="20"/>
              </w:rPr>
              <w:t xml:space="preserve">SUBJECT:  </w:t>
            </w:r>
            <w:r>
              <w:rPr>
                <w:rFonts w:ascii="Arial" w:hAnsi="Arial"/>
                <w:b w:val="0"/>
                <w:color w:val="FFFFFF"/>
                <w:sz w:val="20"/>
              </w:rPr>
              <w:t>M1 Fund Inbound Transaction — Return &amp; Non-Transferability Notice</w:t>
            </w:r>
          </w:p>
        </w:tc>
      </w:tr>
    </w:tbl>
    <w:p>
      <w:pPr>
        <w:spacing w:before="0" w:after="40"/>
      </w:pPr>
    </w:p>
    <w:tbl>
      <w:tblPr>
        <w:tblW w:type="auto" w:w="0"/>
        <w:jc w:val="center"/>
        <w:tblLook w:firstColumn="1" w:firstRow="1" w:lastColumn="0" w:lastRow="0" w:noHBand="0" w:noVBand="1" w:val="04A0"/>
      </w:tblPr>
      <w:tblGrid>
        <w:gridCol w:w="9972"/>
      </w:tblGrid>
      <w:tr>
        <w:tc>
          <w:tcPr>
            <w:tcW w:type="dxa" w:w="9972"/>
            <w:shd w:val="clear" w:color="auto" w:fill="21262D"/>
            <w:tcBorders>
              <w:top w:val="single" w:sz="4" w:color="C9A84C"/>
              <w:left w:val="single" w:sz="4" w:color="C9A84C"/>
              <w:bottom w:val="single" w:sz="4" w:color="C9A84C"/>
              <w:right w:val="single" w:sz="4" w:color="C9A84C"/>
            </w:tcBorders>
          </w:tcPr>
          <w:p>
            <w:pPr>
              <w:jc w:val="left"/>
              <w:spacing w:before="60" w:after="60"/>
            </w:pPr>
            <w:r>
              <w:rPr>
                <w:rFonts w:ascii="Arial" w:hAnsi="Arial"/>
                <w:b/>
                <w:color w:val="C9A84C"/>
                <w:sz w:val="20"/>
              </w:rPr>
              <w:t>TO: SENDER</w:t>
            </w:r>
          </w:p>
        </w:tc>
      </w:tr>
    </w:tbl>
    <w:p/>
    <w:tbl>
      <w:tblPr>
        <w:tblW w:type="auto" w:w="0"/>
        <w:jc w:val="center"/>
        <w:tblLook w:firstColumn="1" w:firstRow="1" w:lastColumn="0" w:lastRow="0" w:noHBand="0" w:noVBand="1" w:val="04A0"/>
      </w:tblPr>
      <w:tblGrid>
        <w:gridCol w:w="2551"/>
        <w:gridCol w:w="7087"/>
      </w:tblGrid>
      <w:tr>
        <w:tc>
          <w:tcPr>
            <w:tcW w:type="dxa" w:w="2551"/>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Company:</w:t>
            </w:r>
          </w:p>
        </w:tc>
        <w:tc>
          <w:tcPr>
            <w:tcW w:type="dxa" w:w="7087"/>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Values and Friends</w:t>
            </w:r>
          </w:p>
        </w:tc>
      </w:tr>
      <w:tr>
        <w:tc>
          <w:tcPr>
            <w:tcW w:type="dxa" w:w="2551"/>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Represented by:</w:t>
            </w:r>
          </w:p>
        </w:tc>
        <w:tc>
          <w:tcPr>
            <w:tcW w:type="dxa" w:w="7087"/>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Mr. Mohammad Haji Rajabi</w:t>
            </w:r>
          </w:p>
        </w:tc>
      </w:tr>
      <w:tr>
        <w:tc>
          <w:tcPr>
            <w:tcW w:type="dxa" w:w="2551"/>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Email:</w:t>
            </w:r>
          </w:p>
        </w:tc>
        <w:tc>
          <w:tcPr>
            <w:tcW w:type="dxa" w:w="7087"/>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rajabi@valuesandfriends.io</w:t>
            </w:r>
          </w:p>
        </w:tc>
      </w:tr>
      <w:tr>
        <w:tc>
          <w:tcPr>
            <w:tcW w:type="dxa" w:w="2551"/>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Address:</w:t>
            </w:r>
          </w:p>
        </w:tc>
        <w:tc>
          <w:tcPr>
            <w:tcW w:type="dxa" w:w="7087"/>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Calle Liverpool 1, 29612 Ojen, Malaga, Spain</w:t>
            </w:r>
          </w:p>
        </w:tc>
      </w:tr>
      <w:tr>
        <w:tc>
          <w:tcPr>
            <w:tcW w:type="dxa" w:w="2551"/>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Registration:</w:t>
            </w:r>
          </w:p>
        </w:tc>
        <w:tc>
          <w:tcPr>
            <w:tcW w:type="dxa" w:w="7087"/>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B93559383 (Spain)</w:t>
            </w:r>
          </w:p>
        </w:tc>
      </w:tr>
    </w:tbl>
    <w:p/>
    <w:tbl>
      <w:tblPr>
        <w:tblW w:type="auto" w:w="0"/>
        <w:jc w:val="center"/>
        <w:tblLook w:firstColumn="1" w:firstRow="1" w:lastColumn="0" w:lastRow="0" w:noHBand="0" w:noVBand="1" w:val="04A0"/>
      </w:tblPr>
      <w:tblGrid>
        <w:gridCol w:w="9972"/>
      </w:tblGrid>
      <w:tr>
        <w:tc>
          <w:tcPr>
            <w:tcW w:type="dxa" w:w="9972"/>
            <w:shd w:val="clear" w:color="auto" w:fill="21262D"/>
            <w:tcBorders>
              <w:top w:val="single" w:sz="4" w:color="C9A84C"/>
              <w:left w:val="single" w:sz="4" w:color="C9A84C"/>
              <w:bottom w:val="single" w:sz="4" w:color="C9A84C"/>
              <w:right w:val="single" w:sz="4" w:color="C9A84C"/>
            </w:tcBorders>
          </w:tcPr>
          <w:p>
            <w:pPr>
              <w:jc w:val="left"/>
              <w:spacing w:before="60" w:after="60"/>
            </w:pPr>
            <w:r>
              <w:rPr>
                <w:rFonts w:ascii="Arial" w:hAnsi="Arial"/>
                <w:b/>
                <w:color w:val="C9A84C"/>
                <w:sz w:val="20"/>
              </w:rPr>
              <w:t>TRANSACTION DETAILS</w:t>
            </w:r>
          </w:p>
        </w:tc>
      </w:tr>
    </w:tbl>
    <w:p/>
    <w:tbl>
      <w:tblPr>
        <w:tblW w:type="auto" w:w="0"/>
        <w:jc w:val="center"/>
        <w:tblLook w:firstColumn="1" w:firstRow="1" w:lastColumn="0" w:lastRow="0" w:noHBand="0" w:noVBand="1" w:val="04A0"/>
      </w:tblPr>
      <w:tblGrid>
        <w:gridCol w:w="3402"/>
        <w:gridCol w:w="6236"/>
      </w:tblGrid>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Transaction Reference</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VAFM1API20260609A</w:t>
            </w:r>
          </w:p>
        </w:tc>
      </w:tr>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File ID</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VAF-M1-FILE-20260609-001</w:t>
            </w:r>
          </w:p>
        </w:tc>
      </w:tr>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Payload Type</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M1_FUND_INBOUND</w:t>
            </w:r>
          </w:p>
        </w:tc>
      </w:tr>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Declared Amount</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EUR 23,085,000.00</w:t>
            </w:r>
          </w:p>
        </w:tc>
      </w:tr>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Submission Date</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09 June 2026</w:t>
            </w:r>
          </w:p>
        </w:tc>
      </w:tr>
      <w:tr>
        <w:tc>
          <w:tcPr>
            <w:tcW w:type="dxa" w:w="3402"/>
            <w:shd w:val="clear" w:color="auto" w:fill="161B22"/>
            <w:tcBorders>
              <w:top w:val="none" w:sz="0" w:color="auto"/>
              <w:left w:val="none" w:sz="0" w:color="auto"/>
              <w:bottom w:val="none" w:sz="0" w:color="auto"/>
              <w:right w:val="none" w:sz="0" w:color="auto"/>
            </w:tcBorders>
          </w:tcPr>
          <w:p>
            <w:pPr>
              <w:spacing w:before="40" w:after="40"/>
            </w:pPr>
            <w:r>
              <w:rPr>
                <w:rFonts w:ascii="Arial" w:hAnsi="Arial"/>
                <w:b/>
                <w:color w:val="C9A84C"/>
                <w:sz w:val="18"/>
              </w:rPr>
              <w:t>Settlement Date (Declared)</w:t>
            </w:r>
          </w:p>
        </w:tc>
        <w:tc>
          <w:tcPr>
            <w:tcW w:type="dxa" w:w="6236"/>
            <w:shd w:val="clear" w:color="auto" w:fill="0D1117"/>
            <w:tcBorders>
              <w:top w:val="none" w:sz="0" w:color="auto"/>
              <w:left w:val="none" w:sz="0" w:color="auto"/>
              <w:bottom w:val="none" w:sz="0" w:color="auto"/>
              <w:right w:val="none" w:sz="0" w:color="auto"/>
            </w:tcBorders>
          </w:tcPr>
          <w:p>
            <w:pPr>
              <w:spacing w:before="40" w:after="40"/>
            </w:pPr>
            <w:r>
              <w:rPr>
                <w:rFonts w:ascii="Arial" w:hAnsi="Arial"/>
                <w:b w:val="0"/>
                <w:color w:val="C9D1D9"/>
                <w:sz w:val="18"/>
              </w:rPr>
              <w:t>09 June 2026</w:t>
            </w:r>
          </w:p>
        </w:tc>
      </w:tr>
      <w:tr>
        <w:tc>
          <w:tcPr>
            <w:tcW w:type="dxa" w:w="3402"/>
            <w:shd w:val="clear" w:color="auto" w:fill="1A0A0A"/>
            <w:tcBorders>
              <w:top w:val="none" w:sz="0" w:color="auto"/>
              <w:left w:val="none" w:sz="0" w:color="auto"/>
              <w:bottom w:val="none" w:sz="0" w:color="auto"/>
              <w:right w:val="none" w:sz="0" w:color="auto"/>
            </w:tcBorders>
          </w:tcPr>
          <w:p>
            <w:pPr>
              <w:spacing w:before="40" w:after="40"/>
            </w:pPr>
            <w:r>
              <w:rPr>
                <w:rFonts w:ascii="Arial" w:hAnsi="Arial"/>
                <w:b/>
                <w:color w:val="C9A84C"/>
                <w:sz w:val="18"/>
              </w:rPr>
              <w:t>Current Status</w:t>
            </w:r>
          </w:p>
        </w:tc>
        <w:tc>
          <w:tcPr>
            <w:tcW w:type="dxa" w:w="6236"/>
            <w:shd w:val="clear" w:color="auto" w:fill="1A0A0A"/>
            <w:tcBorders>
              <w:top w:val="none" w:sz="0" w:color="auto"/>
              <w:left w:val="none" w:sz="0" w:color="auto"/>
              <w:bottom w:val="none" w:sz="0" w:color="auto"/>
              <w:right w:val="none" w:sz="0" w:color="auto"/>
            </w:tcBorders>
          </w:tcPr>
          <w:p>
            <w:pPr>
              <w:spacing w:before="40" w:after="40"/>
            </w:pPr>
            <w:r>
              <w:rPr>
                <w:rFonts w:ascii="Arial" w:hAnsi="Arial"/>
                <w:b/>
                <w:color w:val="C0392B"/>
                <w:sz w:val="18"/>
              </w:rPr>
              <w:t>RETURNED — NON-TRANSFERABLE</w:t>
            </w:r>
          </w:p>
        </w:tc>
      </w:tr>
    </w:tbl>
    <w:p/>
    <w:tbl>
      <w:tblPr>
        <w:tblW w:type="auto" w:w="0"/>
        <w:jc w:val="center"/>
        <w:tblLook w:firstColumn="1" w:firstRow="1" w:lastColumn="0" w:lastRow="0" w:noHBand="0" w:noVBand="1" w:val="04A0"/>
      </w:tblPr>
      <w:tblGrid>
        <w:gridCol w:w="9972"/>
      </w:tblGrid>
      <w:tr>
        <w:tc>
          <w:tcPr>
            <w:tcW w:type="dxa" w:w="9972"/>
            <w:shd w:val="clear" w:color="auto" w:fill="21262D"/>
            <w:tcBorders>
              <w:top w:val="single" w:sz="4" w:color="C9A84C"/>
              <w:left w:val="single" w:sz="4" w:color="C9A84C"/>
              <w:bottom w:val="single" w:sz="4" w:color="C9A84C"/>
              <w:right w:val="single" w:sz="4" w:color="C9A84C"/>
            </w:tcBorders>
          </w:tcPr>
          <w:p>
            <w:pPr>
              <w:jc w:val="left"/>
              <w:spacing w:before="60" w:after="60"/>
            </w:pPr>
            <w:r>
              <w:rPr>
                <w:rFonts w:ascii="Arial" w:hAnsi="Arial"/>
                <w:b/>
                <w:color w:val="C9A84C"/>
                <w:sz w:val="20"/>
              </w:rPr>
              <w:t>REASONS FOR RETURN</w:t>
            </w:r>
          </w:p>
        </w:tc>
      </w:tr>
    </w:tbl>
    <w:p/>
    <w:tbl>
      <w:tblPr>
        <w:tblW w:type="auto" w:w="0"/>
        <w:jc w:val="center"/>
        <w:tblLook w:firstColumn="1" w:firstRow="1" w:lastColumn="0" w:lastRow="0" w:noHBand="0" w:noVBand="1" w:val="04A0"/>
      </w:tblPr>
      <w:tblGrid>
        <w:gridCol w:w="680"/>
        <w:gridCol w:w="8957"/>
      </w:tblGrid>
      <w:tr>
        <w:tc>
          <w:tcPr>
            <w:tcW w:type="dxa" w:w="680"/>
            <w:shd w:val="clear" w:color="auto" w:fill="C9A84C"/>
            <w:tcBorders>
              <w:top w:val="none" w:sz="0" w:color="auto"/>
              <w:left w:val="none" w:sz="0" w:color="auto"/>
              <w:bottom w:val="none" w:sz="0" w:color="auto"/>
              <w:right w:val="none" w:sz="0" w:color="auto"/>
            </w:tcBorders>
          </w:tcPr>
          <w:p>
            <w:pPr>
              <w:jc w:val="center"/>
              <w:spacing w:before="80" w:after="20"/>
            </w:pPr>
            <w:r>
              <w:rPr>
                <w:rFonts w:ascii="Arial" w:hAnsi="Arial"/>
                <w:b/>
                <w:color w:val="0D1117"/>
                <w:sz w:val="24"/>
              </w:rPr>
              <w:t>1</w:t>
            </w:r>
          </w:p>
        </w:tc>
        <w:tc>
          <w:tcPr>
            <w:tcW w:type="dxa" w:w="8957"/>
            <w:shd w:val="clear" w:color="auto" w:fill="161B22"/>
            <w:tcBorders>
              <w:top w:val="none" w:sz="0" w:color="auto"/>
              <w:left w:val="none" w:sz="0" w:color="auto"/>
              <w:bottom w:val="none" w:sz="0" w:color="auto"/>
              <w:right w:val="none" w:sz="0" w:color="auto"/>
            </w:tcBorders>
          </w:tcPr>
          <w:p>
            <w:pPr>
              <w:spacing w:before="60" w:after="30"/>
            </w:pPr>
            <w:r>
              <w:rPr>
                <w:rFonts w:ascii="Arial" w:hAnsi="Arial"/>
                <w:b/>
                <w:color w:val="FFFFFF"/>
                <w:sz w:val="19"/>
              </w:rPr>
              <w:t>PRECHECK Environment — Not a Production Submission</w:t>
            </w:r>
          </w:p>
          <w:p>
            <w:pPr>
              <w:spacing w:before="0" w:after="80"/>
            </w:pPr>
            <w:r>
              <w:rPr>
                <w:rFonts w:ascii="Arial" w:hAnsi="Arial"/>
                <w:color w:val="8B949E"/>
                <w:sz w:val="17"/>
              </w:rPr>
              <w:t>The submitted payload carries environment classification 'PRECHECK'. The ALSHUMOOKH platform exclusively processes payloads submitted under 'PRODUCTION' environment status. This submission does not qualify for settlement processing.</w:t>
            </w:r>
          </w:p>
        </w:tc>
      </w:tr>
    </w:tbl>
    <w:p/>
    <w:tbl>
      <w:tblPr>
        <w:tblW w:type="auto" w:w="0"/>
        <w:jc w:val="center"/>
        <w:tblLook w:firstColumn="1" w:firstRow="1" w:lastColumn="0" w:lastRow="0" w:noHBand="0" w:noVBand="1" w:val="04A0"/>
      </w:tblPr>
      <w:tblGrid>
        <w:gridCol w:w="680"/>
        <w:gridCol w:w="8957"/>
      </w:tblGrid>
      <w:tr>
        <w:tc>
          <w:tcPr>
            <w:tcW w:type="dxa" w:w="680"/>
            <w:shd w:val="clear" w:color="auto" w:fill="C9A84C"/>
            <w:tcBorders>
              <w:top w:val="none" w:sz="0" w:color="auto"/>
              <w:left w:val="none" w:sz="0" w:color="auto"/>
              <w:bottom w:val="none" w:sz="0" w:color="auto"/>
              <w:right w:val="none" w:sz="0" w:color="auto"/>
            </w:tcBorders>
          </w:tcPr>
          <w:p>
            <w:pPr>
              <w:jc w:val="center"/>
              <w:spacing w:before="80" w:after="20"/>
            </w:pPr>
            <w:r>
              <w:rPr>
                <w:rFonts w:ascii="Arial" w:hAnsi="Arial"/>
                <w:b/>
                <w:color w:val="0D1117"/>
                <w:sz w:val="24"/>
              </w:rPr>
              <w:t>2</w:t>
            </w:r>
          </w:p>
        </w:tc>
        <w:tc>
          <w:tcPr>
            <w:tcW w:type="dxa" w:w="8957"/>
            <w:shd w:val="clear" w:color="auto" w:fill="161B22"/>
            <w:tcBorders>
              <w:top w:val="none" w:sz="0" w:color="auto"/>
              <w:left w:val="none" w:sz="0" w:color="auto"/>
              <w:bottom w:val="none" w:sz="0" w:color="auto"/>
              <w:right w:val="none" w:sz="0" w:color="auto"/>
            </w:tcBorders>
          </w:tcPr>
          <w:p>
            <w:pPr>
              <w:spacing w:before="60" w:after="30"/>
            </w:pPr>
            <w:r>
              <w:rPr>
                <w:rFonts w:ascii="Arial" w:hAnsi="Arial"/>
                <w:b/>
                <w:color w:val="FFFFFF"/>
                <w:sz w:val="19"/>
              </w:rPr>
              <w:t>No On-Chain Fund Transfer Confirmed</w:t>
            </w:r>
          </w:p>
          <w:p>
            <w:pPr>
              <w:spacing w:before="0" w:after="80"/>
            </w:pPr>
            <w:r>
              <w:rPr>
                <w:rFonts w:ascii="Arial" w:hAnsi="Arial"/>
                <w:color w:val="8B949E"/>
                <w:sz w:val="17"/>
              </w:rPr>
              <w:t>No USDT or equivalent transfer has been detected from the declared sender wallet (0x2297d85BC9b51323595E9B6029D0b47ca297f739) to the ALSHUMOOKH treasury address on Ethereum Mainnet. Funds must be confirmed on-chain before any processing can occur.</w:t>
            </w:r>
          </w:p>
        </w:tc>
      </w:tr>
    </w:tbl>
    <w:p/>
    <w:tbl>
      <w:tblPr>
        <w:tblW w:type="auto" w:w="0"/>
        <w:jc w:val="center"/>
        <w:tblLook w:firstColumn="1" w:firstRow="1" w:lastColumn="0" w:lastRow="0" w:noHBand="0" w:noVBand="1" w:val="04A0"/>
      </w:tblPr>
      <w:tblGrid>
        <w:gridCol w:w="680"/>
        <w:gridCol w:w="8957"/>
      </w:tblGrid>
      <w:tr>
        <w:tc>
          <w:tcPr>
            <w:tcW w:type="dxa" w:w="680"/>
            <w:shd w:val="clear" w:color="auto" w:fill="C9A84C"/>
            <w:tcBorders>
              <w:top w:val="none" w:sz="0" w:color="auto"/>
              <w:left w:val="none" w:sz="0" w:color="auto"/>
              <w:bottom w:val="none" w:sz="0" w:color="auto"/>
              <w:right w:val="none" w:sz="0" w:color="auto"/>
            </w:tcBorders>
          </w:tcPr>
          <w:p>
            <w:pPr>
              <w:jc w:val="center"/>
              <w:spacing w:before="80" w:after="20"/>
            </w:pPr>
            <w:r>
              <w:rPr>
                <w:rFonts w:ascii="Arial" w:hAnsi="Arial"/>
                <w:b/>
                <w:color w:val="0D1117"/>
                <w:sz w:val="24"/>
              </w:rPr>
              <w:t>3</w:t>
            </w:r>
          </w:p>
        </w:tc>
        <w:tc>
          <w:tcPr>
            <w:tcW w:type="dxa" w:w="8957"/>
            <w:shd w:val="clear" w:color="auto" w:fill="161B22"/>
            <w:tcBorders>
              <w:top w:val="none" w:sz="0" w:color="auto"/>
              <w:left w:val="none" w:sz="0" w:color="auto"/>
              <w:bottom w:val="none" w:sz="0" w:color="auto"/>
              <w:right w:val="none" w:sz="0" w:color="auto"/>
            </w:tcBorders>
          </w:tcPr>
          <w:p>
            <w:pPr>
              <w:spacing w:before="60" w:after="30"/>
            </w:pPr>
            <w:r>
              <w:rPr>
                <w:rFonts w:ascii="Arial" w:hAnsi="Arial"/>
                <w:b/>
                <w:color w:val="FFFFFF"/>
                <w:sz w:val="19"/>
              </w:rPr>
              <w:t>Missing Production Transaction Hash (TX Hash)</w:t>
            </w:r>
          </w:p>
          <w:p>
            <w:pPr>
              <w:spacing w:before="0" w:after="80"/>
            </w:pPr>
            <w:r>
              <w:rPr>
                <w:rFonts w:ascii="Arial" w:hAnsi="Arial"/>
                <w:color w:val="8B949E"/>
                <w:sz w:val="17"/>
              </w:rPr>
              <w:t>A valid on-chain transaction hash confirming fund movement is mandatory for settlement processing. No TX Hash was provided in the submitted payload. Without this, the transaction cannot be verified or processed.</w:t>
            </w:r>
          </w:p>
        </w:tc>
      </w:tr>
    </w:tbl>
    <w:p/>
    <w:tbl>
      <w:tblPr>
        <w:tblW w:type="auto" w:w="0"/>
        <w:jc w:val="center"/>
        <w:tblLook w:firstColumn="1" w:firstRow="1" w:lastColumn="0" w:lastRow="0" w:noHBand="0" w:noVBand="1" w:val="04A0"/>
      </w:tblPr>
      <w:tblGrid>
        <w:gridCol w:w="680"/>
        <w:gridCol w:w="8957"/>
      </w:tblGrid>
      <w:tr>
        <w:tc>
          <w:tcPr>
            <w:tcW w:type="dxa" w:w="680"/>
            <w:shd w:val="clear" w:color="auto" w:fill="C9A84C"/>
            <w:tcBorders>
              <w:top w:val="none" w:sz="0" w:color="auto"/>
              <w:left w:val="none" w:sz="0" w:color="auto"/>
              <w:bottom w:val="none" w:sz="0" w:color="auto"/>
              <w:right w:val="none" w:sz="0" w:color="auto"/>
            </w:tcBorders>
          </w:tcPr>
          <w:p>
            <w:pPr>
              <w:jc w:val="center"/>
              <w:spacing w:before="80" w:after="20"/>
            </w:pPr>
            <w:r>
              <w:rPr>
                <w:rFonts w:ascii="Arial" w:hAnsi="Arial"/>
                <w:b/>
                <w:color w:val="0D1117"/>
                <w:sz w:val="24"/>
              </w:rPr>
              <w:t>4</w:t>
            </w:r>
          </w:p>
        </w:tc>
        <w:tc>
          <w:tcPr>
            <w:tcW w:type="dxa" w:w="8957"/>
            <w:shd w:val="clear" w:color="auto" w:fill="161B22"/>
            <w:tcBorders>
              <w:top w:val="none" w:sz="0" w:color="auto"/>
              <w:left w:val="none" w:sz="0" w:color="auto"/>
              <w:bottom w:val="none" w:sz="0" w:color="auto"/>
              <w:right w:val="none" w:sz="0" w:color="auto"/>
            </w:tcBorders>
          </w:tcPr>
          <w:p>
            <w:pPr>
              <w:spacing w:before="60" w:after="30"/>
            </w:pPr>
            <w:r>
              <w:rPr>
                <w:rFonts w:ascii="Arial" w:hAnsi="Arial"/>
                <w:b/>
                <w:color w:val="FFFFFF"/>
                <w:sz w:val="19"/>
              </w:rPr>
              <w:t>Tokenized USDT Amount Not Finalized</w:t>
            </w:r>
          </w:p>
          <w:p>
            <w:pPr>
              <w:spacing w:before="0" w:after="80"/>
            </w:pPr>
            <w:r>
              <w:rPr>
                <w:rFonts w:ascii="Arial" w:hAnsi="Arial"/>
                <w:color w:val="8B949E"/>
                <w:sz w:val="17"/>
              </w:rPr>
              <w:t>The field 'total_tokenised_value_usdt' contains placeholder text only: 'FINAL USDT AMOUNT TO BE CALCULATED...' — no actual USDT value was specified. The platform requires a confirmed final amount before tokenization.</w:t>
            </w:r>
          </w:p>
        </w:tc>
      </w:tr>
    </w:tbl>
    <w:p/>
    <w:tbl>
      <w:tblPr>
        <w:tblW w:type="auto" w:w="0"/>
        <w:jc w:val="center"/>
        <w:tblLook w:firstColumn="1" w:firstRow="1" w:lastColumn="0" w:lastRow="0" w:noHBand="0" w:noVBand="1" w:val="04A0"/>
      </w:tblPr>
      <w:tblGrid>
        <w:gridCol w:w="680"/>
        <w:gridCol w:w="8957"/>
      </w:tblGrid>
      <w:tr>
        <w:tc>
          <w:tcPr>
            <w:tcW w:type="dxa" w:w="680"/>
            <w:shd w:val="clear" w:color="auto" w:fill="C9A84C"/>
            <w:tcBorders>
              <w:top w:val="none" w:sz="0" w:color="auto"/>
              <w:left w:val="none" w:sz="0" w:color="auto"/>
              <w:bottom w:val="none" w:sz="0" w:color="auto"/>
              <w:right w:val="none" w:sz="0" w:color="auto"/>
            </w:tcBorders>
          </w:tcPr>
          <w:p>
            <w:pPr>
              <w:jc w:val="center"/>
              <w:spacing w:before="80" w:after="20"/>
            </w:pPr>
            <w:r>
              <w:rPr>
                <w:rFonts w:ascii="Arial" w:hAnsi="Arial"/>
                <w:b/>
                <w:color w:val="0D1117"/>
                <w:sz w:val="24"/>
              </w:rPr>
              <w:t>5</w:t>
            </w:r>
          </w:p>
        </w:tc>
        <w:tc>
          <w:tcPr>
            <w:tcW w:type="dxa" w:w="8957"/>
            <w:shd w:val="clear" w:color="auto" w:fill="161B22"/>
            <w:tcBorders>
              <w:top w:val="none" w:sz="0" w:color="auto"/>
              <w:left w:val="none" w:sz="0" w:color="auto"/>
              <w:bottom w:val="none" w:sz="0" w:color="auto"/>
              <w:right w:val="none" w:sz="0" w:color="auto"/>
            </w:tcBorders>
          </w:tcPr>
          <w:p>
            <w:pPr>
              <w:spacing w:before="60" w:after="30"/>
            </w:pPr>
            <w:r>
              <w:rPr>
                <w:rFonts w:ascii="Arial" w:hAnsi="Arial"/>
                <w:b/>
                <w:color w:val="FFFFFF"/>
                <w:sz w:val="19"/>
              </w:rPr>
              <w:t>Transaction Classified as Non-Transferable</w:t>
            </w:r>
          </w:p>
          <w:p>
            <w:pPr>
              <w:spacing w:before="0" w:after="80"/>
            </w:pPr>
            <w:r>
              <w:rPr>
                <w:rFonts w:ascii="Arial" w:hAnsi="Arial"/>
                <w:color w:val="8B949E"/>
                <w:sz w:val="17"/>
              </w:rPr>
              <w:t>Due to all of the above deficiencies, this transaction has been classified as NON-TRANSFERABLE by the ALSHUMOOKH compliance system. It cannot be tokenized, settled, or forwarded in its current form.</w:t>
            </w:r>
          </w:p>
        </w:tc>
      </w:tr>
    </w:tbl>
    <w:p/>
    <w:tbl>
      <w:tblPr>
        <w:tblW w:type="auto" w:w="0"/>
        <w:jc w:val="center"/>
        <w:tblLook w:firstColumn="1" w:firstRow="1" w:lastColumn="0" w:lastRow="0" w:noHBand="0" w:noVBand="1" w:val="04A0"/>
      </w:tblPr>
      <w:tblGrid>
        <w:gridCol w:w="9972"/>
      </w:tblGrid>
      <w:tr>
        <w:tc>
          <w:tcPr>
            <w:tcW w:type="dxa" w:w="9972"/>
            <w:shd w:val="clear" w:color="auto" w:fill="21262D"/>
            <w:tcBorders>
              <w:top w:val="single" w:sz="4" w:color="C9A84C"/>
              <w:left w:val="single" w:sz="4" w:color="C9A84C"/>
              <w:bottom w:val="single" w:sz="4" w:color="C9A84C"/>
              <w:right w:val="single" w:sz="4" w:color="C9A84C"/>
            </w:tcBorders>
          </w:tcPr>
          <w:p>
            <w:pPr>
              <w:jc w:val="left"/>
              <w:spacing w:before="60" w:after="60"/>
            </w:pPr>
            <w:r>
              <w:rPr>
                <w:rFonts w:ascii="Arial" w:hAnsi="Arial"/>
                <w:b/>
                <w:color w:val="C9A84C"/>
                <w:sz w:val="20"/>
              </w:rPr>
              <w:t>REQUIRED ACTIONS TO RESUBMIT</w:t>
            </w:r>
          </w:p>
        </w:tc>
      </w:tr>
    </w:tbl>
    <w:p/>
    <w:tbl>
      <w:tblPr>
        <w:tblW w:type="auto" w:w="0"/>
        <w:jc w:val="center"/>
        <w:tblLook w:firstColumn="1" w:firstRow="1" w:lastColumn="0" w:lastRow="0" w:noHBand="0" w:noVBand="1" w:val="04A0"/>
      </w:tblPr>
      <w:tblGrid>
        <w:gridCol w:w="454"/>
        <w:gridCol w:w="9184"/>
      </w:tblGrid>
      <w:tr>
        <w:tc>
          <w:tcPr>
            <w:tcW w:type="dxa" w:w="454"/>
            <w:shd w:val="clear" w:color="auto" w:fill="21262D"/>
            <w:tcBorders>
              <w:top w:val="none" w:sz="0" w:color="auto"/>
              <w:left w:val="none" w:sz="0" w:color="auto"/>
              <w:bottom w:val="none" w:sz="0" w:color="auto"/>
              <w:right w:val="none" w:sz="0" w:color="auto"/>
            </w:tcBorders>
          </w:tcPr>
          <w:p>
            <w:pPr>
              <w:jc w:val="center"/>
              <w:spacing w:before="40" w:after="40"/>
            </w:pPr>
            <w:r>
              <w:rPr>
                <w:rFonts w:ascii="Arial" w:hAnsi="Arial"/>
                <w:b/>
                <w:color w:val="C9A84C"/>
                <w:sz w:val="18"/>
              </w:rPr>
              <w:t>1</w:t>
            </w:r>
          </w:p>
        </w:tc>
        <w:tc>
          <w:tcPr>
            <w:tcW w:type="dxa" w:w="9184"/>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Resubmit the payload with  environment: PRODUCTION  (not PRECHECK)</w:t>
            </w:r>
          </w:p>
        </w:tc>
      </w:tr>
    </w:tbl>
    <w:tbl>
      <w:tblPr>
        <w:tblW w:type="auto" w:w="0"/>
        <w:jc w:val="center"/>
        <w:tblLook w:firstColumn="1" w:firstRow="1" w:lastColumn="0" w:lastRow="0" w:noHBand="0" w:noVBand="1" w:val="04A0"/>
      </w:tblPr>
      <w:tblGrid>
        <w:gridCol w:w="454"/>
        <w:gridCol w:w="9184"/>
      </w:tblGrid>
      <w:tr>
        <w:tc>
          <w:tcPr>
            <w:tcW w:type="dxa" w:w="454"/>
            <w:shd w:val="clear" w:color="auto" w:fill="21262D"/>
            <w:tcBorders>
              <w:top w:val="none" w:sz="0" w:color="auto"/>
              <w:left w:val="none" w:sz="0" w:color="auto"/>
              <w:bottom w:val="none" w:sz="0" w:color="auto"/>
              <w:right w:val="none" w:sz="0" w:color="auto"/>
            </w:tcBorders>
          </w:tcPr>
          <w:p>
            <w:pPr>
              <w:jc w:val="center"/>
              <w:spacing w:before="40" w:after="40"/>
            </w:pPr>
            <w:r>
              <w:rPr>
                <w:rFonts w:ascii="Arial" w:hAnsi="Arial"/>
                <w:b/>
                <w:color w:val="C9A84C"/>
                <w:sz w:val="18"/>
              </w:rPr>
              <w:t>2</w:t>
            </w:r>
          </w:p>
        </w:tc>
        <w:tc>
          <w:tcPr>
            <w:tcW w:type="dxa" w:w="9184"/>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Complete actual USDT transfer to treasury wallet: 0xBD682cfD8382a90adfDd6745780D3D7959c4d939</w:t>
            </w:r>
          </w:p>
        </w:tc>
      </w:tr>
    </w:tbl>
    <w:tbl>
      <w:tblPr>
        <w:tblW w:type="auto" w:w="0"/>
        <w:jc w:val="center"/>
        <w:tblLook w:firstColumn="1" w:firstRow="1" w:lastColumn="0" w:lastRow="0" w:noHBand="0" w:noVBand="1" w:val="04A0"/>
      </w:tblPr>
      <w:tblGrid>
        <w:gridCol w:w="454"/>
        <w:gridCol w:w="9184"/>
      </w:tblGrid>
      <w:tr>
        <w:tc>
          <w:tcPr>
            <w:tcW w:type="dxa" w:w="454"/>
            <w:shd w:val="clear" w:color="auto" w:fill="21262D"/>
            <w:tcBorders>
              <w:top w:val="none" w:sz="0" w:color="auto"/>
              <w:left w:val="none" w:sz="0" w:color="auto"/>
              <w:bottom w:val="none" w:sz="0" w:color="auto"/>
              <w:right w:val="none" w:sz="0" w:color="auto"/>
            </w:tcBorders>
          </w:tcPr>
          <w:p>
            <w:pPr>
              <w:jc w:val="center"/>
              <w:spacing w:before="40" w:after="40"/>
            </w:pPr>
            <w:r>
              <w:rPr>
                <w:rFonts w:ascii="Arial" w:hAnsi="Arial"/>
                <w:b/>
                <w:color w:val="C9A84C"/>
                <w:sz w:val="18"/>
              </w:rPr>
              <w:t>3</w:t>
            </w:r>
          </w:p>
        </w:tc>
        <w:tc>
          <w:tcPr>
            <w:tcW w:type="dxa" w:w="9184"/>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Include confirmed on-chain TX Hash as proof of the USDT transfer</w:t>
            </w:r>
          </w:p>
        </w:tc>
      </w:tr>
    </w:tbl>
    <w:tbl>
      <w:tblPr>
        <w:tblW w:type="auto" w:w="0"/>
        <w:jc w:val="center"/>
        <w:tblLook w:firstColumn="1" w:firstRow="1" w:lastColumn="0" w:lastRow="0" w:noHBand="0" w:noVBand="1" w:val="04A0"/>
      </w:tblPr>
      <w:tblGrid>
        <w:gridCol w:w="454"/>
        <w:gridCol w:w="9184"/>
      </w:tblGrid>
      <w:tr>
        <w:tc>
          <w:tcPr>
            <w:tcW w:type="dxa" w:w="454"/>
            <w:shd w:val="clear" w:color="auto" w:fill="21262D"/>
            <w:tcBorders>
              <w:top w:val="none" w:sz="0" w:color="auto"/>
              <w:left w:val="none" w:sz="0" w:color="auto"/>
              <w:bottom w:val="none" w:sz="0" w:color="auto"/>
              <w:right w:val="none" w:sz="0" w:color="auto"/>
            </w:tcBorders>
          </w:tcPr>
          <w:p>
            <w:pPr>
              <w:jc w:val="center"/>
              <w:spacing w:before="40" w:after="40"/>
            </w:pPr>
            <w:r>
              <w:rPr>
                <w:rFonts w:ascii="Arial" w:hAnsi="Arial"/>
                <w:b/>
                <w:color w:val="C9A84C"/>
                <w:sz w:val="18"/>
              </w:rPr>
              <w:t>4</w:t>
            </w:r>
          </w:p>
        </w:tc>
        <w:tc>
          <w:tcPr>
            <w:tcW w:type="dxa" w:w="9184"/>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Specify the exact final USDT amount after live EUR/USD conversion</w:t>
            </w:r>
          </w:p>
        </w:tc>
      </w:tr>
    </w:tbl>
    <w:tbl>
      <w:tblPr>
        <w:tblW w:type="auto" w:w="0"/>
        <w:jc w:val="center"/>
        <w:tblLook w:firstColumn="1" w:firstRow="1" w:lastColumn="0" w:lastRow="0" w:noHBand="0" w:noVBand="1" w:val="04A0"/>
      </w:tblPr>
      <w:tblGrid>
        <w:gridCol w:w="454"/>
        <w:gridCol w:w="9184"/>
      </w:tblGrid>
      <w:tr>
        <w:tc>
          <w:tcPr>
            <w:tcW w:type="dxa" w:w="454"/>
            <w:shd w:val="clear" w:color="auto" w:fill="21262D"/>
            <w:tcBorders>
              <w:top w:val="none" w:sz="0" w:color="auto"/>
              <w:left w:val="none" w:sz="0" w:color="auto"/>
              <w:bottom w:val="none" w:sz="0" w:color="auto"/>
              <w:right w:val="none" w:sz="0" w:color="auto"/>
            </w:tcBorders>
          </w:tcPr>
          <w:p>
            <w:pPr>
              <w:jc w:val="center"/>
              <w:spacing w:before="40" w:after="40"/>
            </w:pPr>
            <w:r>
              <w:rPr>
                <w:rFonts w:ascii="Arial" w:hAnsi="Arial"/>
                <w:b/>
                <w:color w:val="C9A84C"/>
                <w:sz w:val="18"/>
              </w:rPr>
              <w:t>5</w:t>
            </w:r>
          </w:p>
        </w:tc>
        <w:tc>
          <w:tcPr>
            <w:tcW w:type="dxa" w:w="9184"/>
            <w:shd w:val="clear" w:color="auto" w:fill="0D1117"/>
            <w:tcBorders>
              <w:top w:val="none" w:sz="0" w:color="auto"/>
              <w:left w:val="none" w:sz="0" w:color="auto"/>
              <w:bottom w:val="none" w:sz="0" w:color="auto"/>
              <w:right w:val="none" w:sz="0" w:color="auto"/>
            </w:tcBorders>
          </w:tcPr>
          <w:p>
            <w:pPr>
              <w:spacing w:before="40" w:after="40"/>
            </w:pPr>
            <w:r>
              <w:rPr>
                <w:rFonts w:ascii="Arial" w:hAnsi="Arial"/>
                <w:color w:val="C9D1D9"/>
                <w:sz w:val="18"/>
              </w:rPr>
              <w:t>Provide static sender IP addresses for IP whitelist registration prior to API submission</w:t>
            </w:r>
          </w:p>
        </w:tc>
      </w:tr>
    </w:tbl>
    <w:p/>
    <w:p>
      <w:pPr>
        <w:jc w:val="both"/>
        <w:spacing w:before="40" w:after="80"/>
      </w:pPr>
      <w:r>
        <w:rPr>
          <w:rFonts w:ascii="Arial" w:hAnsi="Arial"/>
          <w:color w:val="8B949E"/>
          <w:sz w:val="17"/>
        </w:rPr>
        <w:t>ALSHUMOOKH Global Banking Finance &amp; Credit reserves the right to reject any transaction that does not meet the platform's compliance and technical submission requirements. The sender is solely responsible for ensuring all submission criteria are met before resubmission.</w:t>
      </w:r>
    </w:p>
    <w:tbl>
      <w:tblPr>
        <w:tblW w:type="auto" w:w="0"/>
        <w:jc w:val="center"/>
        <w:tblLook w:firstColumn="1" w:firstRow="1" w:lastColumn="0" w:lastRow="0" w:noHBand="0" w:noVBand="1" w:val="04A0"/>
      </w:tblPr>
      <w:tblGrid>
        <w:gridCol w:w="6236"/>
        <w:gridCol w:w="3402"/>
      </w:tblGrid>
      <w:tr>
        <w:tc>
          <w:tcPr>
            <w:tcW w:type="dxa" w:w="6236"/>
            <w:shd w:val="clear" w:color="auto" w:fill="21262D"/>
            <w:tcBorders>
              <w:top w:val="single" w:sz="4" w:color="C9A84C"/>
              <w:left w:val="single" w:sz="4" w:color="C9A84C"/>
              <w:bottom w:val="single" w:sz="4" w:color="C9A84C"/>
              <w:right w:val="single" w:sz="4" w:color="C9A84C"/>
            </w:tcBorders>
          </w:tcPr>
          <w:p>
            <w:pPr>
              <w:spacing w:before="80" w:after="30"/>
            </w:pPr>
            <w:r>
              <w:rPr>
                <w:rFonts w:ascii="Arial" w:hAnsi="Arial"/>
                <w:b/>
                <w:color w:val="C9A84C"/>
                <w:sz w:val="18"/>
              </w:rPr>
              <w:t>Authorized by:</w:t>
            </w:r>
          </w:p>
          <w:p>
            <w:pPr>
              <w:spacing w:before="0" w:after="20"/>
            </w:pPr>
            <w:r>
              <w:rPr>
                <w:rFonts w:ascii="Arial" w:hAnsi="Arial"/>
                <w:b/>
                <w:color w:val="FFFFFF"/>
                <w:sz w:val="22"/>
              </w:rPr>
              <w:t>ALSHUMOOKH GLOBAL BANKING FINANCE &amp; CREDIT</w:t>
            </w:r>
          </w:p>
          <w:p>
            <w:pPr>
              <w:spacing w:before="0" w:after="80"/>
            </w:pPr>
            <w:r>
              <w:rPr>
                <w:rFonts w:ascii="Arial" w:hAnsi="Arial"/>
                <w:color w:val="8B949E"/>
                <w:sz w:val="18"/>
              </w:rPr>
              <w:t>Compliance &amp; Transaction Review Department</w:t>
            </w:r>
          </w:p>
        </w:tc>
        <w:tc>
          <w:tcPr>
            <w:tcW w:type="dxa" w:w="3402"/>
            <w:shd w:val="clear" w:color="auto" w:fill="21262D"/>
            <w:tcBorders>
              <w:top w:val="single" w:sz="4" w:color="C9A84C"/>
              <w:left w:val="single" w:sz="4" w:color="C9A84C"/>
              <w:bottom w:val="single" w:sz="4" w:color="C9A84C"/>
              <w:right w:val="single" w:sz="4" w:color="C9A84C"/>
            </w:tcBorders>
          </w:tcPr>
          <w:p>
            <w:pPr>
              <w:jc w:val="right"/>
              <w:spacing w:before="80" w:after="20"/>
            </w:pPr>
            <w:r>
              <w:rPr>
                <w:rFonts w:ascii="Arial" w:hAnsi="Arial"/>
                <w:b/>
                <w:color w:val="C9A84C"/>
                <w:sz w:val="20"/>
              </w:rPr>
              <w:t>23 June 2026</w:t>
            </w:r>
          </w:p>
          <w:p>
            <w:pPr>
              <w:jc w:val="right"/>
              <w:spacing w:before="0" w:after="80"/>
            </w:pPr>
            <w:r>
              <w:rPr>
                <w:rFonts w:ascii="Arial" w:hAnsi="Arial"/>
                <w:color w:val="C9D1D9"/>
                <w:sz w:val="18"/>
              </w:rPr>
              <w:t>Dubai, United Arab Emirates</w:t>
            </w:r>
          </w:p>
        </w:tc>
      </w:tr>
    </w:tbl>
    <w:p/>
    <w:p>
      <w:pPr>
        <w:pBdr>
          <w:top w:val="single" w:sz="12" w:color="C9A84C"/>
        </w:pBdr>
        <w:spacing w:before="0" w:after="30"/>
      </w:pPr>
    </w:p>
    <w:p>
      <w:pPr>
        <w:jc w:val="center"/>
        <w:spacing w:before="0" w:after="20"/>
      </w:pPr>
      <w:r>
        <w:rPr>
          <w:rFonts w:ascii="Arial" w:hAnsi="Arial"/>
          <w:color w:val="8B949E"/>
          <w:sz w:val="16"/>
        </w:rPr>
        <w:t>ALSHUMOOKH Global Banking Finance &amp; Credit  |  ceo@alshumookhgroup.ae  |  www.alshumookh-pay.com</w:t>
      </w:r>
    </w:p>
    <w:p>
      <w:pPr>
        <w:jc w:val="center"/>
        <w:spacing w:before="0" w:after="0"/>
      </w:pPr>
      <w:r>
        <w:rPr>
          <w:rFonts w:ascii="Arial" w:hAnsi="Arial"/>
          <w:color w:val="8B949E"/>
          <w:sz w:val="15"/>
        </w:rPr>
        <w:t>This is an official system-generated notice. Reference: ASIG-REJ-20260623-001</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