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C9A84C"/>
        <w:spacing w:before="0" w:after="0" w:line="120" w:lineRule="exact"/>
      </w:pPr>
    </w:p>
    <w:tbl>
      <w:tblPr>
        <w:tblW w:type="auto" w:w="0"/>
        <w:jc w:val="left"/>
        <w:tblLook w:firstColumn="1" w:firstRow="1" w:lastColumn="0" w:lastRow="0" w:noHBand="0" w:noVBand="1" w:val="04A0"/>
        <w:tblW w:w="10440" w:type="dxa"/>
      </w:tblPr>
      <w:tblGrid>
        <w:gridCol w:w="3213"/>
        <w:gridCol w:w="3213"/>
        <w:gridCol w:w="3213"/>
      </w:tblGrid>
      <w:tr>
        <w:trPr>
          <w:trHeight w:val="720"/>
        </w:trPr>
        <w:tc>
          <w:tcPr>
            <w:tcW w:type="dxa" w:w="3213"/>
            <w:shd w:val="clear" w:color="auto" w:fill="0A1628"/>
            <w:tcW w:w="1400" w:type="dxa"/>
            <w:vAlign w:val="center"/>
            <w:tcMar>
              <w:top w:w="80" w:type="dxa"/>
              <w:bottom w:w="80" w:type="dxa"/>
              <w:left w:w="160" w:type="dxa"/>
              <w:right w:w="80" w:type="dxa"/>
            </w:tcMar>
          </w:tcPr>
          <w:p>
            <w:pPr>
              <w:jc w:val="center"/>
            </w:pPr>
            <w:r>
              <w:rPr>
                <w:rFonts w:ascii="Arial" w:hAnsi="Arial"/>
                <w:b/>
                <w:color w:val="C9A84C"/>
                <w:sz w:val="18"/>
              </w:rPr>
              <w:t>ALSH</w:t>
              <w:br/>
              <w:t>GROUP</w:t>
            </w:r>
            <w:r>
              <w:rPr>
                <w:rFonts w:ascii="Arial" w:hAnsi="Arial"/>
                <w:color w:val="C9A84C"/>
                <w:sz w:val="14"/>
              </w:rPr>
              <w:br/>
              <w:t>★ ★ ★</w:t>
            </w:r>
          </w:p>
        </w:tc>
        <w:tc>
          <w:tcPr>
            <w:tcW w:type="dxa" w:w="3213"/>
            <w:shd w:val="clear" w:color="auto" w:fill="0A1628"/>
            <w:tcW w:w="7200" w:type="dxa"/>
            <w:vAlign w:val="center"/>
            <w:tcMar>
              <w:top w:w="100" w:type="dxa"/>
              <w:bottom w:w="80" w:type="dxa"/>
              <w:left w:w="160" w:type="dxa"/>
              <w:right w:w="80" w:type="dxa"/>
            </w:tcMar>
          </w:tcPr>
          <w:p>
            <w:r>
              <w:rPr>
                <w:rFonts w:ascii="Arial" w:hAnsi="Arial"/>
                <w:b/>
                <w:color w:val="FFFFFF"/>
                <w:sz w:val="24"/>
              </w:rPr>
              <w:t>ALSHUMOOKH GLOBAL BANKING FINANCE &amp; CREDIT</w:t>
            </w:r>
          </w:p>
          <w:p>
            <w:r>
              <w:rPr>
                <w:rFonts w:ascii="Arial" w:hAnsi="Arial"/>
                <w:i/>
                <w:color w:val="F3F4F6"/>
                <w:sz w:val="17"/>
              </w:rPr>
              <w:t>Official Transaction Status Update  —  PRIVATE &amp; CONFIDENTIAL</w:t>
            </w:r>
          </w:p>
        </w:tc>
        <w:tc>
          <w:tcPr>
            <w:tcW w:type="dxa" w:w="3213"/>
            <w:shd w:val="clear" w:color="auto" w:fill="0A1628"/>
            <w:tcW w:w="1840" w:type="dxa"/>
            <w:vAlign w:val="center"/>
            <w:tcMar>
              <w:top w:w="80" w:type="dxa"/>
              <w:bottom w:w="80" w:type="dxa"/>
              <w:left w:w="80" w:type="dxa"/>
              <w:right w:w="160" w:type="dxa"/>
            </w:tcMar>
          </w:tcPr>
          <w:p>
            <w:pPr>
              <w:jc w:val="right"/>
            </w:pPr>
            <w:r>
              <w:rPr>
                <w:rFonts w:ascii="Arial" w:hAnsi="Arial"/>
                <w:b/>
                <w:color w:val="C9A84C"/>
                <w:sz w:val="16"/>
              </w:rPr>
              <w:t>Ref: PR-MQKYKFM6</w:t>
            </w:r>
          </w:p>
          <w:p>
            <w:pPr>
              <w:jc w:val="right"/>
            </w:pPr>
            <w:r>
              <w:rPr>
                <w:rFonts w:ascii="Arial" w:hAnsi="Arial"/>
                <w:color w:val="9CA3AF"/>
                <w:sz w:val="15"/>
              </w:rPr>
              <w:t>alshumookh-pay.com</w:t>
            </w:r>
          </w:p>
        </w:tc>
      </w:tr>
    </w:tbl>
    <w:p>
      <w:pPr>
        <w:shd w:val="clear" w:color="auto" w:fill="C9A84C"/>
        <w:spacing w:before="0" w:after="120" w:line="80" w:lineRule="exact"/>
      </w:pPr>
    </w:p>
    <w:tbl>
      <w:tblPr>
        <w:tblW w:type="auto" w:w="0"/>
        <w:jc w:val="left"/>
        <w:tblLook w:firstColumn="1" w:firstRow="1" w:lastColumn="0" w:lastRow="0" w:noHBand="0" w:noVBand="1" w:val="04A0"/>
        <w:tblW w:w="10440" w:type="dxa"/>
      </w:tblPr>
      <w:tblGrid>
        <w:gridCol w:w="3213"/>
        <w:gridCol w:w="3213"/>
        <w:gridCol w:w="3213"/>
      </w:tblGrid>
      <w:tr>
        <w:tc>
          <w:tcPr>
            <w:tcW w:type="dxa" w:w="3213"/>
            <w:shd w:val="clear" w:color="auto" w:fill="F3F4F6"/>
            <w:tcBorders>
              <w:top w:val="single" w:sz="4" w:space="0" w:color="E5E7EB"/>
              <w:bottom w:val="single" w:sz="4" w:space="0" w:color="E5E7EB"/>
              <w:left w:val="single" w:sz="4" w:space="0" w:color="E5E7EB"/>
              <w:right w:val="single" w:sz="4" w:space="0" w:color="E5E7EB"/>
            </w:tcBorders>
            <w:tcMar>
              <w:top w:w="60" w:type="dxa"/>
              <w:bottom w:w="60" w:type="dxa"/>
              <w:left w:w="120" w:type="dxa"/>
              <w:right w:w="80" w:type="dxa"/>
            </w:tcMar>
            <w:tcW w:w="3480" w:type="dxa"/>
          </w:tcPr>
          <w:p>
            <w:r>
              <w:rPr>
                <w:rFonts w:ascii="Arial" w:hAnsi="Arial"/>
                <w:b/>
                <w:color w:val="9CA3AF"/>
                <w:sz w:val="15"/>
              </w:rPr>
              <w:t>DATE OF NOTICE</w:t>
            </w:r>
          </w:p>
        </w:tc>
        <w:tc>
          <w:tcPr>
            <w:tcW w:type="dxa" w:w="3213"/>
            <w:shd w:val="clear" w:color="auto" w:fill="F3F4F6"/>
            <w:tcBorders>
              <w:top w:val="single" w:sz="4" w:space="0" w:color="E5E7EB"/>
              <w:bottom w:val="single" w:sz="4" w:space="0" w:color="E5E7EB"/>
              <w:left w:val="single" w:sz="4" w:space="0" w:color="E5E7EB"/>
              <w:right w:val="single" w:sz="4" w:space="0" w:color="E5E7EB"/>
            </w:tcBorders>
            <w:tcMar>
              <w:top w:w="60" w:type="dxa"/>
              <w:bottom w:w="60" w:type="dxa"/>
              <w:left w:w="120" w:type="dxa"/>
              <w:right w:w="80" w:type="dxa"/>
            </w:tcMar>
            <w:tcW w:w="3480" w:type="dxa"/>
          </w:tcPr>
          <w:p>
            <w:r>
              <w:rPr>
                <w:rFonts w:ascii="Arial" w:hAnsi="Arial"/>
                <w:b/>
                <w:color w:val="9CA3AF"/>
                <w:sz w:val="15"/>
              </w:rPr>
              <w:t>REFERENCE NO.</w:t>
            </w:r>
          </w:p>
        </w:tc>
        <w:tc>
          <w:tcPr>
            <w:tcW w:type="dxa" w:w="3213"/>
            <w:shd w:val="clear" w:color="auto" w:fill="F3F4F6"/>
            <w:tcBorders>
              <w:top w:val="single" w:sz="4" w:space="0" w:color="E5E7EB"/>
              <w:bottom w:val="single" w:sz="4" w:space="0" w:color="E5E7EB"/>
              <w:left w:val="single" w:sz="4" w:space="0" w:color="E5E7EB"/>
              <w:right w:val="single" w:sz="4" w:space="0" w:color="E5E7EB"/>
            </w:tcBorders>
            <w:tcMar>
              <w:top w:w="60" w:type="dxa"/>
              <w:bottom w:w="60" w:type="dxa"/>
              <w:left w:w="120" w:type="dxa"/>
              <w:right w:w="80" w:type="dxa"/>
            </w:tcMar>
            <w:tcW w:w="3480" w:type="dxa"/>
          </w:tcPr>
          <w:p>
            <w:r>
              <w:rPr>
                <w:rFonts w:ascii="Arial" w:hAnsi="Arial"/>
                <w:b/>
                <w:color w:val="9CA3AF"/>
                <w:sz w:val="15"/>
              </w:rPr>
              <w:t>DOCUMENT TYPE</w:t>
            </w:r>
          </w:p>
        </w:tc>
      </w:tr>
      <w:tr>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60" w:type="dxa"/>
              <w:bottom w:w="80" w:type="dxa"/>
              <w:left w:w="120" w:type="dxa"/>
              <w:right w:w="80" w:type="dxa"/>
            </w:tcMar>
            <w:tcW w:w="3480" w:type="dxa"/>
          </w:tcPr>
          <w:p>
            <w:r>
              <w:rPr>
                <w:rFonts w:ascii="Arial" w:hAnsi="Arial"/>
                <w:b/>
                <w:color w:val="0A1628"/>
                <w:sz w:val="20"/>
              </w:rPr>
              <w:t>19 June 2026</w:t>
            </w:r>
          </w:p>
        </w:tc>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60" w:type="dxa"/>
              <w:bottom w:w="80" w:type="dxa"/>
              <w:left w:w="120" w:type="dxa"/>
              <w:right w:w="80" w:type="dxa"/>
            </w:tcMar>
            <w:tcW w:w="3480" w:type="dxa"/>
          </w:tcPr>
          <w:p>
            <w:r>
              <w:rPr>
                <w:rFonts w:ascii="Arial" w:hAnsi="Arial"/>
                <w:b/>
                <w:color w:val="0A1628"/>
                <w:sz w:val="20"/>
              </w:rPr>
              <w:t>PR-MQKYKFM6</w:t>
            </w:r>
          </w:p>
        </w:tc>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60" w:type="dxa"/>
              <w:bottom w:w="80" w:type="dxa"/>
              <w:left w:w="120" w:type="dxa"/>
              <w:right w:w="80" w:type="dxa"/>
            </w:tcMar>
            <w:tcW w:w="3480" w:type="dxa"/>
          </w:tcPr>
          <w:p>
            <w:r>
              <w:rPr>
                <w:rFonts w:ascii="Arial" w:hAnsi="Arial"/>
                <w:b/>
                <w:color w:val="0A1628"/>
                <w:sz w:val="20"/>
              </w:rPr>
              <w:t>Transaction Status Update</w:t>
            </w:r>
          </w:p>
        </w:tc>
      </w:tr>
    </w:tbl>
    <w:p>
      <w:pPr>
        <w:spacing w:after="40"/>
      </w:pPr>
    </w:p>
    <w:p>
      <w:pPr>
        <w:shd w:val="clear" w:color="auto" w:fill="DBEAFE"/>
        <w:pBdr>
          <w:top w:val="single" w:sz="8" w:space="4" w:color="C9A84C"/>
          <w:bottom w:val="single" w:sz="8" w:space="4" w:color="C9A84C"/>
        </w:pBdr>
        <w:spacing w:before="120" w:after="120"/>
        <w:ind w:left="170"/>
      </w:pPr>
      <w:r>
        <w:rPr>
          <w:rFonts w:ascii="Arial" w:hAnsi="Arial"/>
          <w:b/>
          <w:color w:val="0A1628"/>
          <w:sz w:val="20"/>
        </w:rPr>
        <w:t xml:space="preserve">SUBJECT:  </w:t>
      </w:r>
      <w:r>
        <w:rPr>
          <w:rFonts w:ascii="Arial" w:hAnsi="Arial"/>
          <w:color w:val="1E3A5F"/>
          <w:sz w:val="20"/>
        </w:rPr>
        <w:t>Transaction Status Update — Outbound Transfer  |  26,633,164.5 SIG  |  Ref: PR-MQKYKFM6</w:t>
      </w:r>
    </w:p>
    <w:p>
      <w:pPr>
        <w:spacing w:after="80"/>
      </w:pPr>
    </w:p>
    <w:p>
      <w:pPr>
        <w:spacing w:before="0" w:after="120"/>
      </w:pPr>
      <w:r>
        <w:rPr>
          <w:rFonts w:ascii="Arial" w:hAnsi="Arial"/>
          <w:b w:val="0"/>
          <w:i w:val="0"/>
          <w:color w:val="1F2937"/>
          <w:sz w:val="20"/>
        </w:rPr>
        <w:t>Dear Valued Counterparty,</w:t>
      </w:r>
    </w:p>
    <w:p>
      <w:pPr>
        <w:spacing w:before="0" w:after="160"/>
        <w:jc w:val="both"/>
      </w:pPr>
      <w:r>
        <w:rPr>
          <w:rFonts w:ascii="Arial" w:hAnsi="Arial"/>
          <w:b w:val="0"/>
          <w:i w:val="0"/>
          <w:sz w:val="20"/>
        </w:rPr>
        <w:t xml:space="preserve">We are pleased to provide you with this official status update regarding your outbound transfer transaction, Reference </w:t>
      </w:r>
      <w:r>
        <w:rPr>
          <w:rFonts w:ascii="Arial" w:hAnsi="Arial"/>
          <w:b/>
          <w:i w:val="0"/>
          <w:color w:val="0A1628"/>
          <w:sz w:val="20"/>
        </w:rPr>
        <w:t>PR-MQKYKFM6</w:t>
      </w:r>
      <w:r>
        <w:rPr>
          <w:rFonts w:ascii="Arial" w:hAnsi="Arial"/>
          <w:b w:val="0"/>
          <w:i w:val="0"/>
          <w:sz w:val="20"/>
        </w:rPr>
        <w:t>, processed through the ALSHUMOOKH GLOBAL BANKING FINANCE &amp; CREDIT settlement platform. This notice is issued in accordance with our standard communication protocol for transactions currently undergoing the liquidity settlement process.</w:t>
      </w:r>
    </w:p>
    <w:tbl>
      <w:tblPr>
        <w:tblW w:type="auto" w:w="0"/>
        <w:jc w:val="left"/>
        <w:tblLook w:firstColumn="1" w:firstRow="1" w:lastColumn="0" w:lastRow="0" w:noHBand="0" w:noVBand="1" w:val="04A0"/>
        <w:tblW w:w="10440" w:type="dxa"/>
      </w:tblPr>
      <w:tblGrid>
        <w:gridCol w:w="4819"/>
        <w:gridCol w:w="4819"/>
      </w:tblGrid>
      <w:tr>
        <w:trPr>
          <w:trHeight w:val="600"/>
        </w:trPr>
        <w:tc>
          <w:tcPr>
            <w:tcW w:type="dxa" w:w="4819"/>
            <w:shd w:val="clear" w:color="auto" w:fill="FEF3C7"/>
            <w:tcW w:w="3600" w:type="dxa"/>
            <w:vAlign w:val="center"/>
            <w:tcBorders>
              <w:top w:val="single" w:sz="8" w:space="0" w:color="D97706"/>
              <w:bottom w:val="single" w:sz="8" w:space="0" w:color="D97706"/>
              <w:left w:val="single" w:sz="8" w:space="0" w:color="D97706"/>
              <w:right w:val="single" w:sz="8" w:space="0" w:color="D97706"/>
            </w:tcBorders>
            <w:tcMar>
              <w:top w:w="120" w:type="dxa"/>
              <w:bottom w:w="120" w:type="dxa"/>
              <w:left w:w="160" w:type="dxa"/>
              <w:right w:w="160" w:type="dxa"/>
            </w:tcMar>
          </w:tcPr>
          <w:p>
            <w:pPr>
              <w:jc w:val="center"/>
            </w:pPr>
            <w:r>
              <w:rPr>
                <w:rFonts w:ascii="Arial" w:hAnsi="Arial"/>
                <w:b/>
                <w:color w:val="92400E"/>
                <w:sz w:val="15"/>
              </w:rPr>
              <w:t>CURRENT STATUS</w:t>
            </w:r>
          </w:p>
          <w:p>
            <w:pPr>
              <w:jc w:val="center"/>
            </w:pPr>
            <w:r>
              <w:rPr>
                <w:rFonts w:ascii="Arial" w:hAnsi="Arial"/>
                <w:b/>
                <w:color w:val="D97706"/>
                <w:sz w:val="28"/>
              </w:rPr>
              <w:t xml:space="preserve">  PROCESSING</w:t>
            </w:r>
          </w:p>
        </w:tc>
        <w:tc>
          <w:tcPr>
            <w:tcW w:type="dxa" w:w="4819"/>
            <w:shd w:val="clear" w:color="auto" w:fill="0D9488"/>
            <w:tcW w:w="6840" w:type="dxa"/>
            <w:vAlign w:val="center"/>
            <w:tcBorders>
              <w:top w:val="single" w:sz="8" w:space="0" w:color="0D9488"/>
              <w:bottom w:val="single" w:sz="8" w:space="0" w:color="0D9488"/>
              <w:left w:val="single" w:sz="8" w:space="0" w:color="0D9488"/>
              <w:right w:val="single" w:sz="8" w:space="0" w:color="0D9488"/>
            </w:tcBorders>
            <w:tcMar>
              <w:top w:w="120" w:type="dxa"/>
              <w:bottom w:w="120" w:type="dxa"/>
              <w:left w:w="200" w:type="dxa"/>
              <w:right w:w="160" w:type="dxa"/>
            </w:tcMar>
          </w:tcPr>
          <w:p>
            <w:pPr>
              <w:jc w:val="center"/>
            </w:pPr>
            <w:r>
              <w:rPr>
                <w:rFonts w:ascii="Arial" w:hAnsi="Arial"/>
                <w:b/>
                <w:color w:val="F3F4F6"/>
                <w:sz w:val="16"/>
              </w:rPr>
              <w:t>EXPECTED SETTLEMENT DATE</w:t>
            </w:r>
          </w:p>
          <w:p>
            <w:pPr>
              <w:jc w:val="center"/>
            </w:pPr>
            <w:r>
              <w:rPr>
                <w:rFonts w:ascii="Arial" w:hAnsi="Arial"/>
                <w:b/>
                <w:color w:val="FFFFFF"/>
                <w:sz w:val="28"/>
              </w:rPr>
              <w:t>Tuesday, 23 June 2026</w:t>
            </w:r>
          </w:p>
          <w:p>
            <w:pPr>
              <w:jc w:val="center"/>
            </w:pPr>
            <w:r>
              <w:rPr>
                <w:rFonts w:ascii="Arial" w:hAnsi="Arial"/>
                <w:i/>
                <w:color w:val="F3F4F6"/>
                <w:sz w:val="17"/>
              </w:rPr>
              <w:t>Expected settlement into your designated wallet</w:t>
            </w:r>
          </w:p>
        </w:tc>
      </w:tr>
    </w:tbl>
    <w:p>
      <w:pPr>
        <w:spacing w:after="120"/>
      </w:pPr>
    </w:p>
    <w:p>
      <w:pPr>
        <w:shd w:val="clear" w:color="auto" w:fill="0A1628"/>
        <w:spacing w:before="0" w:after="0"/>
        <w:ind w:left="0" w:right="0"/>
      </w:pPr>
      <w:r>
        <w:rPr>
          <w:rFonts w:ascii="Arial" w:hAnsi="Arial"/>
          <w:b/>
          <w:color w:val="FFFFFF"/>
          <w:sz w:val="18"/>
        </w:rPr>
        <w:t xml:space="preserve">  IMPORTANT NOTICE  —  Current Transaction Status</w:t>
      </w:r>
    </w:p>
    <w:p>
      <w:pPr>
        <w:shd w:val="clear" w:color="auto" w:fill="FEF3C7"/>
        <w:pBdr>
          <w:bottom w:val="single" w:sz="6" w:space="4" w:color="D97706"/>
        </w:pBdr>
        <w:spacing w:before="0" w:after="0"/>
        <w:ind w:left="170" w:right="170"/>
        <w:jc w:val="both"/>
      </w:pPr>
      <w:r>
        <w:rPr>
          <w:rFonts w:ascii="Arial" w:hAnsi="Arial"/>
          <w:color w:val="92400E"/>
          <w:sz w:val="19"/>
        </w:rPr>
        <w:t xml:space="preserve">The above transaction is currently being processed by the settlement platform and is undergoing the liquidity conversion and settlement process. </w:t>
      </w:r>
      <w:r>
        <w:rPr>
          <w:rFonts w:ascii="Arial" w:hAnsi="Arial"/>
          <w:b/>
          <w:color w:val="92400E"/>
          <w:sz w:val="19"/>
        </w:rPr>
        <w:t>The transaction has been submitted to the platform for liquidation,</w:t>
      </w:r>
      <w:r>
        <w:rPr>
          <w:rFonts w:ascii="Arial" w:hAnsi="Arial"/>
          <w:color w:val="92400E"/>
          <w:sz w:val="19"/>
        </w:rPr>
        <w:t xml:space="preserve"> and the corresponding value is expected to be fully settled and credited to your designated wallet by </w:t>
      </w:r>
      <w:r>
        <w:rPr>
          <w:rFonts w:ascii="Arial" w:hAnsi="Arial"/>
          <w:b/>
          <w:color w:val="92400E"/>
          <w:sz w:val="19"/>
          <w:u w:val="single"/>
        </w:rPr>
        <w:t>Tuesday, 23 June 2026</w:t>
      </w:r>
      <w:r>
        <w:rPr>
          <w:rFonts w:ascii="Arial" w:hAnsi="Arial"/>
          <w:color w:val="92400E"/>
          <w:sz w:val="19"/>
        </w:rPr>
        <w:t>. Our operations team is actively monitoring this process and will provide immediate notification upon completion.</w:t>
      </w:r>
    </w:p>
    <w:p>
      <w:pPr>
        <w:spacing w:after="120"/>
      </w:pPr>
    </w:p>
    <w:p>
      <w:pPr>
        <w:shd w:val="clear" w:color="auto" w:fill="0A1628"/>
        <w:spacing w:before="0" w:after="0"/>
      </w:pPr>
      <w:r>
        <w:rPr>
          <w:rFonts w:ascii="Arial" w:hAnsi="Arial"/>
          <w:b/>
          <w:color w:val="FFFFFF"/>
          <w:sz w:val="18"/>
        </w:rPr>
        <w:t xml:space="preserve">  TRANSACTION DETAILS</w:t>
      </w:r>
    </w:p>
    <w:tbl>
      <w:tblPr>
        <w:tblW w:type="auto" w:w="0"/>
        <w:jc w:val="left"/>
        <w:tblLook w:firstColumn="1" w:firstRow="1" w:lastColumn="0" w:lastRow="0" w:noHBand="0" w:noVBand="1" w:val="04A0"/>
        <w:tblW w:w="10440" w:type="dxa"/>
      </w:tblPr>
      <w:tblGrid>
        <w:gridCol w:w="4819"/>
        <w:gridCol w:w="4819"/>
      </w:tblGrid>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Transfer Reference</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0A1628"/>
                <w:sz w:val="19"/>
              </w:rPr>
              <w:t>PR-MQKYKFM6</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Transfer ID</w:t>
            </w:r>
          </w:p>
        </w:tc>
        <w:tc>
          <w:tcPr>
            <w:tcW w:type="dxa" w:w="4819"/>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Courier New" w:hAnsi="Courier New"/>
                <w:b w:val="0"/>
                <w:color w:val="374151"/>
                <w:sz w:val="16"/>
              </w:rPr>
              <w:t>521b2476-69e7-420a-8737-3822bc34da0e</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Network</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val="0"/>
                <w:color w:val="1F2937"/>
                <w:sz w:val="19"/>
              </w:rPr>
              <w:t>ETHEREUM</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Asset</w:t>
            </w:r>
          </w:p>
        </w:tc>
        <w:tc>
          <w:tcPr>
            <w:tcW w:type="dxa" w:w="4819"/>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val="0"/>
                <w:color w:val="1F2937"/>
                <w:sz w:val="19"/>
              </w:rPr>
              <w:t>SIG</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Transfer Amount</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2563EB"/>
                <w:sz w:val="19"/>
              </w:rPr>
              <w:t>26,633,164.5 SIG</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Blockchain TX Hash</w:t>
            </w:r>
          </w:p>
        </w:tc>
        <w:tc>
          <w:tcPr>
            <w:tcW w:type="dxa" w:w="4819"/>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Courier New" w:hAnsi="Courier New"/>
                <w:b w:val="0"/>
                <w:color w:val="374151"/>
                <w:sz w:val="16"/>
              </w:rPr>
              <w:t>0x9d81c52709ccda70c21285479a9598bc6c2c778c71a7d1010b4b21b89c67bdb7</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Destination Wallet</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Courier New" w:hAnsi="Courier New"/>
                <w:b w:val="0"/>
                <w:color w:val="374151"/>
                <w:sz w:val="16"/>
              </w:rPr>
              <w:t>0xBD682cfD8382a90adfDd6745780D3D7959c4d939</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Approval Status</w:t>
            </w:r>
          </w:p>
        </w:tc>
        <w:tc>
          <w:tcPr>
            <w:tcW w:type="dxa" w:w="4819"/>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059669"/>
                <w:sz w:val="19"/>
              </w:rPr>
              <w:t>CONFIRMED  ✓</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Approved By</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val="0"/>
                <w:color w:val="1F2937"/>
                <w:sz w:val="19"/>
              </w:rPr>
              <w:t>admin — ALSHUMOOKH Settlement Operations</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Approved At</w:t>
            </w:r>
          </w:p>
        </w:tc>
        <w:tc>
          <w:tcPr>
            <w:tcW w:type="dxa" w:w="4819"/>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val="0"/>
                <w:color w:val="1F2937"/>
                <w:sz w:val="19"/>
              </w:rPr>
              <w:t>12 June 2026 — 12:30:37 UTC</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Transaction Completed</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val="0"/>
                <w:color w:val="1F2937"/>
                <w:sz w:val="19"/>
              </w:rPr>
              <w:t>12 June 2026 — 12:36:14 UTC</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Liquidation Rate</w:t>
            </w:r>
          </w:p>
        </w:tc>
        <w:tc>
          <w:tcPr>
            <w:tcW w:type="dxa" w:w="4819"/>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1F2937"/>
                <w:sz w:val="19"/>
              </w:rPr>
              <w:t>72.3%</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Post-Liquidation Amount</w:t>
            </w:r>
          </w:p>
        </w:tc>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0D9488"/>
                <w:sz w:val="19"/>
              </w:rPr>
              <w:t>26,633,164.5 USDC</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Platform Status</w:t>
            </w:r>
          </w:p>
        </w:tc>
        <w:tc>
          <w:tcPr>
            <w:tcW w:type="dxa" w:w="4819"/>
            <w:shd w:val="clear" w:color="auto" w:fill="FEF3C7"/>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D97706"/>
                <w:sz w:val="19"/>
              </w:rPr>
              <w:t>Transaction submitted to platform for liquidation</w:t>
            </w:r>
          </w:p>
        </w:tc>
      </w:tr>
      <w:tr>
        <w:tc>
          <w:tcPr>
            <w:tcW w:type="dxa" w:w="4819"/>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3200" w:type="dxa"/>
            <w:vAlign w:val="center"/>
          </w:tcPr>
          <w:p>
            <w:r>
              <w:rPr>
                <w:rFonts w:ascii="Arial" w:hAnsi="Arial"/>
                <w:b/>
                <w:color w:val="374151"/>
                <w:sz w:val="18"/>
              </w:rPr>
              <w:t>Expected Settlement Date</w:t>
            </w:r>
          </w:p>
        </w:tc>
        <w:tc>
          <w:tcPr>
            <w:tcW w:type="dxa" w:w="4819"/>
            <w:shd w:val="clear" w:color="auto" w:fill="CCFBF1"/>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7240" w:type="dxa"/>
            <w:vAlign w:val="center"/>
          </w:tcPr>
          <w:p>
            <w:r>
              <w:rPr>
                <w:rFonts w:ascii="Arial" w:hAnsi="Arial"/>
                <w:b/>
                <w:color w:val="0D9488"/>
                <w:sz w:val="19"/>
              </w:rPr>
              <w:t>Tuesday, 23 June 2026</w:t>
            </w:r>
          </w:p>
        </w:tc>
      </w:tr>
    </w:tbl>
    <w:p>
      <w:pPr>
        <w:spacing w:after="120"/>
      </w:pPr>
    </w:p>
    <w:p>
      <w:pPr>
        <w:shd w:val="clear" w:color="auto" w:fill="0A1628"/>
        <w:spacing w:before="0" w:after="0"/>
      </w:pPr>
      <w:r>
        <w:rPr>
          <w:rFonts w:ascii="Arial" w:hAnsi="Arial"/>
          <w:b/>
          <w:color w:val="FFFFFF"/>
          <w:sz w:val="18"/>
        </w:rPr>
        <w:t xml:space="preserve">  SETTLEMENT TIMELINE</w:t>
      </w:r>
    </w:p>
    <w:tbl>
      <w:tblPr>
        <w:tblW w:type="auto" w:w="0"/>
        <w:jc w:val="left"/>
        <w:tblLook w:firstColumn="1" w:firstRow="1" w:lastColumn="0" w:lastRow="0" w:noHBand="0" w:noVBand="1" w:val="04A0"/>
        <w:tblW w:w="10440" w:type="dxa"/>
      </w:tblPr>
      <w:tblGrid>
        <w:gridCol w:w="3213"/>
        <w:gridCol w:w="3213"/>
        <w:gridCol w:w="3213"/>
      </w:tblGrid>
      <w:tr>
        <w:tc>
          <w:tcPr>
            <w:tcW w:type="dxa" w:w="3213"/>
            <w:shd w:val="clear" w:color="auto" w:fill="0A1628"/>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600" w:type="dxa"/>
            <w:vAlign w:val="center"/>
          </w:tcPr>
          <w:p>
            <w:pPr>
              <w:jc w:val="left"/>
            </w:pPr>
            <w:r>
              <w:rPr>
                <w:rFonts w:ascii="Arial" w:hAnsi="Arial"/>
                <w:b/>
                <w:color w:val="FFFFFF"/>
                <w:sz w:val="16"/>
              </w:rPr>
              <w:t>DATE / TIME</w:t>
            </w:r>
          </w:p>
        </w:tc>
        <w:tc>
          <w:tcPr>
            <w:tcW w:type="dxa" w:w="3213"/>
            <w:shd w:val="clear" w:color="auto" w:fill="0A1628"/>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5600" w:type="dxa"/>
            <w:vAlign w:val="center"/>
          </w:tcPr>
          <w:p>
            <w:pPr>
              <w:jc w:val="left"/>
            </w:pPr>
            <w:r>
              <w:rPr>
                <w:rFonts w:ascii="Arial" w:hAnsi="Arial"/>
                <w:b/>
                <w:color w:val="FFFFFF"/>
                <w:sz w:val="16"/>
              </w:rPr>
              <w:t>MILESTONE</w:t>
            </w:r>
          </w:p>
        </w:tc>
        <w:tc>
          <w:tcPr>
            <w:tcW w:type="dxa" w:w="3213"/>
            <w:shd w:val="clear" w:color="auto" w:fill="0A1628"/>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240" w:type="dxa"/>
            <w:vAlign w:val="center"/>
          </w:tcPr>
          <w:p>
            <w:pPr>
              <w:jc w:val="center"/>
            </w:pPr>
            <w:r>
              <w:rPr>
                <w:rFonts w:ascii="Arial" w:hAnsi="Arial"/>
                <w:b/>
                <w:color w:val="FFFFFF"/>
                <w:sz w:val="16"/>
              </w:rPr>
              <w:t>STATUS</w:t>
            </w:r>
          </w:p>
        </w:tc>
      </w:tr>
      <w:tr>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600" w:type="dxa"/>
            <w:vAlign w:val="center"/>
          </w:tcPr>
          <w:p>
            <w:pPr>
              <w:jc w:val="left"/>
            </w:pPr>
            <w:r>
              <w:rPr>
                <w:rFonts w:ascii="Arial" w:hAnsi="Arial"/>
                <w:b w:val="0"/>
                <w:color w:val="374151"/>
                <w:sz w:val="18"/>
              </w:rPr>
              <w:t>12 Jun 2026 — 12:29 UTC</w:t>
            </w:r>
          </w:p>
        </w:tc>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5600" w:type="dxa"/>
            <w:vAlign w:val="center"/>
          </w:tcPr>
          <w:p>
            <w:pPr>
              <w:jc w:val="left"/>
            </w:pPr>
            <w:r>
              <w:rPr>
                <w:rFonts w:ascii="Arial" w:hAnsi="Arial"/>
                <w:b w:val="0"/>
                <w:color w:val="1F2937"/>
                <w:sz w:val="18"/>
              </w:rPr>
              <w:t>Transfer initiated &amp; submitted to settlement pipeline</w:t>
            </w:r>
          </w:p>
        </w:tc>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240" w:type="dxa"/>
            <w:vAlign w:val="center"/>
          </w:tcPr>
          <w:p>
            <w:pPr>
              <w:jc w:val="center"/>
            </w:pPr>
            <w:r>
              <w:rPr>
                <w:rFonts w:ascii="Arial" w:hAnsi="Arial"/>
                <w:b/>
                <w:color w:val="059669"/>
                <w:sz w:val="18"/>
              </w:rPr>
              <w:t>✓  COMPLETED</w:t>
            </w:r>
          </w:p>
        </w:tc>
      </w:tr>
      <w:tr>
        <w:tc>
          <w:tcPr>
            <w:tcW w:type="dxa" w:w="3213"/>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600" w:type="dxa"/>
            <w:vAlign w:val="center"/>
          </w:tcPr>
          <w:p>
            <w:pPr>
              <w:jc w:val="left"/>
            </w:pPr>
            <w:r>
              <w:rPr>
                <w:rFonts w:ascii="Arial" w:hAnsi="Arial"/>
                <w:b w:val="0"/>
                <w:color w:val="374151"/>
                <w:sz w:val="18"/>
              </w:rPr>
              <w:t>12 Jun 2026 — 12:30 UTC</w:t>
            </w:r>
          </w:p>
        </w:tc>
        <w:tc>
          <w:tcPr>
            <w:tcW w:type="dxa" w:w="3213"/>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5600" w:type="dxa"/>
            <w:vAlign w:val="center"/>
          </w:tcPr>
          <w:p>
            <w:pPr>
              <w:jc w:val="left"/>
            </w:pPr>
            <w:r>
              <w:rPr>
                <w:rFonts w:ascii="Arial" w:hAnsi="Arial"/>
                <w:b w:val="0"/>
                <w:color w:val="1F2937"/>
                <w:sz w:val="18"/>
              </w:rPr>
              <w:t>Admin approval granted — settlement authorized</w:t>
            </w:r>
          </w:p>
        </w:tc>
        <w:tc>
          <w:tcPr>
            <w:tcW w:type="dxa" w:w="3213"/>
            <w:shd w:val="clear" w:color="auto" w:fill="F3F4F6"/>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240" w:type="dxa"/>
            <w:vAlign w:val="center"/>
          </w:tcPr>
          <w:p>
            <w:pPr>
              <w:jc w:val="center"/>
            </w:pPr>
            <w:r>
              <w:rPr>
                <w:rFonts w:ascii="Arial" w:hAnsi="Arial"/>
                <w:b/>
                <w:color w:val="059669"/>
                <w:sz w:val="18"/>
              </w:rPr>
              <w:t>✓  COMPLETED</w:t>
            </w:r>
          </w:p>
        </w:tc>
      </w:tr>
      <w:tr>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600" w:type="dxa"/>
            <w:vAlign w:val="center"/>
          </w:tcPr>
          <w:p>
            <w:pPr>
              <w:jc w:val="left"/>
            </w:pPr>
            <w:r>
              <w:rPr>
                <w:rFonts w:ascii="Arial" w:hAnsi="Arial"/>
                <w:b w:val="0"/>
                <w:color w:val="374151"/>
                <w:sz w:val="18"/>
              </w:rPr>
              <w:t>12 Jun 2026 — 12:36 UTC</w:t>
            </w:r>
          </w:p>
        </w:tc>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5600" w:type="dxa"/>
            <w:vAlign w:val="center"/>
          </w:tcPr>
          <w:p>
            <w:pPr>
              <w:jc w:val="left"/>
            </w:pPr>
            <w:r>
              <w:rPr>
                <w:rFonts w:ascii="Arial" w:hAnsi="Arial"/>
                <w:b w:val="0"/>
                <w:color w:val="1F2937"/>
                <w:sz w:val="18"/>
              </w:rPr>
              <w:t>On-chain transaction confirmed on Ethereum Mainnet</w:t>
            </w:r>
          </w:p>
        </w:tc>
        <w:tc>
          <w:tcPr>
            <w:tcW w:type="dxa" w:w="3213"/>
            <w:shd w:val="clear" w:color="auto" w:fill="FFFFFF"/>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240" w:type="dxa"/>
            <w:vAlign w:val="center"/>
          </w:tcPr>
          <w:p>
            <w:pPr>
              <w:jc w:val="center"/>
            </w:pPr>
            <w:r>
              <w:rPr>
                <w:rFonts w:ascii="Arial" w:hAnsi="Arial"/>
                <w:b/>
                <w:color w:val="059669"/>
                <w:sz w:val="18"/>
              </w:rPr>
              <w:t>✓  CONFIRMED</w:t>
            </w:r>
          </w:p>
        </w:tc>
      </w:tr>
      <w:tr>
        <w:tc>
          <w:tcPr>
            <w:tcW w:type="dxa" w:w="3213"/>
            <w:shd w:val="clear" w:color="auto" w:fill="FEF3C7"/>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600" w:type="dxa"/>
            <w:vAlign w:val="center"/>
          </w:tcPr>
          <w:p>
            <w:pPr>
              <w:jc w:val="left"/>
            </w:pPr>
            <w:r>
              <w:rPr>
                <w:rFonts w:ascii="Arial" w:hAnsi="Arial"/>
                <w:b w:val="0"/>
                <w:color w:val="92400E"/>
                <w:sz w:val="18"/>
              </w:rPr>
              <w:t>19 Jun 2026 (Today)</w:t>
            </w:r>
          </w:p>
        </w:tc>
        <w:tc>
          <w:tcPr>
            <w:tcW w:type="dxa" w:w="3213"/>
            <w:shd w:val="clear" w:color="auto" w:fill="FEF3C7"/>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5600" w:type="dxa"/>
            <w:vAlign w:val="center"/>
          </w:tcPr>
          <w:p>
            <w:pPr>
              <w:jc w:val="left"/>
            </w:pPr>
            <w:r>
              <w:rPr>
                <w:rFonts w:ascii="Arial" w:hAnsi="Arial"/>
                <w:b w:val="0"/>
                <w:color w:val="92400E"/>
                <w:sz w:val="18"/>
              </w:rPr>
              <w:t>Transaction submitted to platform for liquidation — IN PROGRESS</w:t>
            </w:r>
          </w:p>
        </w:tc>
        <w:tc>
          <w:tcPr>
            <w:tcW w:type="dxa" w:w="3213"/>
            <w:shd w:val="clear" w:color="auto" w:fill="FEF3C7"/>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240" w:type="dxa"/>
            <w:vAlign w:val="center"/>
          </w:tcPr>
          <w:p>
            <w:pPr>
              <w:jc w:val="center"/>
            </w:pPr>
            <w:r>
              <w:rPr>
                <w:rFonts w:ascii="Arial" w:hAnsi="Arial"/>
                <w:b/>
                <w:color w:val="D97706"/>
                <w:sz w:val="18"/>
              </w:rPr>
              <w:t>●  PROCESSING</w:t>
            </w:r>
          </w:p>
        </w:tc>
      </w:tr>
      <w:tr>
        <w:tc>
          <w:tcPr>
            <w:tcW w:type="dxa" w:w="3213"/>
            <w:shd w:val="clear" w:color="auto" w:fill="CCFBF1"/>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600" w:type="dxa"/>
            <w:vAlign w:val="center"/>
          </w:tcPr>
          <w:p>
            <w:pPr>
              <w:jc w:val="left"/>
            </w:pPr>
            <w:r>
              <w:rPr>
                <w:rFonts w:ascii="Arial" w:hAnsi="Arial"/>
                <w:b w:val="0"/>
                <w:color w:val="0D9488"/>
                <w:sz w:val="18"/>
              </w:rPr>
              <w:t>23 Jun 2026 (Tuesday)</w:t>
            </w:r>
          </w:p>
        </w:tc>
        <w:tc>
          <w:tcPr>
            <w:tcW w:type="dxa" w:w="3213"/>
            <w:shd w:val="clear" w:color="auto" w:fill="CCFBF1"/>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5600" w:type="dxa"/>
            <w:vAlign w:val="center"/>
          </w:tcPr>
          <w:p>
            <w:pPr>
              <w:jc w:val="left"/>
            </w:pPr>
            <w:r>
              <w:rPr>
                <w:rFonts w:ascii="Arial" w:hAnsi="Arial"/>
                <w:b w:val="0"/>
                <w:color w:val="0D9488"/>
                <w:sz w:val="18"/>
              </w:rPr>
              <w:t>Final settlement credited to your designated wallet in USDC</w:t>
            </w:r>
          </w:p>
        </w:tc>
        <w:tc>
          <w:tcPr>
            <w:tcW w:type="dxa" w:w="3213"/>
            <w:shd w:val="clear" w:color="auto" w:fill="CCFBF1"/>
            <w:tcBorders>
              <w:top w:val="single" w:sz="4" w:space="0" w:color="E5E7EB"/>
              <w:bottom w:val="single" w:sz="4" w:space="0" w:color="E5E7EB"/>
              <w:left w:val="single" w:sz="4" w:space="0" w:color="E5E7EB"/>
              <w:right w:val="single" w:sz="4" w:space="0" w:color="E5E7EB"/>
            </w:tcBorders>
            <w:tcMar>
              <w:top w:w="70" w:type="dxa"/>
              <w:bottom w:w="70" w:type="dxa"/>
              <w:left w:w="120" w:type="dxa"/>
              <w:right w:w="80" w:type="dxa"/>
            </w:tcMar>
            <w:tcW w:w="2240" w:type="dxa"/>
            <w:vAlign w:val="center"/>
          </w:tcPr>
          <w:p>
            <w:pPr>
              <w:jc w:val="center"/>
            </w:pPr>
            <w:r>
              <w:rPr>
                <w:rFonts w:ascii="Arial" w:hAnsi="Arial"/>
                <w:b/>
                <w:color w:val="0D9488"/>
                <w:sz w:val="18"/>
              </w:rPr>
              <w:t>◷  EXPECTED</w:t>
            </w:r>
          </w:p>
        </w:tc>
      </w:tr>
    </w:tbl>
    <w:p>
      <w:pPr>
        <w:spacing w:after="120"/>
      </w:pPr>
    </w:p>
    <w:p>
      <w:pPr>
        <w:spacing w:before="0" w:after="160"/>
        <w:jc w:val="both"/>
      </w:pPr>
      <w:r>
        <w:rPr>
          <w:rFonts w:ascii="Arial" w:hAnsi="Arial"/>
          <w:b w:val="0"/>
          <w:i w:val="0"/>
          <w:sz w:val="20"/>
        </w:rPr>
        <w:t xml:space="preserve">We appreciate your continued trust and partnership with ALSHUMOOKH GLOBAL BANKING FINANCE &amp; CREDIT. Our settlement operations team is actively monitoring this transaction to ensure timely and accurate delivery of funds to your designated wallet address. Should you require any further clarification or have questions regarding this transaction, please do not hesitate to contact us directly, quoting your reference number </w:t>
      </w:r>
      <w:r>
        <w:rPr>
          <w:rFonts w:ascii="Arial" w:hAnsi="Arial"/>
          <w:b/>
          <w:i w:val="0"/>
          <w:color w:val="0A1628"/>
          <w:sz w:val="20"/>
        </w:rPr>
        <w:t>PR-MQKYKFM6</w:t>
      </w:r>
      <w:r>
        <w:rPr>
          <w:rFonts w:ascii="Arial" w:hAnsi="Arial"/>
          <w:b w:val="0"/>
          <w:i w:val="0"/>
          <w:sz w:val="20"/>
        </w:rPr>
        <w:t>.</w:t>
      </w:r>
    </w:p>
    <w:p>
      <w:pPr>
        <w:spacing w:before="0" w:after="240"/>
        <w:jc w:val="both"/>
      </w:pPr>
      <w:r>
        <w:rPr>
          <w:rFonts w:ascii="Arial" w:hAnsi="Arial"/>
          <w:b w:val="0"/>
          <w:i w:val="0"/>
          <w:sz w:val="20"/>
        </w:rPr>
        <w:t>Thank you for your patience during the settlement process. We remain committed to providing you with transparent and timely communication at every stage.</w:t>
      </w:r>
    </w:p>
    <w:p>
      <w:pPr>
        <w:pBdr>
          <w:bottom w:val="single" w:sz="4" w:space="4" w:color="E5E7EB"/>
        </w:pBdr>
        <w:spacing w:before="0" w:after="160"/>
      </w:pPr>
    </w:p>
    <w:tbl>
      <w:tblPr>
        <w:tblW w:type="auto" w:w="0"/>
        <w:jc w:val="left"/>
        <w:tblLook w:firstColumn="1" w:firstRow="1" w:lastColumn="0" w:lastRow="0" w:noHBand="0" w:noVBand="1" w:val="04A0"/>
        <w:tblW w:w="10440" w:type="dxa"/>
      </w:tblPr>
      <w:tblGrid>
        <w:gridCol w:w="4819"/>
        <w:gridCol w:w="4819"/>
      </w:tblGrid>
      <w:tr>
        <w:tc>
          <w:tcPr>
            <w:tcW w:type="dxa" w:w="4819"/>
            <w:tcW w:w="6500" w:type="dxa"/>
            <w:shd w:val="clear" w:color="auto" w:fill="FFFFFF"/>
            <w:tcMar>
              <w:top w:w="0" w:type="dxa"/>
              <w:bottom w:w="0" w:type="dxa"/>
              <w:left w:w="0" w:type="dxa"/>
              <w:right w:w="0" w:type="dxa"/>
            </w:tcMar>
            <w:tcBorders>
              <w:top w:val="none"/>
              <w:bottom w:val="none"/>
              <w:left w:val="none"/>
              <w:right w:val="none"/>
            </w:tcBorders>
          </w:tcPr>
          <w:p>
            <w:r>
              <w:rPr>
                <w:rFonts w:ascii="Arial" w:hAnsi="Arial"/>
                <w:b w:val="0"/>
                <w:i w:val="0"/>
                <w:sz w:val="20"/>
              </w:rPr>
              <w:t>Yours faithfully,</w:t>
            </w:r>
          </w:p>
          <w:p/>
          <w:p>
            <w:r>
              <w:rPr>
                <w:rFonts w:ascii="Arial" w:hAnsi="Arial"/>
                <w:b/>
                <w:i w:val="0"/>
                <w:color w:val="0A1628"/>
                <w:sz w:val="20"/>
              </w:rPr>
              <w:t>Settlement Operations Department</w:t>
            </w:r>
          </w:p>
          <w:p>
            <w:r>
              <w:rPr>
                <w:rFonts w:ascii="Arial" w:hAnsi="Arial"/>
                <w:b w:val="0"/>
                <w:i w:val="0"/>
                <w:color w:val="1E3A5F"/>
                <w:sz w:val="19"/>
              </w:rPr>
              <w:t>ALSHUMOOKH GLOBAL BANKING FINANCE &amp; CREDIT</w:t>
            </w:r>
          </w:p>
          <w:p>
            <w:r>
              <w:rPr>
                <w:rFonts w:ascii="Arial" w:hAnsi="Arial"/>
                <w:b w:val="0"/>
                <w:i w:val="0"/>
                <w:color w:val="9CA3AF"/>
                <w:sz w:val="17"/>
              </w:rPr>
              <w:t>info@alshumookhgroup.com  |  api.alshumookh-pay.com</w:t>
            </w:r>
          </w:p>
        </w:tc>
        <w:tc>
          <w:tcPr>
            <w:tcW w:type="dxa" w:w="4819"/>
            <w:tcW w:w="3940" w:type="dxa"/>
            <w:shd w:val="clear" w:color="auto" w:fill="FFFFFF"/>
            <w:tcMar>
              <w:top w:w="0" w:type="dxa"/>
              <w:bottom w:w="0" w:type="dxa"/>
              <w:left w:w="0" w:type="dxa"/>
              <w:right w:w="0" w:type="dxa"/>
            </w:tcMar>
            <w:tcBorders>
              <w:top w:val="none"/>
              <w:bottom w:val="none"/>
              <w:left w:val="none"/>
              <w:right w:val="none"/>
            </w:tcBorders>
          </w:tcPr>
          <w:p>
            <w:pPr>
              <w:jc w:val="right"/>
            </w:pPr>
            <w:r>
              <w:rPr>
                <w:rFonts w:ascii="Arial" w:hAnsi="Arial"/>
                <w:b w:val="0"/>
                <w:i w:val="0"/>
                <w:color w:val="374151"/>
                <w:sz w:val="19"/>
              </w:rPr>
              <w:t>Date: 19 June 2026</w:t>
            </w:r>
          </w:p>
        </w:tc>
      </w:tr>
    </w:tbl>
    <w:p>
      <w:pPr>
        <w:spacing w:after="80"/>
      </w:pPr>
    </w:p>
    <w:p>
      <w:pPr>
        <w:shd w:val="clear" w:color="auto" w:fill="0A1628"/>
        <w:spacing w:before="160" w:after="0" w:line="80" w:lineRule="exact"/>
      </w:pPr>
    </w:p>
    <w:p>
      <w:pPr>
        <w:shd w:val="clear" w:color="auto" w:fill="F3F4F6"/>
        <w:spacing w:before="0" w:after="40"/>
        <w:jc w:val="center"/>
      </w:pPr>
      <w:r>
        <w:rPr>
          <w:rFonts w:ascii="Arial" w:hAnsi="Arial"/>
          <w:color w:val="374151"/>
          <w:sz w:val="15"/>
        </w:rPr>
        <w:t>PRIVATE &amp; CONFIDENTIAL  —  PR-MQKYKFM6  —  ALSHUMOOKH GLOBAL BANKING FINANCE &amp; CREDIT  —  19 June 2026</w:t>
      </w:r>
    </w:p>
    <w:p>
      <w:pPr>
        <w:shd w:val="clear" w:color="auto" w:fill="F3F4F6"/>
        <w:spacing w:before="0" w:after="0"/>
        <w:jc w:val="center"/>
      </w:pPr>
      <w:r>
        <w:rPr>
          <w:rFonts w:ascii="Arial" w:hAnsi="Arial"/>
          <w:color w:val="9CA3AF"/>
          <w:sz w:val="15"/>
        </w:rPr>
        <w:t>This document is intended solely for the named recipient. Unauthorized disclosure is strictly prohibited. © 2026 Al Shumookh International Group.</w:t>
      </w:r>
    </w:p>
    <w:p>
      <w:pPr>
        <w:shd w:val="clear" w:color="auto" w:fill="C9A84C"/>
        <w:spacing w:before="0" w:after="0" w:line="100" w:lineRule="exact"/>
      </w:pPr>
    </w:p>
    <w:sectPr w:rsidR="00FC693F" w:rsidRPr="0006063C" w:rsidSect="00034616">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