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TECHNICAL INTEGRATION QUESTIONNAIRE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Settlement Request Schema — Pre-Integration Assessment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Reference: ASIG-TECH-QA-2026-0608  |  Date: June 8, 2026</w:t>
      </w:r>
    </w:p>
    <w:p>
      <w:pPr>
        <w:pBdr>
          <w:bottom w:val="single" w:color="1B3A6B" w:sz="8" w:space="1"/>
        </w:pBdr>
      </w:pPr>
    </w:p>
    <w:p>
      <w:pPr>
        <w:spacing w:after="0" w:before="120"/>
      </w:pPr>
    </w:p>
    <w:p>
      <w:pPr>
        <w:spacing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Following our review of your submitted JSON schema (JSONS-SCHEMA), we require your responses to the questions below in order to proceed with technical integration and settlement processing. Please complete all fields and return this form.</w:t>
      </w:r>
    </w:p>
    <w:p>
      <w:pPr>
        <w:spacing w:after="0" w:before="60"/>
      </w:pPr>
    </w:p>
    <w:p>
      <w:pPr>
        <w:pBdr>
          <w:bottom w:val="single" w:color="1B3A6B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SECTION 1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ASSET IDENTIFICATION — USDX / TOKENIZED_USD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 which blockchain network is USDX issued?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Ethereum (ERC-20), Tron (TRC-20), BNB Smart Chain (BEP-20), other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official smart contract address of the USDX token?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Provide the full checksum address — e.g. 0x...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USDX pegged 1:1 to USD? If yes, which custodian or reserve backs the peg?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Tether, Circle, bank reserves, algorithmic, other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USDX listed on any public registry or DEX/CEX? If yes, please provide the link.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CoinGecko, Uniswap, Binance, etc.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pBdr>
          <w:bottom w:val="single" w:color="1B3A6B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SECTION 2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SETTLEMENT MODE — PRIVATE_INTERNAL_LEDGER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exact mechanism of your PRIVATE_INTERNAL_LEDGER settlement?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off-chain book entry, proprietary ledger, escrow-backed, bilateral netting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is finality established in your ledger settlement? What constitutes an irrevocable settled state?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signed acknowledgement, timestamp, cryptographic proof, other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 your system support an alternative on-chain settlement mode (e.g., direct USDT ERC-20 transfer) as a fallback?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Yes / No — if Yes, provide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pBdr>
          <w:bottom w:val="single" w:color="1B3A6B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SECTION 3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TRANSACTION PROOF &amp; VERIFICATION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schema does not include an on-chain transaction hash (tx_hash). How do you intend to provide settlement proof?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will include tx_hash upon execution, escrow lock hash, signed attestation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 you provide a verifiable escrow or lock transaction on-chain prior to settlement initiation?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Yes / No — if Yes, which network and contract?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expected time between schema submission and availability of the settlement proof?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e.g. real-time, T+1, T+2, specific SLA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pBdr>
          <w:bottom w:val="single" w:color="1B3A6B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SECTION 4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RECEIVER WALLET &amp; NETWORK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destination wallet address for the settlement funds?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Provide the full address and specify the 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 destination wallet a custodial wallet (exchange/bank) or a self-custodied wallet?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Custodial / Self-custodied — if custodial, name the institution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 the destination wallet passed your internal KYC/AML screening? Please confirm.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Yes / 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pBdr>
          <w:bottom w:val="single" w:color="1B3A6B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SECTION 5 —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SECURITY &amp; API CONNECTIVITY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schema specifies mTLS (mutual TLS). Is mTLS a strict requirement or can you operate under TLS 1.3 with API-key authentication?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mTLS required / TLS 1.3 + API key acceptable / either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Please provide your technical contact's name, email, and phone number for integration coordination.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    Name / Email / Phone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Answer: ___________________________________________________________________________________________________________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______________________________________________________________________________________________________________</w:t>
            </w:r>
          </w:p>
        </w:tc>
      </w:tr>
    </w:tbl>
    <w:p>
      <w:pPr>
        <w:spacing w:after="0" w:before="40"/>
      </w:pPr>
    </w:p>
    <w:p>
      <w:pPr>
        <w:spacing w:after="0" w:before="200"/>
      </w:pPr>
    </w:p>
    <w:p>
      <w:pPr>
        <w:pBdr>
          <w:bottom w:val="single" w:color="1B3A6B" w:sz="6" w:space="1"/>
        </w:pBdr>
      </w:pPr>
    </w:p>
    <w:p>
      <w:pPr>
        <w:spacing w:after="0" w:before="80"/>
      </w:pPr>
    </w:p>
    <w:p>
      <w:pPr>
        <w:jc w:val="both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Please complete and return this questionnaire to Al Shumookh International Group — Technical &amp; Settlement Division. All information provided will be treated as strictly confidential and used solely for integration assessment purposes.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Ref: ASIG-TECH-QA-2026-0608  |  Date: June 8,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22"/>
        <w:szCs w:val="22"/>
      </w:rPr>
      <w:t xml:space="preserve">AL SHUMOOKH INTERNATIONAL GROUP</w:t>
    </w:r>
    <w:r>
      <w:rPr>
        <w:rFonts w:ascii="Arial" w:cs="Arial" w:eastAsia="Arial" w:hAnsi="Arial"/>
        <w:color w:val="555555"/>
        <w:sz w:val="18"/>
        <w:szCs w:val="18"/>
      </w:rPr>
      <w:t xml:space="preserve">	TECHNICAL INTEGRATION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2026-06-08T16:56:32.714Z</dcterms:created>
  <dcterms:modified xsi:type="dcterms:W3CDTF">2026-06-08T16:56:32.716Z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