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right"/>
      </w:pPr>
      <w:r>
        <w:rPr>
          <w:rFonts w:ascii="Arial" w:hAnsi="Arial"/>
          <w:b/>
          <w:i w:val="0"/>
          <w:color w:val="1F3864"/>
          <w:sz w:val="28"/>
        </w:rPr>
        <w:t>ALSHUMOOKH GLOBAL BANKING FINANCE &amp; CREDIT</w:t>
      </w:r>
    </w:p>
    <w:p>
      <w:pPr>
        <w:spacing w:before="0" w:after="40"/>
        <w:jc w:val="right"/>
      </w:pPr>
      <w:r>
        <w:rPr>
          <w:rFonts w:ascii="Arial" w:hAnsi="Arial"/>
          <w:b w:val="0"/>
          <w:i w:val="0"/>
          <w:color w:val="444444"/>
          <w:sz w:val="20"/>
        </w:rPr>
        <w:t>ASIG Operations — Technical Division</w:t>
      </w:r>
    </w:p>
    <w:p>
      <w:pPr>
        <w:spacing w:before="0" w:after="80"/>
        <w:jc w:val="right"/>
      </w:pPr>
      <w:r>
        <w:rPr>
          <w:rFonts w:ascii="Arial" w:hAnsi="Arial"/>
          <w:b w:val="0"/>
          <w:i w:val="0"/>
          <w:color w:val="2E75B6"/>
          <w:sz w:val="20"/>
        </w:rPr>
        <w:t>api.alshumookh-pay.com</w:t>
      </w:r>
    </w:p>
    <w:p>
      <w:pPr>
        <w:spacing w:before="160" w:after="160"/>
        <w:pBdr>
          <w:bottom w:val="single" w:sz="6" w:space="1" w:color="1F3864"/>
        </w:pBdr>
      </w:pPr>
    </w:p>
    <w:p>
      <w:pPr>
        <w:spacing w:before="0" w:after="120"/>
        <w:jc w:val="left"/>
      </w:pPr>
      <w:r>
        <w:rPr>
          <w:rFonts w:ascii="Arial" w:hAnsi="Arial"/>
          <w:b w:val="0"/>
          <w:i w:val="0"/>
          <w:color w:val="000000"/>
          <w:sz w:val="22"/>
        </w:rPr>
      </w:r>
    </w:p>
    <w:p>
      <w:pPr>
        <w:spacing w:before="40" w:after="40"/>
      </w:pPr>
      <w:r>
        <w:rPr>
          <w:rFonts w:ascii="Arial" w:hAnsi="Arial"/>
          <w:b/>
          <w:sz w:val="22"/>
        </w:rPr>
        <w:t xml:space="preserve">Subject: </w:t>
      </w:r>
      <w:r>
        <w:rPr>
          <w:rFonts w:ascii="Arial" w:hAnsi="Arial"/>
          <w:sz w:val="22"/>
        </w:rPr>
        <w:t>RE: Technical Integration Response — ASIG-HIPC-TECH-2026-v5</w:t>
      </w:r>
    </w:p>
    <w:p>
      <w:pPr>
        <w:spacing w:before="40" w:after="40"/>
      </w:pPr>
      <w:r>
        <w:rPr>
          <w:rFonts w:ascii="Arial" w:hAnsi="Arial"/>
          <w:b/>
          <w:sz w:val="22"/>
        </w:rPr>
        <w:t xml:space="preserve">To: </w:t>
      </w:r>
      <w:r>
        <w:rPr>
          <w:rFonts w:ascii="Arial" w:hAnsi="Arial"/>
          <w:sz w:val="22"/>
        </w:rPr>
        <w:t>Eleazar José Santana Díaz — CEO &amp; Founder, HIPERCAPITAL FINANCE</w:t>
      </w:r>
    </w:p>
    <w:p>
      <w:pPr>
        <w:spacing w:before="40" w:after="40"/>
      </w:pPr>
      <w:r>
        <w:rPr>
          <w:rFonts w:ascii="Arial" w:hAnsi="Arial"/>
          <w:b/>
          <w:sz w:val="22"/>
        </w:rPr>
        <w:t xml:space="preserve">Reference: </w:t>
      </w:r>
      <w:r>
        <w:rPr>
          <w:rFonts w:ascii="Arial" w:hAnsi="Arial"/>
          <w:sz w:val="22"/>
        </w:rPr>
        <w:t>ASIG-HIPC-TECH-2026-v5</w:t>
      </w:r>
    </w:p>
    <w:p>
      <w:pPr>
        <w:spacing w:before="40" w:after="40"/>
      </w:pPr>
      <w:r>
        <w:rPr>
          <w:rFonts w:ascii="Arial" w:hAnsi="Arial"/>
          <w:b/>
          <w:sz w:val="22"/>
        </w:rPr>
        <w:t xml:space="preserve">Date: </w:t>
      </w:r>
      <w:r>
        <w:rPr>
          <w:rFonts w:ascii="Arial" w:hAnsi="Arial"/>
          <w:sz w:val="22"/>
        </w:rPr>
        <w:t>11 June 2026</w:t>
      </w:r>
    </w:p>
    <w:p>
      <w:pPr>
        <w:spacing w:before="40" w:after="40"/>
      </w:pPr>
      <w:r>
        <w:rPr>
          <w:rFonts w:ascii="Arial" w:hAnsi="Arial"/>
          <w:b/>
          <w:sz w:val="22"/>
        </w:rPr>
        <w:t xml:space="preserve">From: </w:t>
      </w:r>
      <w:r>
        <w:rPr>
          <w:rFonts w:ascii="Arial" w:hAnsi="Arial"/>
          <w:sz w:val="22"/>
        </w:rPr>
        <w:t>ALSHUMOOKH GROUP — ASIG Technical Operations</w:t>
      </w:r>
    </w:p>
    <w:p>
      <w:pPr>
        <w:spacing w:before="160" w:after="160"/>
        <w:pBdr>
          <w:bottom w:val="single" w:sz="6" w:space="1" w:color="1F3864"/>
        </w:pBdr>
      </w:pPr>
    </w:p>
    <w:p>
      <w:pPr>
        <w:spacing w:before="160" w:after="160"/>
        <w:jc w:val="left"/>
      </w:pPr>
      <w:r>
        <w:rPr>
          <w:rFonts w:ascii="Arial" w:hAnsi="Arial"/>
          <w:b w:val="0"/>
          <w:i w:val="0"/>
          <w:color w:val="000000"/>
          <w:sz w:val="22"/>
        </w:rPr>
        <w:t>Dear Mr. Santana Díaz,</w:t>
      </w:r>
    </w:p>
    <w:p>
      <w:pPr>
        <w:spacing w:before="0" w:after="200"/>
        <w:jc w:val="left"/>
      </w:pPr>
      <w:r>
        <w:rPr>
          <w:rFonts w:ascii="Arial" w:hAnsi="Arial"/>
          <w:b w:val="0"/>
          <w:i w:val="0"/>
          <w:color w:val="000000"/>
          <w:sz w:val="22"/>
        </w:rPr>
        <w:t>Thank you for your comprehensive response to the ASIG Technical Integration Roadmap v5.0. We have reviewed your position on all four blockers and your proposed integration timeline. We are pleased to provide our formal response below, addressing each of your five information requests.</w:t>
      </w:r>
    </w:p>
    <w:p>
      <w:pPr>
        <w:spacing w:before="160" w:after="160"/>
        <w:pBdr>
          <w:bottom w:val="single" w:sz="6" w:space="1" w:color="1F3864"/>
        </w:pBdr>
      </w:pPr>
    </w:p>
    <w:p>
      <w:pPr>
        <w:spacing w:before="280" w:after="120"/>
      </w:pPr>
      <w:r>
        <w:rPr>
          <w:rFonts w:ascii="Arial" w:hAnsi="Arial"/>
          <w:b/>
          <w:color w:val="1F3864"/>
          <w:sz w:val="24"/>
        </w:rPr>
        <w:t>1.  ASIG Technical Contact &amp; Onboarding Portal Access</w:t>
      </w:r>
    </w:p>
    <w:p>
      <w:pPr>
        <w:spacing w:before="0" w:after="80"/>
        <w:jc w:val="left"/>
      </w:pPr>
      <w:r>
        <w:rPr>
          <w:rFonts w:ascii="Arial" w:hAnsi="Arial"/>
          <w:b w:val="0"/>
          <w:i w:val="0"/>
          <w:color w:val="000000"/>
          <w:sz w:val="22"/>
        </w:rPr>
        <w:t>Your designated technical contact for this integration is:</w:t>
      </w:r>
    </w:p>
    <w:p>
      <w:pPr>
        <w:pStyle w:val="ListBullet"/>
        <w:spacing w:before="40" w:after="40"/>
      </w:pPr>
      <w:r>
        <w:rPr>
          <w:rFonts w:ascii="Arial" w:hAnsi="Arial"/>
          <w:sz w:val="22"/>
        </w:rPr>
        <w:t>Contact Email: remooz.cbl@gmail.com</w:t>
      </w:r>
    </w:p>
    <w:p>
      <w:pPr>
        <w:pStyle w:val="ListBullet"/>
        <w:spacing w:before="40" w:after="40"/>
      </w:pPr>
      <w:r>
        <w:rPr>
          <w:rFonts w:ascii="Arial" w:hAnsi="Arial"/>
          <w:sz w:val="22"/>
        </w:rPr>
        <w:t>ASIG Gateway: https://api.alshumookh-pay.com</w:t>
      </w:r>
    </w:p>
    <w:p>
      <w:pPr>
        <w:pStyle w:val="ListBullet"/>
        <w:spacing w:before="40" w:after="40"/>
      </w:pPr>
      <w:r>
        <w:rPr>
          <w:rFonts w:ascii="Arial" w:hAnsi="Arial"/>
          <w:sz w:val="22"/>
        </w:rPr>
        <w:t>Dashboard Portal: Available upon completion of onboarding formalities</w:t>
      </w:r>
    </w:p>
    <w:p>
      <w:pPr>
        <w:spacing w:before="120" w:after="200"/>
        <w:jc w:val="left"/>
      </w:pPr>
      <w:r>
        <w:rPr>
          <w:rFonts w:ascii="Arial" w:hAnsi="Arial"/>
          <w:b w:val="0"/>
          <w:i w:val="0"/>
          <w:color w:val="000000"/>
          <w:sz w:val="22"/>
        </w:rPr>
        <w:t>Sandbox and testnet credentials will be issued following receipt of your signed onboarding agreement and AML/KYC documentation package. Please direct all technical queries to the contact above.</w:t>
      </w:r>
    </w:p>
    <w:p>
      <w:pPr>
        <w:spacing w:before="280" w:after="120"/>
      </w:pPr>
      <w:r>
        <w:rPr>
          <w:rFonts w:ascii="Arial" w:hAnsi="Arial"/>
          <w:b/>
          <w:color w:val="1F3864"/>
          <w:sz w:val="24"/>
        </w:rPr>
        <w:t>2.  BLOCKER 1 — Regulatory: FinCEN / FINTRAC Acceptability for Phase 1</w:t>
      </w:r>
    </w:p>
    <w:p>
      <w:pPr>
        <w:spacing w:before="0" w:after="80"/>
        <w:jc w:val="left"/>
      </w:pPr>
      <w:r>
        <w:rPr>
          <w:rFonts w:ascii="Arial" w:hAnsi="Arial"/>
          <w:b w:val="0"/>
          <w:i w:val="0"/>
          <w:color w:val="000000"/>
          <w:sz w:val="22"/>
        </w:rPr>
        <w:t>We confirm the following phased regulatory acceptance policy:</w:t>
      </w:r>
    </w:p>
    <w:p>
      <w:pPr>
        <w:pStyle w:val="ListBullet"/>
        <w:spacing w:before="40" w:after="40"/>
      </w:pPr>
      <w:r>
        <w:rPr>
          <w:rFonts w:ascii="Arial" w:hAnsi="Arial"/>
          <w:sz w:val="22"/>
        </w:rPr>
        <w:t>Phase 1 — Testnet / Sandbox: FinCEN MSB and FINTRAC registration are accepted as the minimum AML threshold for Phase 1 sandbox access. You may proceed with Sepolia testnet integration while your EMI license application is in progress.</w:t>
      </w:r>
    </w:p>
    <w:p>
      <w:pPr>
        <w:pStyle w:val="ListBullet"/>
        <w:spacing w:before="40" w:after="40"/>
      </w:pPr>
      <w:r>
        <w:rPr>
          <w:rFonts w:ascii="Arial" w:hAnsi="Arial"/>
          <w:sz w:val="22"/>
        </w:rPr>
        <w:t>Phase 2 — Production: Full production access requires either a granted EMI license (Lithuania, Georgia, or equivalent EU jurisdiction) or a formally appointed FCA-authorized correspondent partner for UK-related activities. Production API keys will not be issued until this condition is satisfied.</w:t>
      </w:r>
    </w:p>
    <w:p>
      <w:pPr>
        <w:spacing w:before="120" w:after="200"/>
        <w:jc w:val="left"/>
      </w:pPr>
      <w:r>
        <w:rPr>
          <w:rFonts w:ascii="Arial" w:hAnsi="Arial"/>
          <w:b w:val="0"/>
          <w:i w:val="0"/>
          <w:color w:val="000000"/>
          <w:sz w:val="22"/>
        </w:rPr>
        <w:t>Please notify ASIG immediately upon EMI license approval to expedite Phase 2 production onboarding.</w:t>
      </w:r>
    </w:p>
    <w:p>
      <w:pPr>
        <w:spacing w:before="280" w:after="120"/>
      </w:pPr>
      <w:r>
        <w:rPr>
          <w:rFonts w:ascii="Arial" w:hAnsi="Arial"/>
          <w:b/>
          <w:color w:val="1F3864"/>
          <w:sz w:val="24"/>
        </w:rPr>
        <w:t>3.  BLOCKER 3 — Reserve Audit: Tier 2 vs Big 4 Requirement</w:t>
      </w:r>
    </w:p>
    <w:p>
      <w:pPr>
        <w:spacing w:before="0" w:after="80"/>
        <w:jc w:val="left"/>
      </w:pPr>
      <w:r>
        <w:rPr>
          <w:rFonts w:ascii="Arial" w:hAnsi="Arial"/>
          <w:b w:val="0"/>
          <w:i w:val="0"/>
          <w:color w:val="000000"/>
          <w:sz w:val="22"/>
        </w:rPr>
        <w:t>Our audit requirements per integration phase are as follows:</w:t>
      </w:r>
    </w:p>
    <w:p>
      <w:pPr>
        <w:pStyle w:val="ListBullet"/>
        <w:spacing w:before="40" w:after="40"/>
      </w:pPr>
      <w:r>
        <w:rPr>
          <w:rFonts w:ascii="Arial" w:hAnsi="Arial"/>
          <w:sz w:val="22"/>
        </w:rPr>
        <w:t>Phase 1 — Limited Production: A Tier 2 accredited audit firm is acceptable for the initial reserve certification. The report must confirm segregation of client funds and reserve adequacy.</w:t>
      </w:r>
    </w:p>
    <w:p>
      <w:pPr>
        <w:pStyle w:val="ListBullet"/>
        <w:spacing w:before="40" w:after="40"/>
      </w:pPr>
      <w:r>
        <w:rPr>
          <w:rFonts w:ascii="Arial" w:hAnsi="Arial"/>
          <w:sz w:val="22"/>
        </w:rPr>
        <w:t>Phase 2 — Full Production (unlimited volume): A Big 4 firm (Deloitte, PwC, EY, or KPMG) is required for annual reserve certification. This requirement may be waived for regulated entities holding an active EMI license from a recognized EU regulator.</w:t>
      </w:r>
    </w:p>
    <w:p>
      <w:pPr>
        <w:spacing w:before="120" w:after="200"/>
        <w:jc w:val="left"/>
      </w:pPr>
      <w:r>
        <w:rPr>
          <w:rFonts w:ascii="Arial" w:hAnsi="Arial"/>
          <w:b w:val="0"/>
          <w:i w:val="0"/>
          <w:color w:val="000000"/>
          <w:sz w:val="22"/>
        </w:rPr>
        <w:t>Please engage your chosen auditor and submit the reserve certification as part of your Phase 1 compliance package.</w:t>
      </w:r>
    </w:p>
    <w:p>
      <w:pPr>
        <w:spacing w:before="280" w:after="120"/>
      </w:pPr>
      <w:r>
        <w:rPr>
          <w:rFonts w:ascii="Arial" w:hAnsi="Arial"/>
          <w:b/>
          <w:color w:val="1F3864"/>
          <w:sz w:val="24"/>
        </w:rPr>
        <w:t>4.  Testnet API Key — Sepolia Integration (Chain ID: 11155111)</w:t>
      </w:r>
    </w:p>
    <w:p>
      <w:pPr>
        <w:spacing w:before="0" w:after="80"/>
        <w:jc w:val="left"/>
      </w:pPr>
      <w:r>
        <w:rPr>
          <w:rFonts w:ascii="Arial" w:hAnsi="Arial"/>
          <w:b w:val="0"/>
          <w:i w:val="0"/>
          <w:color w:val="000000"/>
          <w:sz w:val="22"/>
        </w:rPr>
        <w:t>A dedicated testnet API key scoped to Sepolia will be issued to your registered egress IP (173.249.21.48) upon receipt and review of:</w:t>
      </w:r>
    </w:p>
    <w:p>
      <w:pPr>
        <w:pStyle w:val="ListBullet"/>
        <w:spacing w:before="40" w:after="40"/>
      </w:pPr>
      <w:r>
        <w:rPr>
          <w:rFonts w:ascii="Arial" w:hAnsi="Arial"/>
          <w:sz w:val="22"/>
        </w:rPr>
        <w:t>Signed ASIG Integration Agreement</w:t>
      </w:r>
    </w:p>
    <w:p>
      <w:pPr>
        <w:pStyle w:val="ListBullet"/>
        <w:spacing w:before="40" w:after="40"/>
      </w:pPr>
      <w:r>
        <w:rPr>
          <w:rFonts w:ascii="Arial" w:hAnsi="Arial"/>
          <w:sz w:val="22"/>
        </w:rPr>
        <w:t>AML/KYC documentation package (FinCEN MSB + FINTRAC program documentation)</w:t>
      </w:r>
    </w:p>
    <w:p>
      <w:pPr>
        <w:pStyle w:val="ListBullet"/>
        <w:spacing w:before="40" w:after="40"/>
      </w:pPr>
      <w:r>
        <w:rPr>
          <w:rFonts w:ascii="Arial" w:hAnsi="Arial"/>
          <w:sz w:val="22"/>
        </w:rPr>
        <w:t>Corporate verification package — ELJOSD GLOBAL FINANCE LTD (Companies House No. 15200357)</w:t>
      </w:r>
    </w:p>
    <w:p>
      <w:pPr>
        <w:spacing w:before="120" w:after="200"/>
        <w:jc w:val="left"/>
      </w:pPr>
      <w:r>
        <w:rPr>
          <w:rFonts w:ascii="Arial" w:hAnsi="Arial"/>
          <w:b w:val="0"/>
          <w:i w:val="0"/>
          <w:color w:val="000000"/>
          <w:sz w:val="22"/>
        </w:rPr>
        <w:t>Expected issuance timeline: within 3 business days of document receipt. The testnet key will be rate-limited to 50 req/60s and scoped exclusively to the Sepolia test environment. Please prepare your 10 test payloads as outlined in your Week 9–12 integration timeline.</w:t>
      </w:r>
    </w:p>
    <w:p>
      <w:pPr>
        <w:spacing w:before="280" w:after="120"/>
      </w:pPr>
      <w:r>
        <w:rPr>
          <w:rFonts w:ascii="Arial" w:hAnsi="Arial"/>
          <w:b/>
          <w:color w:val="1F3864"/>
          <w:sz w:val="24"/>
        </w:rPr>
        <w:t>5.  ASIG TRON Receiver Address</w:t>
      </w:r>
    </w:p>
    <w:p>
      <w:pPr>
        <w:spacing w:before="0" w:after="120"/>
        <w:jc w:val="left"/>
      </w:pPr>
      <w:r>
        <w:rPr>
          <w:rFonts w:ascii="Arial" w:hAnsi="Arial"/>
          <w:b w:val="0"/>
          <w:i w:val="0"/>
          <w:color w:val="000000"/>
          <w:sz w:val="22"/>
        </w:rPr>
        <w:t>ASIG supports USDT-TRC20 settlement on the TRON network. Our official TRON receiver address will be communicated to you directly via a secure encrypted channel upon completion of Phase 1 onboarding formalities. This address is not published publicly for security and compliance reasons.</w:t>
      </w:r>
    </w:p>
    <w:p>
      <w:pPr>
        <w:spacing w:before="0" w:after="200"/>
        <w:jc w:val="left"/>
      </w:pPr>
      <w:r>
        <w:rPr>
          <w:rFonts w:ascii="Arial" w:hAnsi="Arial"/>
          <w:b w:val="0"/>
          <w:i w:val="0"/>
          <w:color w:val="000000"/>
          <w:sz w:val="22"/>
        </w:rPr>
        <w:t>Note: For the initial integration phase we recommend using Ethereum Mainnet USDT ERC-20 as the primary settlement channel, consistent with your confirmed position on BLOCKER 4.</w:t>
      </w:r>
    </w:p>
    <w:p>
      <w:pPr>
        <w:spacing w:before="160" w:after="160"/>
        <w:pBdr>
          <w:bottom w:val="single" w:sz="6" w:space="1" w:color="1F3864"/>
        </w:pBdr>
      </w:pPr>
    </w:p>
    <w:p>
      <w:pPr>
        <w:spacing w:before="280" w:after="120"/>
      </w:pPr>
      <w:r>
        <w:rPr>
          <w:rFonts w:ascii="Arial" w:hAnsi="Arial"/>
          <w:b/>
          <w:color w:val="1F3864"/>
          <w:sz w:val="24"/>
        </w:rPr>
        <w:t>Summary — Pending Action Items</w:t>
      </w:r>
    </w:p>
    <w:p>
      <w:pPr>
        <w:spacing w:before="0" w:after="120"/>
        <w:jc w:val="left"/>
      </w:pPr>
      <w:r>
        <w:rPr>
          <w:rFonts w:ascii="Arial" w:hAnsi="Arial"/>
          <w:b w:val="0"/>
          <w:i w:val="0"/>
          <w:color w:val="000000"/>
          <w:sz w:val="22"/>
        </w:rPr>
      </w:r>
    </w:p>
    <w:tbl>
      <w:tblPr>
        <w:tblStyle w:val="TableGrid"/>
        <w:tblW w:type="auto" w:w="0"/>
        <w:tblLook w:firstColumn="1" w:firstRow="1" w:lastColumn="0" w:lastRow="0" w:noHBand="0" w:noVBand="1" w:val="04A0"/>
      </w:tblPr>
      <w:tblGrid>
        <w:gridCol w:w="3135"/>
        <w:gridCol w:w="3135"/>
        <w:gridCol w:w="3135"/>
      </w:tblGrid>
      <w:tr>
        <w:tc>
          <w:tcPr>
            <w:tcW w:type="dxa" w:w="3118"/>
            <w:shd w:val="clear" w:color="auto" w:fill="1F3864"/>
            <w:vAlign w:val="center"/>
          </w:tcPr>
          <w:p>
            <w:pPr>
              <w:jc w:val="center"/>
            </w:pPr>
            <w:r>
              <w:rPr>
                <w:rFonts w:ascii="Arial" w:hAnsi="Arial"/>
                <w:b/>
                <w:color w:val="FFFFFF"/>
                <w:sz w:val="20"/>
              </w:rPr>
              <w:t>Action Item</w:t>
            </w:r>
          </w:p>
        </w:tc>
        <w:tc>
          <w:tcPr>
            <w:tcW w:type="dxa" w:w="4252"/>
            <w:shd w:val="clear" w:color="auto" w:fill="1F3864"/>
            <w:vAlign w:val="center"/>
          </w:tcPr>
          <w:p>
            <w:pPr>
              <w:jc w:val="center"/>
            </w:pPr>
            <w:r>
              <w:rPr>
                <w:rFonts w:ascii="Arial" w:hAnsi="Arial"/>
                <w:b/>
                <w:color w:val="FFFFFF"/>
                <w:sz w:val="20"/>
              </w:rPr>
              <w:t>Required Action</w:t>
            </w:r>
          </w:p>
        </w:tc>
        <w:tc>
          <w:tcPr>
            <w:tcW w:type="dxa" w:w="2551"/>
            <w:shd w:val="clear" w:color="auto" w:fill="1F3864"/>
            <w:vAlign w:val="center"/>
          </w:tcPr>
          <w:p>
            <w:pPr>
              <w:jc w:val="center"/>
            </w:pPr>
            <w:r>
              <w:rPr>
                <w:rFonts w:ascii="Arial" w:hAnsi="Arial"/>
                <w:b/>
                <w:color w:val="FFFFFF"/>
                <w:sz w:val="20"/>
              </w:rPr>
              <w:t>Responsible Party</w:t>
            </w:r>
          </w:p>
        </w:tc>
      </w:tr>
      <w:tr>
        <w:tc>
          <w:tcPr>
            <w:tcW w:type="dxa" w:w="3118"/>
            <w:shd w:val="clear" w:color="auto" w:fill="F0F4FA"/>
            <w:vAlign w:val="center"/>
          </w:tcPr>
          <w:p>
            <w:r>
              <w:rPr>
                <w:rFonts w:ascii="Arial" w:hAnsi="Arial"/>
                <w:sz w:val="20"/>
              </w:rPr>
              <w:t>AML / KYC Documentation</w:t>
            </w:r>
          </w:p>
        </w:tc>
        <w:tc>
          <w:tcPr>
            <w:tcW w:type="dxa" w:w="4252"/>
            <w:shd w:val="clear" w:color="auto" w:fill="F0F4FA"/>
            <w:vAlign w:val="center"/>
          </w:tcPr>
          <w:p>
            <w:r>
              <w:rPr>
                <w:rFonts w:ascii="Arial" w:hAnsi="Arial"/>
                <w:sz w:val="20"/>
              </w:rPr>
              <w:t>Submit full package to ASIG</w:t>
            </w:r>
          </w:p>
        </w:tc>
        <w:tc>
          <w:tcPr>
            <w:tcW w:type="dxa" w:w="2551"/>
            <w:shd w:val="clear" w:color="auto" w:fill="F0F4FA"/>
            <w:vAlign w:val="center"/>
          </w:tcPr>
          <w:p>
            <w:r>
              <w:rPr>
                <w:rFonts w:ascii="Arial" w:hAnsi="Arial"/>
                <w:sz w:val="20"/>
              </w:rPr>
              <w:t>PENDING — HIPCF</w:t>
            </w:r>
          </w:p>
        </w:tc>
      </w:tr>
      <w:tr>
        <w:tc>
          <w:tcPr>
            <w:tcW w:type="dxa" w:w="3118"/>
            <w:shd w:val="clear" w:color="auto" w:fill="FFFFFF"/>
            <w:vAlign w:val="center"/>
          </w:tcPr>
          <w:p>
            <w:r>
              <w:rPr>
                <w:rFonts w:ascii="Arial" w:hAnsi="Arial"/>
                <w:sz w:val="20"/>
              </w:rPr>
              <w:t>Signed Integration Agreement</w:t>
            </w:r>
          </w:p>
        </w:tc>
        <w:tc>
          <w:tcPr>
            <w:tcW w:type="dxa" w:w="4252"/>
            <w:shd w:val="clear" w:color="auto" w:fill="FFFFFF"/>
            <w:vAlign w:val="center"/>
          </w:tcPr>
          <w:p>
            <w:r>
              <w:rPr>
                <w:rFonts w:ascii="Arial" w:hAnsi="Arial"/>
                <w:sz w:val="20"/>
              </w:rPr>
              <w:t>Sign and return to ASIG</w:t>
            </w:r>
          </w:p>
        </w:tc>
        <w:tc>
          <w:tcPr>
            <w:tcW w:type="dxa" w:w="2551"/>
            <w:shd w:val="clear" w:color="auto" w:fill="FFFFFF"/>
            <w:vAlign w:val="center"/>
          </w:tcPr>
          <w:p>
            <w:r>
              <w:rPr>
                <w:rFonts w:ascii="Arial" w:hAnsi="Arial"/>
                <w:sz w:val="20"/>
              </w:rPr>
              <w:t>PENDING — HIPCF</w:t>
            </w:r>
          </w:p>
        </w:tc>
      </w:tr>
      <w:tr>
        <w:tc>
          <w:tcPr>
            <w:tcW w:type="dxa" w:w="3118"/>
            <w:shd w:val="clear" w:color="auto" w:fill="F0F4FA"/>
            <w:vAlign w:val="center"/>
          </w:tcPr>
          <w:p>
            <w:r>
              <w:rPr>
                <w:rFonts w:ascii="Arial" w:hAnsi="Arial"/>
                <w:sz w:val="20"/>
              </w:rPr>
              <w:t>Reserve Audit Certificate</w:t>
            </w:r>
          </w:p>
        </w:tc>
        <w:tc>
          <w:tcPr>
            <w:tcW w:type="dxa" w:w="4252"/>
            <w:shd w:val="clear" w:color="auto" w:fill="F0F4FA"/>
            <w:vAlign w:val="center"/>
          </w:tcPr>
          <w:p>
            <w:r>
              <w:rPr>
                <w:rFonts w:ascii="Arial" w:hAnsi="Arial"/>
                <w:sz w:val="20"/>
              </w:rPr>
              <w:t>Engage Tier 2 auditor; submit certificate</w:t>
            </w:r>
          </w:p>
        </w:tc>
        <w:tc>
          <w:tcPr>
            <w:tcW w:type="dxa" w:w="2551"/>
            <w:shd w:val="clear" w:color="auto" w:fill="F0F4FA"/>
            <w:vAlign w:val="center"/>
          </w:tcPr>
          <w:p>
            <w:r>
              <w:rPr>
                <w:rFonts w:ascii="Arial" w:hAnsi="Arial"/>
                <w:sz w:val="20"/>
              </w:rPr>
              <w:t>PENDING — HIPCF</w:t>
            </w:r>
          </w:p>
        </w:tc>
      </w:tr>
      <w:tr>
        <w:tc>
          <w:tcPr>
            <w:tcW w:type="dxa" w:w="3118"/>
            <w:shd w:val="clear" w:color="auto" w:fill="FFFFFF"/>
            <w:vAlign w:val="center"/>
          </w:tcPr>
          <w:p>
            <w:r>
              <w:rPr>
                <w:rFonts w:ascii="Arial" w:hAnsi="Arial"/>
                <w:sz w:val="20"/>
              </w:rPr>
              <w:t>HCEURO → USDT Bridge</w:t>
            </w:r>
          </w:p>
        </w:tc>
        <w:tc>
          <w:tcPr>
            <w:tcW w:type="dxa" w:w="4252"/>
            <w:shd w:val="clear" w:color="auto" w:fill="FFFFFF"/>
            <w:vAlign w:val="center"/>
          </w:tcPr>
          <w:p>
            <w:r>
              <w:rPr>
                <w:rFonts w:ascii="Arial" w:hAnsi="Arial"/>
                <w:sz w:val="20"/>
              </w:rPr>
              <w:t>Deploy on Ethereum Mainnet by Week 5–6</w:t>
            </w:r>
          </w:p>
        </w:tc>
        <w:tc>
          <w:tcPr>
            <w:tcW w:type="dxa" w:w="2551"/>
            <w:shd w:val="clear" w:color="auto" w:fill="FFFFFF"/>
            <w:vAlign w:val="center"/>
          </w:tcPr>
          <w:p>
            <w:r>
              <w:rPr>
                <w:rFonts w:ascii="Arial" w:hAnsi="Arial"/>
                <w:sz w:val="20"/>
              </w:rPr>
              <w:t>PENDING — HIPCF</w:t>
            </w:r>
          </w:p>
        </w:tc>
      </w:tr>
      <w:tr>
        <w:tc>
          <w:tcPr>
            <w:tcW w:type="dxa" w:w="3118"/>
            <w:shd w:val="clear" w:color="auto" w:fill="F0F4FA"/>
            <w:vAlign w:val="center"/>
          </w:tcPr>
          <w:p>
            <w:r>
              <w:rPr>
                <w:rFonts w:ascii="Arial" w:hAnsi="Arial"/>
                <w:sz w:val="20"/>
              </w:rPr>
              <w:t>Egress IP Registration</w:t>
            </w:r>
          </w:p>
        </w:tc>
        <w:tc>
          <w:tcPr>
            <w:tcW w:type="dxa" w:w="4252"/>
            <w:shd w:val="clear" w:color="auto" w:fill="F0F4FA"/>
            <w:vAlign w:val="center"/>
          </w:tcPr>
          <w:p>
            <w:r>
              <w:rPr>
                <w:rFonts w:ascii="Arial" w:hAnsi="Arial"/>
                <w:sz w:val="20"/>
              </w:rPr>
              <w:t>IP 173.249.21.48 pre-noted; formalised on onboarding</w:t>
            </w:r>
          </w:p>
        </w:tc>
        <w:tc>
          <w:tcPr>
            <w:tcW w:type="dxa" w:w="2551"/>
            <w:shd w:val="clear" w:color="auto" w:fill="F0F4FA"/>
            <w:vAlign w:val="center"/>
          </w:tcPr>
          <w:p>
            <w:r>
              <w:rPr>
                <w:rFonts w:ascii="Arial" w:hAnsi="Arial"/>
                <w:sz w:val="20"/>
              </w:rPr>
              <w:t>NOTED — ASIG</w:t>
            </w:r>
          </w:p>
        </w:tc>
      </w:tr>
      <w:tr>
        <w:tc>
          <w:tcPr>
            <w:tcW w:type="dxa" w:w="3118"/>
            <w:shd w:val="clear" w:color="auto" w:fill="FFFFFF"/>
            <w:vAlign w:val="center"/>
          </w:tcPr>
          <w:p>
            <w:r>
              <w:rPr>
                <w:rFonts w:ascii="Arial" w:hAnsi="Arial"/>
                <w:sz w:val="20"/>
              </w:rPr>
              <w:t>Testnet API Key (Sepolia)</w:t>
            </w:r>
          </w:p>
        </w:tc>
        <w:tc>
          <w:tcPr>
            <w:tcW w:type="dxa" w:w="4252"/>
            <w:shd w:val="clear" w:color="auto" w:fill="FFFFFF"/>
            <w:vAlign w:val="center"/>
          </w:tcPr>
          <w:p>
            <w:r>
              <w:rPr>
                <w:rFonts w:ascii="Arial" w:hAnsi="Arial"/>
                <w:sz w:val="20"/>
              </w:rPr>
              <w:t>Issued by ASIG after document receipt</w:t>
            </w:r>
          </w:p>
        </w:tc>
        <w:tc>
          <w:tcPr>
            <w:tcW w:type="dxa" w:w="2551"/>
            <w:shd w:val="clear" w:color="auto" w:fill="FFFFFF"/>
            <w:vAlign w:val="center"/>
          </w:tcPr>
          <w:p>
            <w:r>
              <w:rPr>
                <w:rFonts w:ascii="Arial" w:hAnsi="Arial"/>
                <w:sz w:val="20"/>
              </w:rPr>
              <w:t>PENDING — ASIG</w:t>
            </w:r>
          </w:p>
        </w:tc>
      </w:tr>
      <w:tr>
        <w:tc>
          <w:tcPr>
            <w:tcW w:type="dxa" w:w="3118"/>
            <w:shd w:val="clear" w:color="auto" w:fill="F0F4FA"/>
            <w:vAlign w:val="center"/>
          </w:tcPr>
          <w:p>
            <w:r>
              <w:rPr>
                <w:rFonts w:ascii="Arial" w:hAnsi="Arial"/>
                <w:sz w:val="20"/>
              </w:rPr>
              <w:t>EMI License</w:t>
            </w:r>
          </w:p>
        </w:tc>
        <w:tc>
          <w:tcPr>
            <w:tcW w:type="dxa" w:w="4252"/>
            <w:shd w:val="clear" w:color="auto" w:fill="F0F4FA"/>
            <w:vAlign w:val="center"/>
          </w:tcPr>
          <w:p>
            <w:r>
              <w:rPr>
                <w:rFonts w:ascii="Arial" w:hAnsi="Arial"/>
                <w:sz w:val="20"/>
              </w:rPr>
              <w:t>Lithuania / Georgia — application in progress</w:t>
            </w:r>
          </w:p>
        </w:tc>
        <w:tc>
          <w:tcPr>
            <w:tcW w:type="dxa" w:w="2551"/>
            <w:shd w:val="clear" w:color="auto" w:fill="F0F4FA"/>
            <w:vAlign w:val="center"/>
          </w:tcPr>
          <w:p>
            <w:r>
              <w:rPr>
                <w:rFonts w:ascii="Arial" w:hAnsi="Arial"/>
                <w:sz w:val="20"/>
              </w:rPr>
              <w:t>IN PROGRESS — HIPCF</w:t>
            </w:r>
          </w:p>
        </w:tc>
      </w:tr>
    </w:tbl>
    <w:p>
      <w:pPr>
        <w:spacing w:before="160" w:after="160"/>
        <w:pBdr>
          <w:bottom w:val="single" w:sz="6" w:space="1" w:color="1F3864"/>
        </w:pBdr>
      </w:pPr>
    </w:p>
    <w:p>
      <w:pPr>
        <w:spacing w:before="200" w:after="280"/>
        <w:jc w:val="left"/>
      </w:pPr>
      <w:r>
        <w:rPr>
          <w:rFonts w:ascii="Arial" w:hAnsi="Arial"/>
          <w:b w:val="0"/>
          <w:i w:val="0"/>
          <w:color w:val="000000"/>
          <w:sz w:val="22"/>
        </w:rPr>
        <w:t>We look forward to a successful and compliant integration with HIPERCAPITAL FINANCE. Please do not hesitate to contact our technical team for any further clarification.</w:t>
      </w:r>
    </w:p>
    <w:p>
      <w:pPr>
        <w:spacing w:before="0" w:after="400"/>
        <w:jc w:val="left"/>
      </w:pPr>
      <w:r>
        <w:rPr>
          <w:rFonts w:ascii="Arial" w:hAnsi="Arial"/>
          <w:b w:val="0"/>
          <w:i w:val="0"/>
          <w:color w:val="000000"/>
          <w:sz w:val="22"/>
        </w:rPr>
        <w:t>Yours sincerely,</w:t>
      </w:r>
    </w:p>
    <w:p>
      <w:pPr>
        <w:spacing w:before="0" w:after="40"/>
        <w:jc w:val="left"/>
      </w:pPr>
      <w:r>
        <w:rPr>
          <w:rFonts w:ascii="Arial" w:hAnsi="Arial"/>
          <w:b/>
          <w:i w:val="0"/>
          <w:color w:val="1F3864"/>
          <w:sz w:val="22"/>
        </w:rPr>
        <w:t>ALSHUMOOKH GROUP</w:t>
      </w:r>
    </w:p>
    <w:p>
      <w:pPr>
        <w:spacing w:before="0" w:after="40"/>
        <w:jc w:val="left"/>
      </w:pPr>
      <w:r>
        <w:rPr>
          <w:rFonts w:ascii="Arial" w:hAnsi="Arial"/>
          <w:b w:val="0"/>
          <w:i w:val="0"/>
          <w:color w:val="000000"/>
          <w:sz w:val="22"/>
        </w:rPr>
        <w:t>ASIG Technical Operations</w:t>
      </w:r>
    </w:p>
    <w:p>
      <w:pPr>
        <w:spacing w:before="0" w:after="40"/>
        <w:jc w:val="left"/>
      </w:pPr>
      <w:r>
        <w:rPr>
          <w:rFonts w:ascii="Arial" w:hAnsi="Arial"/>
          <w:b w:val="0"/>
          <w:i w:val="0"/>
          <w:color w:val="2E75B6"/>
          <w:sz w:val="20"/>
        </w:rPr>
        <w:t>api.alshumookh-pay.com  |  remooz.cbl@gmail.com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