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8: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table (3.2);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-implemented-3.2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 —</w:t>
      </w:r>
      <w:r>
        <w:t xml:space="preserve"> </w:t>
      </w:r>
      <w:r>
        <w:rPr>
          <w:iCs/>
          <w:i/>
        </w:rPr>
        <w:t xml:space="preserve">Implemented (3.2)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</w:t>
            </w:r>
            <w:r>
              <w:rPr>
                <w:rStyle w:val="VerbatimChar"/>
              </w:rPr>
              <w:t xml:space="preserve">AiDbContext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20260828194653_Initial</w:t>
            </w:r>
            <w:r>
              <w:t xml:space="preserve"> </w:t>
            </w:r>
            <w:r>
              <w:t xml:space="preserve">— schema,</w:t>
            </w:r>
            <w:r>
              <w:t xml:space="preserve"> </w:t>
            </w:r>
            <w:r>
              <w:rPr>
                <w:rStyle w:val="VerbatimChar"/>
              </w:rPr>
              <w:t xml:space="preserve">ai.__EFMigrationsHistory</w:t>
            </w:r>
            <w:r>
              <w:t xml:space="preserve">, table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IX_Usage_UserId_At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2026-08-28T19:48:28Z</dcterms:created>
  <dcterms:modified xsi:type="dcterms:W3CDTF">2026-08-28T19:48:28Z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0.1.7</vt:lpwstr>
  </property>
</Properties>
</file>