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2A4A" w:val="clear"/>
            <w:tcMar>
              <w:top w:type="dxa" w:w="300"/>
              <w:left w:type="dxa" w:w="360"/>
              <w:bottom w:type="dxa" w:w="200"/>
              <w:right w:type="dxa" w:w="360"/>
            </w:tcMar>
          </w:tcPr>
          <w:p>
            <w:r>
              <w:rPr>
                <w:rFonts w:ascii="Arial" w:cs="Arial" w:eastAsia="Arial" w:hAnsi="Arial"/>
                <w:b/>
                <w:bCs/>
                <w:color w:val="99BBDD"/>
                <w:sz w:val="20"/>
                <w:szCs w:val="20"/>
              </w:rPr>
              <w:t xml:space="preserve">ACME TECHNOLOGIES, INC.</w:t>
            </w:r>
          </w:p>
          <w:p>
            <w:pPr>
              <w:spacing w:before="40"/>
            </w:pPr>
            <w:r>
              <w:rPr>
                <w:rFonts w:ascii="Arial" w:cs="Arial" w:eastAsia="Arial" w:hAnsi="Arial"/>
                <w:b/>
                <w:bCs/>
                <w:color w:val="FFFFFF"/>
                <w:sz w:val="48"/>
                <w:szCs w:val="48"/>
              </w:rPr>
              <w:t xml:space="preserve">Acceptable Use Policy</w:t>
            </w:r>
          </w:p>
          <w:p>
            <w:pPr>
              <w:spacing w:before="60"/>
            </w:pPr>
            <w:r>
              <w:rPr>
                <w:rFonts w:ascii="Arial" w:cs="Arial" w:eastAsia="Arial" w:hAnsi="Arial"/>
                <w:color w:val="AACCEE"/>
                <w:sz w:val="18"/>
                <w:szCs w:val="18"/>
              </w:rPr>
              <w:t xml:space="preserve">Information Security Policy  |  Document ID: IS-POL-001  |  Classification: Internal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234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Effective Date</w:t>
            </w:r>
          </w:p>
        </w:tc>
        <w:tc>
          <w:tcPr>
            <w:tcW w:type="dxa" w:w="234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Review Date</w:t>
            </w:r>
          </w:p>
        </w:tc>
        <w:tc>
          <w:tcPr>
            <w:tcW w:type="dxa" w:w="234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Document Owner</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19"/>
                <w:szCs w:val="19"/>
              </w:rPr>
              <w:t xml:space="preserve">1.0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19"/>
                <w:szCs w:val="19"/>
              </w:rPr>
              <w:t xml:space="preserve">March 1, 2026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19"/>
                <w:szCs w:val="19"/>
              </w:rPr>
              <w:t xml:space="preserve">March 1, 2027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19"/>
                <w:szCs w:val="19"/>
              </w:rPr>
              <w:t xml:space="preserve">GRC / Information Security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Prepared By</w:t>
            </w:r>
          </w:p>
        </w:tc>
        <w:tc>
          <w:tcPr>
            <w:tcW w:type="dxa" w:w="234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Reviewed By</w:t>
            </w:r>
          </w:p>
        </w:tc>
        <w:tc>
          <w:tcPr>
            <w:tcW w:type="dxa" w:w="234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Approved By</w:t>
            </w:r>
          </w:p>
        </w:tc>
        <w:tc>
          <w:tcPr>
            <w:tcW w:type="dxa" w:w="234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Status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Kunj Patel, GRC Analyst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IT Security Lead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Dunn Smith, CISO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9"/>
                <w:szCs w:val="19"/>
              </w:rPr>
              <w:t xml:space="preserve">APPROVED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00"/>
        <w:gridCol w:w="3660"/>
      </w:tblGrid>
      <w:tr>
        <w:tc>
          <w:tcPr>
            <w:tcW w:type="dxa" w:w="9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18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Date</w:t>
            </w:r>
          </w:p>
        </w:tc>
        <w:tc>
          <w:tcPr>
            <w:tcW w:type="dxa" w:w="30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Author</w:t>
            </w:r>
          </w:p>
        </w:tc>
        <w:tc>
          <w:tcPr>
            <w:tcW w:type="dxa" w:w="366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 of Changes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19"/>
                <w:szCs w:val="19"/>
              </w:rPr>
              <w:t xml:space="preserve">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March 1, 2026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Kunj Patel, GRC Analyst</w:t>
            </w:r>
          </w:p>
        </w:tc>
        <w:tc>
          <w:tcPr>
            <w:tcW w:type="dxa" w:w="3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Initial policy creation and approval</w:t>
            </w:r>
          </w:p>
        </w:tc>
      </w:tr>
    </w:tbl>
    <w:p>
      <w:pPr>
        <w:spacing w:before="80" w:after="0"/>
      </w:pPr>
      <w:r>
        <w:t xml:space="preserve"/>
      </w:r>
    </w:p>
    <w:p>
      <w:r>
        <w:br w:type="page"/>
      </w:r>
    </w:p>
    <w:p>
      <w:pPr>
        <w:pBdr>
          <w:bottom w:val="single" w:color="1B2A4A" w:sz="8" w:space="2"/>
        </w:pBdr>
        <w:spacing w:before="360" w:after="100"/>
      </w:pPr>
      <w:r>
        <w:rPr>
          <w:rFonts w:ascii="Arial" w:cs="Arial" w:eastAsia="Arial" w:hAnsi="Arial"/>
          <w:b/>
          <w:bCs/>
          <w:color w:val="2E5E9E"/>
          <w:sz w:val="26"/>
          <w:szCs w:val="26"/>
        </w:rPr>
        <w:t xml:space="preserve">1.  </w:t>
      </w:r>
      <w:r>
        <w:rPr>
          <w:rFonts w:ascii="Arial" w:cs="Arial" w:eastAsia="Arial" w:hAnsi="Arial"/>
          <w:b/>
          <w:bCs/>
          <w:color w:val="1B2A4A"/>
          <w:sz w:val="26"/>
          <w:szCs w:val="26"/>
        </w:rPr>
        <w:t xml:space="preserve">PURPOSE</w:t>
      </w:r>
    </w:p>
    <w:p>
      <w:pPr>
        <w:spacing w:before="60" w:after="80"/>
      </w:pPr>
      <w:r>
        <w:rPr>
          <w:rFonts w:ascii="Arial" w:cs="Arial" w:eastAsia="Arial" w:hAnsi="Arial"/>
          <w:b w:val="false"/>
          <w:bCs w:val="false"/>
          <w:i w:val="false"/>
          <w:iCs w:val="false"/>
          <w:color w:val="222222"/>
          <w:sz w:val="19"/>
          <w:szCs w:val="19"/>
        </w:rPr>
        <w:t xml:space="preserve">This Acceptable Use Policy (AUP) defines the rules and guidelines governing the appropriate use of Acme Technologies, Inc. information systems, networks, devices, and data. The purpose of this policy is to protect the confidentiality, integrity, and availability of company information assets, ensure compliance with applicable laws and regulations, and establish clear expectations for all users.</w:t>
      </w:r>
    </w:p>
    <w:p>
      <w:pPr>
        <w:spacing w:before="60" w:after="80"/>
      </w:pPr>
      <w:r>
        <w:rPr>
          <w:rFonts w:ascii="Arial" w:cs="Arial" w:eastAsia="Arial" w:hAnsi="Arial"/>
          <w:b w:val="false"/>
          <w:bCs w:val="false"/>
          <w:i w:val="false"/>
          <w:iCs w:val="false"/>
          <w:color w:val="222222"/>
          <w:sz w:val="19"/>
          <w:szCs w:val="19"/>
        </w:rPr>
        <w:t xml:space="preserve">This policy applies to all systems owned, leased, or operated by Acme Technologies and must be read in conjunction with related policies including the Information Security Policy, Password Policy, and Incident Response Policy.</w:t>
      </w:r>
    </w:p>
    <w:p>
      <w:pPr>
        <w:pBdr>
          <w:bottom w:val="single" w:color="1B2A4A" w:sz="8" w:space="2"/>
        </w:pBdr>
        <w:spacing w:before="360" w:after="100"/>
      </w:pPr>
      <w:r>
        <w:rPr>
          <w:rFonts w:ascii="Arial" w:cs="Arial" w:eastAsia="Arial" w:hAnsi="Arial"/>
          <w:b/>
          <w:bCs/>
          <w:color w:val="2E5E9E"/>
          <w:sz w:val="26"/>
          <w:szCs w:val="26"/>
        </w:rPr>
        <w:t xml:space="preserve">2.  </w:t>
      </w:r>
      <w:r>
        <w:rPr>
          <w:rFonts w:ascii="Arial" w:cs="Arial" w:eastAsia="Arial" w:hAnsi="Arial"/>
          <w:b/>
          <w:bCs/>
          <w:color w:val="1B2A4A"/>
          <w:sz w:val="26"/>
          <w:szCs w:val="26"/>
        </w:rPr>
        <w:t xml:space="preserve">SCOPE</w:t>
      </w:r>
    </w:p>
    <w:p>
      <w:pPr>
        <w:spacing w:before="60" w:after="80"/>
      </w:pPr>
      <w:r>
        <w:rPr>
          <w:rFonts w:ascii="Arial" w:cs="Arial" w:eastAsia="Arial" w:hAnsi="Arial"/>
          <w:b w:val="false"/>
          <w:bCs w:val="false"/>
          <w:i w:val="false"/>
          <w:iCs w:val="false"/>
          <w:color w:val="222222"/>
          <w:sz w:val="19"/>
          <w:szCs w:val="19"/>
        </w:rPr>
        <w:t xml:space="preserve">This policy applies to all individuals who access, use, or manage Acme Technologies information systems and resources, including but not limited to:</w:t>
      </w:r>
    </w:p>
    <w:p>
      <w:pPr>
        <w:pStyle w:val="ListParagraph"/>
        <w:numPr>
          <w:ilvl w:val="0"/>
          <w:numId w:val="2"/>
        </w:numPr>
        <w:spacing w:before="40" w:after="40"/>
      </w:pPr>
      <w:r>
        <w:rPr>
          <w:rFonts w:ascii="Arial" w:cs="Arial" w:eastAsia="Arial" w:hAnsi="Arial"/>
          <w:color w:val="222222"/>
          <w:sz w:val="19"/>
          <w:szCs w:val="19"/>
        </w:rPr>
        <w:t xml:space="preserve">Full-time and part-time employees</w:t>
      </w:r>
    </w:p>
    <w:p>
      <w:pPr>
        <w:pStyle w:val="ListParagraph"/>
        <w:numPr>
          <w:ilvl w:val="0"/>
          <w:numId w:val="2"/>
        </w:numPr>
        <w:spacing w:before="40" w:after="40"/>
      </w:pPr>
      <w:r>
        <w:rPr>
          <w:rFonts w:ascii="Arial" w:cs="Arial" w:eastAsia="Arial" w:hAnsi="Arial"/>
          <w:color w:val="222222"/>
          <w:sz w:val="19"/>
          <w:szCs w:val="19"/>
        </w:rPr>
        <w:t xml:space="preserve">Contractors, consultants, and temporary workers</w:t>
      </w:r>
    </w:p>
    <w:p>
      <w:pPr>
        <w:pStyle w:val="ListParagraph"/>
        <w:numPr>
          <w:ilvl w:val="0"/>
          <w:numId w:val="2"/>
        </w:numPr>
        <w:spacing w:before="40" w:after="40"/>
      </w:pPr>
      <w:r>
        <w:rPr>
          <w:rFonts w:ascii="Arial" w:cs="Arial" w:eastAsia="Arial" w:hAnsi="Arial"/>
          <w:color w:val="222222"/>
          <w:sz w:val="19"/>
          <w:szCs w:val="19"/>
        </w:rPr>
        <w:t xml:space="preserve">Third-party vendors and business partners with system access</w:t>
      </w:r>
    </w:p>
    <w:p>
      <w:pPr>
        <w:pStyle w:val="ListParagraph"/>
        <w:numPr>
          <w:ilvl w:val="0"/>
          <w:numId w:val="2"/>
        </w:numPr>
        <w:spacing w:before="40" w:after="40"/>
      </w:pPr>
      <w:r>
        <w:rPr>
          <w:rFonts w:ascii="Arial" w:cs="Arial" w:eastAsia="Arial" w:hAnsi="Arial"/>
          <w:color w:val="222222"/>
          <w:sz w:val="19"/>
          <w:szCs w:val="19"/>
        </w:rPr>
        <w:t xml:space="preserve">Interns and volunteers</w:t>
      </w:r>
    </w:p>
    <w:p>
      <w:pPr>
        <w:spacing w:before="60" w:after="0"/>
      </w:pPr>
      <w:r>
        <w:t xml:space="preserve"/>
      </w:r>
    </w:p>
    <w:p>
      <w:pPr>
        <w:spacing w:before="60" w:after="80"/>
      </w:pPr>
      <w:r>
        <w:rPr>
          <w:rFonts w:ascii="Arial" w:cs="Arial" w:eastAsia="Arial" w:hAnsi="Arial"/>
          <w:b w:val="false"/>
          <w:bCs w:val="false"/>
          <w:i w:val="false"/>
          <w:iCs w:val="false"/>
          <w:color w:val="222222"/>
          <w:sz w:val="19"/>
          <w:szCs w:val="19"/>
        </w:rPr>
        <w:t xml:space="preserve">This policy covers all Acme Technologies information assets including:</w:t>
      </w:r>
    </w:p>
    <w:p>
      <w:pPr>
        <w:pStyle w:val="ListParagraph"/>
        <w:numPr>
          <w:ilvl w:val="0"/>
          <w:numId w:val="2"/>
        </w:numPr>
        <w:spacing w:before="40" w:after="40"/>
      </w:pPr>
      <w:r>
        <w:rPr>
          <w:rFonts w:ascii="Arial" w:cs="Arial" w:eastAsia="Arial" w:hAnsi="Arial"/>
          <w:color w:val="222222"/>
          <w:sz w:val="19"/>
          <w:szCs w:val="19"/>
        </w:rPr>
        <w:t xml:space="preserve">Corporate devices (laptops, desktops, mobile phones, tablets)</w:t>
      </w:r>
    </w:p>
    <w:p>
      <w:pPr>
        <w:pStyle w:val="ListParagraph"/>
        <w:numPr>
          <w:ilvl w:val="0"/>
          <w:numId w:val="2"/>
        </w:numPr>
        <w:spacing w:before="40" w:after="40"/>
      </w:pPr>
      <w:r>
        <w:rPr>
          <w:rFonts w:ascii="Arial" w:cs="Arial" w:eastAsia="Arial" w:hAnsi="Arial"/>
          <w:color w:val="222222"/>
          <w:sz w:val="19"/>
          <w:szCs w:val="19"/>
        </w:rPr>
        <w:t xml:space="preserve">Network infrastructure (wired, wireless, VPN)</w:t>
      </w:r>
    </w:p>
    <w:p>
      <w:pPr>
        <w:pStyle w:val="ListParagraph"/>
        <w:numPr>
          <w:ilvl w:val="0"/>
          <w:numId w:val="2"/>
        </w:numPr>
        <w:spacing w:before="40" w:after="40"/>
      </w:pPr>
      <w:r>
        <w:rPr>
          <w:rFonts w:ascii="Arial" w:cs="Arial" w:eastAsia="Arial" w:hAnsi="Arial"/>
          <w:color w:val="222222"/>
          <w:sz w:val="19"/>
          <w:szCs w:val="19"/>
        </w:rPr>
        <w:t xml:space="preserve">Cloud platforms and SaaS applications (Microsoft 365, AWS, etc.)</w:t>
      </w:r>
    </w:p>
    <w:p>
      <w:pPr>
        <w:pStyle w:val="ListParagraph"/>
        <w:numPr>
          <w:ilvl w:val="0"/>
          <w:numId w:val="2"/>
        </w:numPr>
        <w:spacing w:before="40" w:after="40"/>
      </w:pPr>
      <w:r>
        <w:rPr>
          <w:rFonts w:ascii="Arial" w:cs="Arial" w:eastAsia="Arial" w:hAnsi="Arial"/>
          <w:color w:val="222222"/>
          <w:sz w:val="19"/>
          <w:szCs w:val="19"/>
        </w:rPr>
        <w:t xml:space="preserve">Email and messaging systems</w:t>
      </w:r>
    </w:p>
    <w:p>
      <w:pPr>
        <w:pStyle w:val="ListParagraph"/>
        <w:numPr>
          <w:ilvl w:val="0"/>
          <w:numId w:val="2"/>
        </w:numPr>
        <w:spacing w:before="40" w:after="40"/>
      </w:pPr>
      <w:r>
        <w:rPr>
          <w:rFonts w:ascii="Arial" w:cs="Arial" w:eastAsia="Arial" w:hAnsi="Arial"/>
          <w:color w:val="222222"/>
          <w:sz w:val="19"/>
          <w:szCs w:val="19"/>
        </w:rPr>
        <w:t xml:space="preserve">Data storage systems (local, cloud, removable media)</w:t>
      </w:r>
    </w:p>
    <w:p>
      <w:pPr>
        <w:pStyle w:val="ListParagraph"/>
        <w:numPr>
          <w:ilvl w:val="0"/>
          <w:numId w:val="2"/>
        </w:numPr>
        <w:spacing w:before="40" w:after="40"/>
      </w:pPr>
      <w:r>
        <w:rPr>
          <w:rFonts w:ascii="Arial" w:cs="Arial" w:eastAsia="Arial" w:hAnsi="Arial"/>
          <w:color w:val="222222"/>
          <w:sz w:val="19"/>
          <w:szCs w:val="19"/>
        </w:rPr>
        <w:t xml:space="preserve">Personally-owned devices used to access company systems (BYOD)</w:t>
      </w:r>
    </w:p>
    <w:p>
      <w:pPr>
        <w:pBdr>
          <w:bottom w:val="single" w:color="1B2A4A" w:sz="8" w:space="2"/>
        </w:pBdr>
        <w:spacing w:before="360" w:after="100"/>
      </w:pPr>
      <w:r>
        <w:rPr>
          <w:rFonts w:ascii="Arial" w:cs="Arial" w:eastAsia="Arial" w:hAnsi="Arial"/>
          <w:b/>
          <w:bCs/>
          <w:color w:val="2E5E9E"/>
          <w:sz w:val="26"/>
          <w:szCs w:val="26"/>
        </w:rPr>
        <w:t xml:space="preserve">3.  </w:t>
      </w:r>
      <w:r>
        <w:rPr>
          <w:rFonts w:ascii="Arial" w:cs="Arial" w:eastAsia="Arial" w:hAnsi="Arial"/>
          <w:b/>
          <w:bCs/>
          <w:color w:val="1B2A4A"/>
          <w:sz w:val="26"/>
          <w:szCs w:val="26"/>
        </w:rPr>
        <w:t xml:space="preserve">DEFINITIONS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Term</w:t>
            </w:r>
          </w:p>
        </w:tc>
        <w:tc>
          <w:tcPr>
            <w:tcW w:type="dxa" w:w="716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Definition</w:t>
            </w:r>
          </w:p>
        </w:tc>
      </w:tr>
      <w:tr>
        <w:tc>
          <w:tcPr>
            <w:tcW w:type="dxa" w:w="2200"/>
            <w:tcBorders>
              <w:top w:val="single" w:color="CCCCCC" w:sz="4"/>
              <w:left w:val="single" w:color="CCCCCC" w:sz="4"/>
              <w:bottom w:val="single" w:color="CCCCCC" w:sz="4"/>
              <w:right w:val="single" w:color="CCCCCC" w:sz="4"/>
            </w:tcBorders>
            <w:shd w:fill="EEF2F8" w:val="clear"/>
            <w:tcMar>
              <w:top w:type="dxa" w:w="80"/>
              <w:left w:type="dxa" w:w="140"/>
              <w:bottom w:type="dxa" w:w="80"/>
              <w:right w:type="dxa" w:w="140"/>
            </w:tcMar>
            <w:vAlign w:val="center"/>
          </w:tcPr>
          <w:p>
            <w:pPr>
              <w:jc w:val="left"/>
            </w:pPr>
            <w:r>
              <w:rPr>
                <w:rFonts w:ascii="Arial" w:cs="Arial" w:eastAsia="Arial" w:hAnsi="Arial"/>
                <w:b/>
                <w:bCs/>
                <w:color w:val="1B2A4A"/>
                <w:sz w:val="19"/>
                <w:szCs w:val="19"/>
              </w:rPr>
              <w:t xml:space="preserve">Information Asset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Any data, system, hardware, or software owned or managed by Acme Technologies that has value to the organization.</w:t>
            </w:r>
          </w:p>
        </w:tc>
      </w:tr>
      <w:tr>
        <w:tc>
          <w:tcPr>
            <w:tcW w:type="dxa" w:w="2200"/>
            <w:tcBorders>
              <w:top w:val="single" w:color="CCCCCC" w:sz="4"/>
              <w:left w:val="single" w:color="CCCCCC" w:sz="4"/>
              <w:bottom w:val="single" w:color="CCCCCC" w:sz="4"/>
              <w:right w:val="single" w:color="CCCCCC" w:sz="4"/>
            </w:tcBorders>
            <w:shd w:fill="EEF2F8" w:val="clear"/>
            <w:tcMar>
              <w:top w:type="dxa" w:w="80"/>
              <w:left w:type="dxa" w:w="140"/>
              <w:bottom w:type="dxa" w:w="80"/>
              <w:right w:type="dxa" w:w="140"/>
            </w:tcMar>
            <w:vAlign w:val="center"/>
          </w:tcPr>
          <w:p>
            <w:pPr>
              <w:jc w:val="left"/>
            </w:pPr>
            <w:r>
              <w:rPr>
                <w:rFonts w:ascii="Arial" w:cs="Arial" w:eastAsia="Arial" w:hAnsi="Arial"/>
                <w:b/>
                <w:bCs/>
                <w:color w:val="1B2A4A"/>
                <w:sz w:val="19"/>
                <w:szCs w:val="19"/>
              </w:rPr>
              <w:t xml:space="preserve">Authorized User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Any individual who has been granted access to Acme Technologies systems through the formal provisioning process.</w:t>
            </w:r>
          </w:p>
        </w:tc>
      </w:tr>
      <w:tr>
        <w:tc>
          <w:tcPr>
            <w:tcW w:type="dxa" w:w="2200"/>
            <w:tcBorders>
              <w:top w:val="single" w:color="CCCCCC" w:sz="4"/>
              <w:left w:val="single" w:color="CCCCCC" w:sz="4"/>
              <w:bottom w:val="single" w:color="CCCCCC" w:sz="4"/>
              <w:right w:val="single" w:color="CCCCCC" w:sz="4"/>
            </w:tcBorders>
            <w:shd w:fill="EEF2F8" w:val="clear"/>
            <w:tcMar>
              <w:top w:type="dxa" w:w="80"/>
              <w:left w:type="dxa" w:w="140"/>
              <w:bottom w:type="dxa" w:w="80"/>
              <w:right w:type="dxa" w:w="140"/>
            </w:tcMar>
            <w:vAlign w:val="center"/>
          </w:tcPr>
          <w:p>
            <w:pPr>
              <w:jc w:val="left"/>
            </w:pPr>
            <w:r>
              <w:rPr>
                <w:rFonts w:ascii="Arial" w:cs="Arial" w:eastAsia="Arial" w:hAnsi="Arial"/>
                <w:b/>
                <w:bCs/>
                <w:color w:val="1B2A4A"/>
                <w:sz w:val="19"/>
                <w:szCs w:val="19"/>
              </w:rPr>
              <w:t xml:space="preserve">Sensitive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Information classified as Confidential or Restricted, including PII, financial data, health records, or intellectual property.</w:t>
            </w:r>
          </w:p>
        </w:tc>
      </w:tr>
      <w:tr>
        <w:tc>
          <w:tcPr>
            <w:tcW w:type="dxa" w:w="2200"/>
            <w:tcBorders>
              <w:top w:val="single" w:color="CCCCCC" w:sz="4"/>
              <w:left w:val="single" w:color="CCCCCC" w:sz="4"/>
              <w:bottom w:val="single" w:color="CCCCCC" w:sz="4"/>
              <w:right w:val="single" w:color="CCCCCC" w:sz="4"/>
            </w:tcBorders>
            <w:shd w:fill="EEF2F8" w:val="clear"/>
            <w:tcMar>
              <w:top w:type="dxa" w:w="80"/>
              <w:left w:type="dxa" w:w="140"/>
              <w:bottom w:type="dxa" w:w="80"/>
              <w:right w:type="dxa" w:w="140"/>
            </w:tcMar>
            <w:vAlign w:val="center"/>
          </w:tcPr>
          <w:p>
            <w:pPr>
              <w:jc w:val="left"/>
            </w:pPr>
            <w:r>
              <w:rPr>
                <w:rFonts w:ascii="Arial" w:cs="Arial" w:eastAsia="Arial" w:hAnsi="Arial"/>
                <w:b/>
                <w:bCs/>
                <w:color w:val="1B2A4A"/>
                <w:sz w:val="19"/>
                <w:szCs w:val="19"/>
              </w:rPr>
              <w:t xml:space="preserve">Incident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Any event that results in, or has the potential to result in, unauthorized access, disclosure, or disruption of information assets.</w:t>
            </w:r>
          </w:p>
        </w:tc>
      </w:tr>
      <w:tr>
        <w:tc>
          <w:tcPr>
            <w:tcW w:type="dxa" w:w="2200"/>
            <w:tcBorders>
              <w:top w:val="single" w:color="CCCCCC" w:sz="4"/>
              <w:left w:val="single" w:color="CCCCCC" w:sz="4"/>
              <w:bottom w:val="single" w:color="CCCCCC" w:sz="4"/>
              <w:right w:val="single" w:color="CCCCCC" w:sz="4"/>
            </w:tcBorders>
            <w:shd w:fill="EEF2F8" w:val="clear"/>
            <w:tcMar>
              <w:top w:type="dxa" w:w="80"/>
              <w:left w:type="dxa" w:w="140"/>
              <w:bottom w:type="dxa" w:w="80"/>
              <w:right w:type="dxa" w:w="140"/>
            </w:tcMar>
            <w:vAlign w:val="center"/>
          </w:tcPr>
          <w:p>
            <w:pPr>
              <w:jc w:val="left"/>
            </w:pPr>
            <w:r>
              <w:rPr>
                <w:rFonts w:ascii="Arial" w:cs="Arial" w:eastAsia="Arial" w:hAnsi="Arial"/>
                <w:b/>
                <w:bCs/>
                <w:color w:val="1B2A4A"/>
                <w:sz w:val="19"/>
                <w:szCs w:val="19"/>
              </w:rPr>
              <w:t xml:space="preserve">BYOD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Bring Your Own Device — personally-owned devices used to access company systems or data.</w:t>
            </w:r>
          </w:p>
        </w:tc>
      </w:tr>
      <w:tr>
        <w:tc>
          <w:tcPr>
            <w:tcW w:type="dxa" w:w="2200"/>
            <w:tcBorders>
              <w:top w:val="single" w:color="CCCCCC" w:sz="4"/>
              <w:left w:val="single" w:color="CCCCCC" w:sz="4"/>
              <w:bottom w:val="single" w:color="CCCCCC" w:sz="4"/>
              <w:right w:val="single" w:color="CCCCCC" w:sz="4"/>
            </w:tcBorders>
            <w:shd w:fill="EEF2F8" w:val="clear"/>
            <w:tcMar>
              <w:top w:type="dxa" w:w="80"/>
              <w:left w:type="dxa" w:w="140"/>
              <w:bottom w:type="dxa" w:w="80"/>
              <w:right w:type="dxa" w:w="140"/>
            </w:tcMar>
            <w:vAlign w:val="center"/>
          </w:tcPr>
          <w:p>
            <w:pPr>
              <w:jc w:val="left"/>
            </w:pPr>
            <w:r>
              <w:rPr>
                <w:rFonts w:ascii="Arial" w:cs="Arial" w:eastAsia="Arial" w:hAnsi="Arial"/>
                <w:b/>
                <w:bCs/>
                <w:color w:val="1B2A4A"/>
                <w:sz w:val="19"/>
                <w:szCs w:val="19"/>
              </w:rPr>
              <w:t xml:space="preserve">PII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Personally Identifiable Information — any data that could identify a specific individual, including names, email addresses, SSNs, and financial information.</w:t>
            </w:r>
          </w:p>
        </w:tc>
      </w:tr>
    </w:tbl>
    <w:p>
      <w:pPr>
        <w:spacing w:before="80" w:after="0"/>
      </w:pPr>
      <w:r>
        <w:t xml:space="preserve"/>
      </w:r>
    </w:p>
    <w:p>
      <w:r>
        <w:br w:type="page"/>
      </w:r>
    </w:p>
    <w:p>
      <w:pPr>
        <w:pBdr>
          <w:bottom w:val="single" w:color="1B2A4A" w:sz="8" w:space="2"/>
        </w:pBdr>
        <w:spacing w:before="360" w:after="100"/>
      </w:pPr>
      <w:r>
        <w:rPr>
          <w:rFonts w:ascii="Arial" w:cs="Arial" w:eastAsia="Arial" w:hAnsi="Arial"/>
          <w:b/>
          <w:bCs/>
          <w:color w:val="2E5E9E"/>
          <w:sz w:val="26"/>
          <w:szCs w:val="26"/>
        </w:rPr>
        <w:t xml:space="preserve">4.  </w:t>
      </w:r>
      <w:r>
        <w:rPr>
          <w:rFonts w:ascii="Arial" w:cs="Arial" w:eastAsia="Arial" w:hAnsi="Arial"/>
          <w:b/>
          <w:bCs/>
          <w:color w:val="1B2A4A"/>
          <w:sz w:val="26"/>
          <w:szCs w:val="26"/>
        </w:rPr>
        <w:t xml:space="preserve">POLICY STATEMENTS</w:t>
      </w:r>
    </w:p>
    <w:p>
      <w:pPr>
        <w:spacing w:before="240" w:after="80"/>
      </w:pPr>
      <w:r>
        <w:rPr>
          <w:rFonts w:ascii="Arial" w:cs="Arial" w:eastAsia="Arial" w:hAnsi="Arial"/>
          <w:b/>
          <w:bCs/>
          <w:color w:val="2E5E9E"/>
          <w:sz w:val="21"/>
          <w:szCs w:val="21"/>
        </w:rPr>
        <w:t xml:space="preserve">4.1  Authorized Use</w:t>
      </w:r>
    </w:p>
    <w:p>
      <w:pPr>
        <w:spacing w:before="60" w:after="80"/>
      </w:pPr>
      <w:r>
        <w:rPr>
          <w:rFonts w:ascii="Arial" w:cs="Arial" w:eastAsia="Arial" w:hAnsi="Arial"/>
          <w:b w:val="false"/>
          <w:bCs w:val="false"/>
          <w:i w:val="false"/>
          <w:iCs w:val="false"/>
          <w:color w:val="222222"/>
          <w:sz w:val="19"/>
          <w:szCs w:val="19"/>
        </w:rPr>
        <w:t xml:space="preserve">Acme Technologies information systems and resources are provided for legitimate business purposes. Users are expected to use company resources in a professional manner consistent with their job responsibilities. Incidental personal use is permitted provided it does not:</w:t>
      </w:r>
    </w:p>
    <w:p>
      <w:pPr>
        <w:pStyle w:val="ListParagraph"/>
        <w:numPr>
          <w:ilvl w:val="0"/>
          <w:numId w:val="2"/>
        </w:numPr>
        <w:spacing w:before="40" w:after="40"/>
      </w:pPr>
      <w:r>
        <w:rPr>
          <w:rFonts w:ascii="Arial" w:cs="Arial" w:eastAsia="Arial" w:hAnsi="Arial"/>
          <w:color w:val="222222"/>
          <w:sz w:val="19"/>
          <w:szCs w:val="19"/>
        </w:rPr>
        <w:t xml:space="preserve">Interfere with job performance or productivity</w:t>
      </w:r>
    </w:p>
    <w:p>
      <w:pPr>
        <w:pStyle w:val="ListParagraph"/>
        <w:numPr>
          <w:ilvl w:val="0"/>
          <w:numId w:val="2"/>
        </w:numPr>
        <w:spacing w:before="40" w:after="40"/>
      </w:pPr>
      <w:r>
        <w:rPr>
          <w:rFonts w:ascii="Arial" w:cs="Arial" w:eastAsia="Arial" w:hAnsi="Arial"/>
          <w:color w:val="222222"/>
          <w:sz w:val="19"/>
          <w:szCs w:val="19"/>
        </w:rPr>
        <w:t xml:space="preserve">Consume excessive system or network resources</w:t>
      </w:r>
    </w:p>
    <w:p>
      <w:pPr>
        <w:pStyle w:val="ListParagraph"/>
        <w:numPr>
          <w:ilvl w:val="0"/>
          <w:numId w:val="2"/>
        </w:numPr>
        <w:spacing w:before="40" w:after="40"/>
      </w:pPr>
      <w:r>
        <w:rPr>
          <w:rFonts w:ascii="Arial" w:cs="Arial" w:eastAsia="Arial" w:hAnsi="Arial"/>
          <w:color w:val="222222"/>
          <w:sz w:val="19"/>
          <w:szCs w:val="19"/>
        </w:rPr>
        <w:t xml:space="preserve">Violate any other provision of this policy</w:t>
      </w:r>
    </w:p>
    <w:p>
      <w:pPr>
        <w:pStyle w:val="ListParagraph"/>
        <w:numPr>
          <w:ilvl w:val="0"/>
          <w:numId w:val="2"/>
        </w:numPr>
        <w:spacing w:before="40" w:after="40"/>
      </w:pPr>
      <w:r>
        <w:rPr>
          <w:rFonts w:ascii="Arial" w:cs="Arial" w:eastAsia="Arial" w:hAnsi="Arial"/>
          <w:color w:val="222222"/>
          <w:sz w:val="19"/>
          <w:szCs w:val="19"/>
        </w:rPr>
        <w:t xml:space="preserve">Create legal liability for Acme Technologies</w:t>
      </w:r>
    </w:p>
    <w:p>
      <w:pPr>
        <w:spacing w:before="60" w:after="0"/>
      </w:pPr>
      <w:r>
        <w:t xml:space="preserve"/>
      </w:r>
    </w:p>
    <w:p>
      <w:pPr>
        <w:spacing w:before="240" w:after="80"/>
      </w:pPr>
      <w:r>
        <w:rPr>
          <w:rFonts w:ascii="Arial" w:cs="Arial" w:eastAsia="Arial" w:hAnsi="Arial"/>
          <w:b/>
          <w:bCs/>
          <w:color w:val="2E5E9E"/>
          <w:sz w:val="21"/>
          <w:szCs w:val="21"/>
        </w:rPr>
        <w:t xml:space="preserve">4.2  Prohibited Activities</w:t>
      </w:r>
    </w:p>
    <w:p>
      <w:pPr>
        <w:spacing w:before="60" w:after="80"/>
      </w:pPr>
      <w:r>
        <w:rPr>
          <w:rFonts w:ascii="Arial" w:cs="Arial" w:eastAsia="Arial" w:hAnsi="Arial"/>
          <w:b w:val="false"/>
          <w:bCs w:val="false"/>
          <w:i w:val="false"/>
          <w:iCs w:val="false"/>
          <w:color w:val="222222"/>
          <w:sz w:val="19"/>
          <w:szCs w:val="19"/>
        </w:rPr>
        <w:t xml:space="preserve">The following activities are strictly prohibited on all Acme Technologies systems and networks:</w:t>
      </w:r>
    </w:p>
    <w:p>
      <w:pPr>
        <w:spacing w:before="40" w:after="0"/>
      </w:pPr>
      <w:r>
        <w:t xml:space="preserve"/>
      </w:r>
    </w:p>
    <w:p>
      <w:pPr>
        <w:spacing w:before="60" w:after="80"/>
      </w:pPr>
      <w:r>
        <w:rPr>
          <w:rFonts w:ascii="Arial" w:cs="Arial" w:eastAsia="Arial" w:hAnsi="Arial"/>
          <w:b/>
          <w:bCs/>
          <w:i w:val="false"/>
          <w:iCs w:val="false"/>
          <w:color w:val="222222"/>
          <w:sz w:val="19"/>
          <w:szCs w:val="19"/>
        </w:rPr>
        <w:t xml:space="preserve">Security and Data Integrity:</w:t>
      </w:r>
    </w:p>
    <w:p>
      <w:pPr>
        <w:pStyle w:val="ListParagraph"/>
        <w:numPr>
          <w:ilvl w:val="0"/>
          <w:numId w:val="2"/>
        </w:numPr>
        <w:spacing w:before="40" w:after="40"/>
      </w:pPr>
      <w:r>
        <w:rPr>
          <w:rFonts w:ascii="Arial" w:cs="Arial" w:eastAsia="Arial" w:hAnsi="Arial"/>
          <w:color w:val="222222"/>
          <w:sz w:val="19"/>
          <w:szCs w:val="19"/>
        </w:rPr>
        <w:t xml:space="preserve">Attempting to gain unauthorized access to systems, accounts, or data</w:t>
      </w:r>
    </w:p>
    <w:p>
      <w:pPr>
        <w:pStyle w:val="ListParagraph"/>
        <w:numPr>
          <w:ilvl w:val="0"/>
          <w:numId w:val="2"/>
        </w:numPr>
        <w:spacing w:before="40" w:after="40"/>
      </w:pPr>
      <w:r>
        <w:rPr>
          <w:rFonts w:ascii="Arial" w:cs="Arial" w:eastAsia="Arial" w:hAnsi="Arial"/>
          <w:color w:val="222222"/>
          <w:sz w:val="19"/>
          <w:szCs w:val="19"/>
        </w:rPr>
        <w:t xml:space="preserve">Installing, distributing, or executing malware, spyware, or unauthorized software</w:t>
      </w:r>
    </w:p>
    <w:p>
      <w:pPr>
        <w:pStyle w:val="ListParagraph"/>
        <w:numPr>
          <w:ilvl w:val="0"/>
          <w:numId w:val="2"/>
        </w:numPr>
        <w:spacing w:before="40" w:after="40"/>
      </w:pPr>
      <w:r>
        <w:rPr>
          <w:rFonts w:ascii="Arial" w:cs="Arial" w:eastAsia="Arial" w:hAnsi="Arial"/>
          <w:color w:val="222222"/>
          <w:sz w:val="19"/>
          <w:szCs w:val="19"/>
        </w:rPr>
        <w:t xml:space="preserve">Circumventing or disabling security controls, antivirus, or monitoring tools</w:t>
      </w:r>
    </w:p>
    <w:p>
      <w:pPr>
        <w:pStyle w:val="ListParagraph"/>
        <w:numPr>
          <w:ilvl w:val="0"/>
          <w:numId w:val="2"/>
        </w:numPr>
        <w:spacing w:before="40" w:after="40"/>
      </w:pPr>
      <w:r>
        <w:rPr>
          <w:rFonts w:ascii="Arial" w:cs="Arial" w:eastAsia="Arial" w:hAnsi="Arial"/>
          <w:color w:val="222222"/>
          <w:sz w:val="19"/>
          <w:szCs w:val="19"/>
        </w:rPr>
        <w:t xml:space="preserve">Sharing credentials or allowing others to use your account</w:t>
      </w:r>
    </w:p>
    <w:p>
      <w:pPr>
        <w:pStyle w:val="ListParagraph"/>
        <w:numPr>
          <w:ilvl w:val="0"/>
          <w:numId w:val="2"/>
        </w:numPr>
        <w:spacing w:before="40" w:after="40"/>
      </w:pPr>
      <w:r>
        <w:rPr>
          <w:rFonts w:ascii="Arial" w:cs="Arial" w:eastAsia="Arial" w:hAnsi="Arial"/>
          <w:color w:val="222222"/>
          <w:sz w:val="19"/>
          <w:szCs w:val="19"/>
        </w:rPr>
        <w:t xml:space="preserve">Transmitting sensitive or confidential data through unencrypted channels</w:t>
      </w:r>
    </w:p>
    <w:p>
      <w:pPr>
        <w:pStyle w:val="ListParagraph"/>
        <w:numPr>
          <w:ilvl w:val="0"/>
          <w:numId w:val="2"/>
        </w:numPr>
        <w:spacing w:before="40" w:after="40"/>
      </w:pPr>
      <w:r>
        <w:rPr>
          <w:rFonts w:ascii="Arial" w:cs="Arial" w:eastAsia="Arial" w:hAnsi="Arial"/>
          <w:color w:val="222222"/>
          <w:sz w:val="19"/>
          <w:szCs w:val="19"/>
        </w:rPr>
        <w:t xml:space="preserve">Connecting unauthorized devices to the corporate network without IT approval</w:t>
      </w:r>
    </w:p>
    <w:p>
      <w:pPr>
        <w:spacing w:before="40" w:after="0"/>
      </w:pPr>
      <w:r>
        <w:t xml:space="preserve"/>
      </w:r>
    </w:p>
    <w:p>
      <w:pPr>
        <w:spacing w:before="60" w:after="80"/>
      </w:pPr>
      <w:r>
        <w:rPr>
          <w:rFonts w:ascii="Arial" w:cs="Arial" w:eastAsia="Arial" w:hAnsi="Arial"/>
          <w:b/>
          <w:bCs/>
          <w:i w:val="false"/>
          <w:iCs w:val="false"/>
          <w:color w:val="222222"/>
          <w:sz w:val="19"/>
          <w:szCs w:val="19"/>
        </w:rPr>
        <w:t xml:space="preserve">Legal and Compliance:</w:t>
      </w:r>
    </w:p>
    <w:p>
      <w:pPr>
        <w:pStyle w:val="ListParagraph"/>
        <w:numPr>
          <w:ilvl w:val="0"/>
          <w:numId w:val="2"/>
        </w:numPr>
        <w:spacing w:before="40" w:after="40"/>
      </w:pPr>
      <w:r>
        <w:rPr>
          <w:rFonts w:ascii="Arial" w:cs="Arial" w:eastAsia="Arial" w:hAnsi="Arial"/>
          <w:color w:val="222222"/>
          <w:sz w:val="19"/>
          <w:szCs w:val="19"/>
        </w:rPr>
        <w:t xml:space="preserve">Accessing, downloading, or distributing copyrighted material without authorization</w:t>
      </w:r>
    </w:p>
    <w:p>
      <w:pPr>
        <w:pStyle w:val="ListParagraph"/>
        <w:numPr>
          <w:ilvl w:val="0"/>
          <w:numId w:val="2"/>
        </w:numPr>
        <w:spacing w:before="40" w:after="40"/>
      </w:pPr>
      <w:r>
        <w:rPr>
          <w:rFonts w:ascii="Arial" w:cs="Arial" w:eastAsia="Arial" w:hAnsi="Arial"/>
          <w:color w:val="222222"/>
          <w:sz w:val="19"/>
          <w:szCs w:val="19"/>
        </w:rPr>
        <w:t xml:space="preserve">Engaging in any activity that violates federal, state, or local laws</w:t>
      </w:r>
    </w:p>
    <w:p>
      <w:pPr>
        <w:pStyle w:val="ListParagraph"/>
        <w:numPr>
          <w:ilvl w:val="0"/>
          <w:numId w:val="2"/>
        </w:numPr>
        <w:spacing w:before="40" w:after="40"/>
      </w:pPr>
      <w:r>
        <w:rPr>
          <w:rFonts w:ascii="Arial" w:cs="Arial" w:eastAsia="Arial" w:hAnsi="Arial"/>
          <w:color w:val="222222"/>
          <w:sz w:val="19"/>
          <w:szCs w:val="19"/>
        </w:rPr>
        <w:t xml:space="preserve">Storing, transmitting, or accessing content that is illegal, obscene, or harassing</w:t>
      </w:r>
    </w:p>
    <w:p>
      <w:pPr>
        <w:pStyle w:val="ListParagraph"/>
        <w:numPr>
          <w:ilvl w:val="0"/>
          <w:numId w:val="2"/>
        </w:numPr>
        <w:spacing w:before="40" w:after="40"/>
      </w:pPr>
      <w:r>
        <w:rPr>
          <w:rFonts w:ascii="Arial" w:cs="Arial" w:eastAsia="Arial" w:hAnsi="Arial"/>
          <w:color w:val="222222"/>
          <w:sz w:val="19"/>
          <w:szCs w:val="19"/>
        </w:rPr>
        <w:t xml:space="preserve">Using company systems for unauthorized commercial activities or personal gain</w:t>
      </w:r>
    </w:p>
    <w:p>
      <w:pPr>
        <w:pStyle w:val="ListParagraph"/>
        <w:numPr>
          <w:ilvl w:val="0"/>
          <w:numId w:val="2"/>
        </w:numPr>
        <w:spacing w:before="40" w:after="40"/>
      </w:pPr>
      <w:r>
        <w:rPr>
          <w:rFonts w:ascii="Arial" w:cs="Arial" w:eastAsia="Arial" w:hAnsi="Arial"/>
          <w:color w:val="222222"/>
          <w:sz w:val="19"/>
          <w:szCs w:val="19"/>
        </w:rPr>
        <w:t xml:space="preserve">Violating the privacy rights of individuals or accessing data without a business need</w:t>
      </w:r>
    </w:p>
    <w:p>
      <w:pPr>
        <w:spacing w:before="40" w:after="0"/>
      </w:pPr>
      <w:r>
        <w:t xml:space="preserve"/>
      </w:r>
    </w:p>
    <w:p>
      <w:pPr>
        <w:spacing w:before="60" w:after="80"/>
      </w:pPr>
      <w:r>
        <w:rPr>
          <w:rFonts w:ascii="Arial" w:cs="Arial" w:eastAsia="Arial" w:hAnsi="Arial"/>
          <w:b/>
          <w:bCs/>
          <w:i w:val="false"/>
          <w:iCs w:val="false"/>
          <w:color w:val="222222"/>
          <w:sz w:val="19"/>
          <w:szCs w:val="19"/>
        </w:rPr>
        <w:t xml:space="preserve">Network and System Integrity:</w:t>
      </w:r>
    </w:p>
    <w:p>
      <w:pPr>
        <w:pStyle w:val="ListParagraph"/>
        <w:numPr>
          <w:ilvl w:val="0"/>
          <w:numId w:val="2"/>
        </w:numPr>
        <w:spacing w:before="40" w:after="40"/>
      </w:pPr>
      <w:r>
        <w:rPr>
          <w:rFonts w:ascii="Arial" w:cs="Arial" w:eastAsia="Arial" w:hAnsi="Arial"/>
          <w:color w:val="222222"/>
          <w:sz w:val="19"/>
          <w:szCs w:val="19"/>
        </w:rPr>
        <w:t xml:space="preserve">Conducting network scanning, penetration testing, or vulnerability assessments without written authorization</w:t>
      </w:r>
    </w:p>
    <w:p>
      <w:pPr>
        <w:pStyle w:val="ListParagraph"/>
        <w:numPr>
          <w:ilvl w:val="0"/>
          <w:numId w:val="2"/>
        </w:numPr>
        <w:spacing w:before="40" w:after="40"/>
      </w:pPr>
      <w:r>
        <w:rPr>
          <w:rFonts w:ascii="Arial" w:cs="Arial" w:eastAsia="Arial" w:hAnsi="Arial"/>
          <w:color w:val="222222"/>
          <w:sz w:val="19"/>
          <w:szCs w:val="19"/>
        </w:rPr>
        <w:t xml:space="preserve">Deliberately consuming excessive bandwidth or system resources</w:t>
      </w:r>
    </w:p>
    <w:p>
      <w:pPr>
        <w:pStyle w:val="ListParagraph"/>
        <w:numPr>
          <w:ilvl w:val="0"/>
          <w:numId w:val="2"/>
        </w:numPr>
        <w:spacing w:before="40" w:after="40"/>
      </w:pPr>
      <w:r>
        <w:rPr>
          <w:rFonts w:ascii="Arial" w:cs="Arial" w:eastAsia="Arial" w:hAnsi="Arial"/>
          <w:color w:val="222222"/>
          <w:sz w:val="19"/>
          <w:szCs w:val="19"/>
        </w:rPr>
        <w:t xml:space="preserve">Attempting to intercept network traffic or conduct man-in-the-middle attacks</w:t>
      </w:r>
    </w:p>
    <w:p>
      <w:pPr>
        <w:pStyle w:val="ListParagraph"/>
        <w:numPr>
          <w:ilvl w:val="0"/>
          <w:numId w:val="2"/>
        </w:numPr>
        <w:spacing w:before="40" w:after="40"/>
      </w:pPr>
      <w:r>
        <w:rPr>
          <w:rFonts w:ascii="Arial" w:cs="Arial" w:eastAsia="Arial" w:hAnsi="Arial"/>
          <w:color w:val="222222"/>
          <w:sz w:val="19"/>
          <w:szCs w:val="19"/>
        </w:rPr>
        <w:t xml:space="preserve">Using anonymization tools or proxies to bypass content filters without authorization</w:t>
      </w:r>
    </w:p>
    <w:p>
      <w:pPr>
        <w:spacing w:before="60" w:after="0"/>
      </w:pPr>
      <w:r>
        <w:t xml:space="preserve"/>
      </w:r>
    </w:p>
    <w:p>
      <w:pPr>
        <w:spacing w:before="240" w:after="80"/>
      </w:pPr>
      <w:r>
        <w:rPr>
          <w:rFonts w:ascii="Arial" w:cs="Arial" w:eastAsia="Arial" w:hAnsi="Arial"/>
          <w:b/>
          <w:bCs/>
          <w:color w:val="2E5E9E"/>
          <w:sz w:val="21"/>
          <w:szCs w:val="21"/>
        </w:rPr>
        <w:t xml:space="preserve">4.3  Password and Authentication Requirements</w:t>
      </w:r>
    </w:p>
    <w:p>
      <w:pPr>
        <w:spacing w:before="60" w:after="80"/>
      </w:pPr>
      <w:r>
        <w:rPr>
          <w:rFonts w:ascii="Arial" w:cs="Arial" w:eastAsia="Arial" w:hAnsi="Arial"/>
          <w:b w:val="false"/>
          <w:bCs w:val="false"/>
          <w:i w:val="false"/>
          <w:iCs w:val="false"/>
          <w:color w:val="222222"/>
          <w:sz w:val="19"/>
          <w:szCs w:val="19"/>
        </w:rPr>
        <w:t xml:space="preserve">All users must comply with the following password and authentication standards when accessing Acme Technologies systems:</w:t>
      </w:r>
    </w:p>
    <w:p>
      <w:pPr>
        <w:pStyle w:val="ListParagraph"/>
        <w:numPr>
          <w:ilvl w:val="0"/>
          <w:numId w:val="2"/>
        </w:numPr>
        <w:spacing w:before="40" w:after="40"/>
      </w:pPr>
      <w:r>
        <w:rPr>
          <w:rFonts w:ascii="Arial" w:cs="Arial" w:eastAsia="Arial" w:hAnsi="Arial"/>
          <w:color w:val="222222"/>
          <w:sz w:val="19"/>
          <w:szCs w:val="19"/>
        </w:rPr>
        <w:t xml:space="preserve">Passwords must meet minimum complexity requirements as defined in the Password Policy (IS-POL-002)</w:t>
      </w:r>
    </w:p>
    <w:p>
      <w:pPr>
        <w:pStyle w:val="ListParagraph"/>
        <w:numPr>
          <w:ilvl w:val="0"/>
          <w:numId w:val="2"/>
        </w:numPr>
        <w:spacing w:before="40" w:after="40"/>
      </w:pPr>
      <w:r>
        <w:rPr>
          <w:rFonts w:ascii="Arial" w:cs="Arial" w:eastAsia="Arial" w:hAnsi="Arial"/>
          <w:color w:val="222222"/>
          <w:sz w:val="19"/>
          <w:szCs w:val="19"/>
        </w:rPr>
        <w:t xml:space="preserve">Multi-factor authentication (MFA) is required for all remote access, cloud platforms, and privileged accounts</w:t>
      </w:r>
    </w:p>
    <w:p>
      <w:pPr>
        <w:pStyle w:val="ListParagraph"/>
        <w:numPr>
          <w:ilvl w:val="0"/>
          <w:numId w:val="2"/>
        </w:numPr>
        <w:spacing w:before="40" w:after="40"/>
      </w:pPr>
      <w:r>
        <w:rPr>
          <w:rFonts w:ascii="Arial" w:cs="Arial" w:eastAsia="Arial" w:hAnsi="Arial"/>
          <w:color w:val="222222"/>
          <w:sz w:val="19"/>
          <w:szCs w:val="19"/>
        </w:rPr>
        <w:t xml:space="preserve">Passwords must never be shared, written down, or stored in plain text</w:t>
      </w:r>
    </w:p>
    <w:p>
      <w:pPr>
        <w:pStyle w:val="ListParagraph"/>
        <w:numPr>
          <w:ilvl w:val="0"/>
          <w:numId w:val="2"/>
        </w:numPr>
        <w:spacing w:before="40" w:after="40"/>
      </w:pPr>
      <w:r>
        <w:rPr>
          <w:rFonts w:ascii="Arial" w:cs="Arial" w:eastAsia="Arial" w:hAnsi="Arial"/>
          <w:color w:val="222222"/>
          <w:sz w:val="19"/>
          <w:szCs w:val="19"/>
        </w:rPr>
        <w:t xml:space="preserve">Users must lock their workstation (Windows + L) when stepping away from their desk</w:t>
      </w:r>
    </w:p>
    <w:p>
      <w:pPr>
        <w:pStyle w:val="ListParagraph"/>
        <w:numPr>
          <w:ilvl w:val="0"/>
          <w:numId w:val="2"/>
        </w:numPr>
        <w:spacing w:before="40" w:after="40"/>
      </w:pPr>
      <w:r>
        <w:rPr>
          <w:rFonts w:ascii="Arial" w:cs="Arial" w:eastAsia="Arial" w:hAnsi="Arial"/>
          <w:color w:val="222222"/>
          <w:sz w:val="19"/>
          <w:szCs w:val="19"/>
        </w:rPr>
        <w:t xml:space="preserve">Passwords must be changed immediately upon any suspected compromise</w:t>
      </w:r>
    </w:p>
    <w:p>
      <w:pPr>
        <w:spacing w:before="60" w:after="0"/>
      </w:pPr>
      <w:r>
        <w:t xml:space="preserve"/>
      </w:r>
    </w:p>
    <w:p>
      <w:pPr>
        <w:spacing w:before="240" w:after="80"/>
      </w:pPr>
      <w:r>
        <w:rPr>
          <w:rFonts w:ascii="Arial" w:cs="Arial" w:eastAsia="Arial" w:hAnsi="Arial"/>
          <w:b/>
          <w:bCs/>
          <w:color w:val="2E5E9E"/>
          <w:sz w:val="21"/>
          <w:szCs w:val="21"/>
        </w:rPr>
        <w:t xml:space="preserve">4.4  Device and Endpoint Security</w:t>
      </w:r>
    </w:p>
    <w:p>
      <w:pPr>
        <w:spacing w:before="60" w:after="80"/>
      </w:pPr>
      <w:r>
        <w:rPr>
          <w:rFonts w:ascii="Arial" w:cs="Arial" w:eastAsia="Arial" w:hAnsi="Arial"/>
          <w:b w:val="false"/>
          <w:bCs w:val="false"/>
          <w:i w:val="false"/>
          <w:iCs w:val="false"/>
          <w:color w:val="222222"/>
          <w:sz w:val="19"/>
          <w:szCs w:val="19"/>
        </w:rPr>
        <w:t xml:space="preserve">All devices used to access Acme Technologies systems must comply with the following requirements:</w:t>
      </w:r>
    </w:p>
    <w:p>
      <w:pPr>
        <w:pStyle w:val="ListParagraph"/>
        <w:numPr>
          <w:ilvl w:val="0"/>
          <w:numId w:val="2"/>
        </w:numPr>
        <w:spacing w:before="40" w:after="40"/>
      </w:pPr>
      <w:r>
        <w:rPr>
          <w:rFonts w:ascii="Arial" w:cs="Arial" w:eastAsia="Arial" w:hAnsi="Arial"/>
          <w:color w:val="222222"/>
          <w:sz w:val="19"/>
          <w:szCs w:val="19"/>
        </w:rPr>
        <w:t xml:space="preserve">Company-issued devices must have endpoint detection and response (EDR) software installed and active at all times</w:t>
      </w:r>
    </w:p>
    <w:p>
      <w:pPr>
        <w:pStyle w:val="ListParagraph"/>
        <w:numPr>
          <w:ilvl w:val="0"/>
          <w:numId w:val="2"/>
        </w:numPr>
        <w:spacing w:before="40" w:after="40"/>
      </w:pPr>
      <w:r>
        <w:rPr>
          <w:rFonts w:ascii="Arial" w:cs="Arial" w:eastAsia="Arial" w:hAnsi="Arial"/>
          <w:color w:val="222222"/>
          <w:sz w:val="19"/>
          <w:szCs w:val="19"/>
        </w:rPr>
        <w:t xml:space="preserve">Operating system and application patches must be applied within 30 days of release; critical patches within 7 days</w:t>
      </w:r>
    </w:p>
    <w:p>
      <w:pPr>
        <w:pStyle w:val="ListParagraph"/>
        <w:numPr>
          <w:ilvl w:val="0"/>
          <w:numId w:val="2"/>
        </w:numPr>
        <w:spacing w:before="40" w:after="40"/>
      </w:pPr>
      <w:r>
        <w:rPr>
          <w:rFonts w:ascii="Arial" w:cs="Arial" w:eastAsia="Arial" w:hAnsi="Arial"/>
          <w:color w:val="222222"/>
          <w:sz w:val="19"/>
          <w:szCs w:val="19"/>
        </w:rPr>
        <w:t xml:space="preserve">Full-disk encryption must be enabled on all laptops and mobile devices</w:t>
      </w:r>
    </w:p>
    <w:p>
      <w:pPr>
        <w:pStyle w:val="ListParagraph"/>
        <w:numPr>
          <w:ilvl w:val="0"/>
          <w:numId w:val="2"/>
        </w:numPr>
        <w:spacing w:before="40" w:after="40"/>
      </w:pPr>
      <w:r>
        <w:rPr>
          <w:rFonts w:ascii="Arial" w:cs="Arial" w:eastAsia="Arial" w:hAnsi="Arial"/>
          <w:color w:val="222222"/>
          <w:sz w:val="19"/>
          <w:szCs w:val="19"/>
        </w:rPr>
        <w:t xml:space="preserve">Removable media (USB drives) must be encrypted and approved by IT Security before use</w:t>
      </w:r>
    </w:p>
    <w:p>
      <w:pPr>
        <w:pStyle w:val="ListParagraph"/>
        <w:numPr>
          <w:ilvl w:val="0"/>
          <w:numId w:val="2"/>
        </w:numPr>
        <w:spacing w:before="40" w:after="40"/>
      </w:pPr>
      <w:r>
        <w:rPr>
          <w:rFonts w:ascii="Arial" w:cs="Arial" w:eastAsia="Arial" w:hAnsi="Arial"/>
          <w:color w:val="222222"/>
          <w:sz w:val="19"/>
          <w:szCs w:val="19"/>
        </w:rPr>
        <w:t xml:space="preserve">Lost or stolen devices must be reported to IT Security within 2 hours of discovery</w:t>
      </w:r>
    </w:p>
    <w:p>
      <w:pPr>
        <w:spacing w:before="60" w:after="0"/>
      </w:pPr>
      <w:r>
        <w:t xml:space="preserve"/>
      </w:r>
    </w:p>
    <w:p>
      <w:pPr>
        <w:spacing w:before="240" w:after="80"/>
      </w:pPr>
      <w:r>
        <w:rPr>
          <w:rFonts w:ascii="Arial" w:cs="Arial" w:eastAsia="Arial" w:hAnsi="Arial"/>
          <w:b/>
          <w:bCs/>
          <w:color w:val="2E5E9E"/>
          <w:sz w:val="21"/>
          <w:szCs w:val="21"/>
        </w:rPr>
        <w:t xml:space="preserve">4.5  Remote Access and VPN</w:t>
      </w:r>
    </w:p>
    <w:p>
      <w:pPr>
        <w:pStyle w:val="ListParagraph"/>
        <w:numPr>
          <w:ilvl w:val="0"/>
          <w:numId w:val="2"/>
        </w:numPr>
        <w:spacing w:before="40" w:after="40"/>
      </w:pPr>
      <w:r>
        <w:rPr>
          <w:rFonts w:ascii="Arial" w:cs="Arial" w:eastAsia="Arial" w:hAnsi="Arial"/>
          <w:color w:val="222222"/>
          <w:sz w:val="19"/>
          <w:szCs w:val="19"/>
        </w:rPr>
        <w:t xml:space="preserve">Remote access to Acme Technologies systems requires use of the approved VPN client</w:t>
      </w:r>
    </w:p>
    <w:p>
      <w:pPr>
        <w:pStyle w:val="ListParagraph"/>
        <w:numPr>
          <w:ilvl w:val="0"/>
          <w:numId w:val="2"/>
        </w:numPr>
        <w:spacing w:before="40" w:after="40"/>
      </w:pPr>
      <w:r>
        <w:rPr>
          <w:rFonts w:ascii="Arial" w:cs="Arial" w:eastAsia="Arial" w:hAnsi="Arial"/>
          <w:color w:val="222222"/>
          <w:sz w:val="19"/>
          <w:szCs w:val="19"/>
        </w:rPr>
        <w:t xml:space="preserve">MFA must be enabled and active for all VPN connections</w:t>
      </w:r>
    </w:p>
    <w:p>
      <w:pPr>
        <w:pStyle w:val="ListParagraph"/>
        <w:numPr>
          <w:ilvl w:val="0"/>
          <w:numId w:val="2"/>
        </w:numPr>
        <w:spacing w:before="40" w:after="40"/>
      </w:pPr>
      <w:r>
        <w:rPr>
          <w:rFonts w:ascii="Arial" w:cs="Arial" w:eastAsia="Arial" w:hAnsi="Arial"/>
          <w:color w:val="222222"/>
          <w:sz w:val="19"/>
          <w:szCs w:val="19"/>
        </w:rPr>
        <w:t xml:space="preserve">Users must not connect to unsecured public Wi-Fi networks without using the VPN</w:t>
      </w:r>
    </w:p>
    <w:p>
      <w:pPr>
        <w:pStyle w:val="ListParagraph"/>
        <w:numPr>
          <w:ilvl w:val="0"/>
          <w:numId w:val="2"/>
        </w:numPr>
        <w:spacing w:before="40" w:after="40"/>
      </w:pPr>
      <w:r>
        <w:rPr>
          <w:rFonts w:ascii="Arial" w:cs="Arial" w:eastAsia="Arial" w:hAnsi="Arial"/>
          <w:color w:val="222222"/>
          <w:sz w:val="19"/>
          <w:szCs w:val="19"/>
        </w:rPr>
        <w:t xml:space="preserve">Split tunneling is prohibited; all traffic must route through the corporate VPN when connected</w:t>
      </w:r>
    </w:p>
    <w:p>
      <w:pPr>
        <w:pStyle w:val="ListParagraph"/>
        <w:numPr>
          <w:ilvl w:val="0"/>
          <w:numId w:val="2"/>
        </w:numPr>
        <w:spacing w:before="40" w:after="40"/>
      </w:pPr>
      <w:r>
        <w:rPr>
          <w:rFonts w:ascii="Arial" w:cs="Arial" w:eastAsia="Arial" w:hAnsi="Arial"/>
          <w:color w:val="222222"/>
          <w:sz w:val="19"/>
          <w:szCs w:val="19"/>
        </w:rPr>
        <w:t xml:space="preserve">Concurrent use of personal and corporate networks on the same device requires IT Security approval</w:t>
      </w:r>
    </w:p>
    <w:p>
      <w:pPr>
        <w:spacing w:before="60" w:after="0"/>
      </w:pPr>
      <w:r>
        <w:t xml:space="preserve"/>
      </w:r>
    </w:p>
    <w:p>
      <w:pPr>
        <w:spacing w:before="240" w:after="80"/>
      </w:pPr>
      <w:r>
        <w:rPr>
          <w:rFonts w:ascii="Arial" w:cs="Arial" w:eastAsia="Arial" w:hAnsi="Arial"/>
          <w:b/>
          <w:bCs/>
          <w:color w:val="2E5E9E"/>
          <w:sz w:val="21"/>
          <w:szCs w:val="21"/>
        </w:rPr>
        <w:t xml:space="preserve">4.6  Email and Communications</w:t>
      </w:r>
    </w:p>
    <w:p>
      <w:pPr>
        <w:pStyle w:val="ListParagraph"/>
        <w:numPr>
          <w:ilvl w:val="0"/>
          <w:numId w:val="2"/>
        </w:numPr>
        <w:spacing w:before="40" w:after="40"/>
      </w:pPr>
      <w:r>
        <w:rPr>
          <w:rFonts w:ascii="Arial" w:cs="Arial" w:eastAsia="Arial" w:hAnsi="Arial"/>
          <w:color w:val="222222"/>
          <w:sz w:val="19"/>
          <w:szCs w:val="19"/>
        </w:rPr>
        <w:t xml:space="preserve">Email must not be used to transmit sensitive data unless encrypted using approved tools</w:t>
      </w:r>
    </w:p>
    <w:p>
      <w:pPr>
        <w:pStyle w:val="ListParagraph"/>
        <w:numPr>
          <w:ilvl w:val="0"/>
          <w:numId w:val="2"/>
        </w:numPr>
        <w:spacing w:before="40" w:after="40"/>
      </w:pPr>
      <w:r>
        <w:rPr>
          <w:rFonts w:ascii="Arial" w:cs="Arial" w:eastAsia="Arial" w:hAnsi="Arial"/>
          <w:color w:val="222222"/>
          <w:sz w:val="19"/>
          <w:szCs w:val="19"/>
        </w:rPr>
        <w:t xml:space="preserve">Users must not click links or open attachments from unknown or suspicious senders</w:t>
      </w:r>
    </w:p>
    <w:p>
      <w:pPr>
        <w:pStyle w:val="ListParagraph"/>
        <w:numPr>
          <w:ilvl w:val="0"/>
          <w:numId w:val="2"/>
        </w:numPr>
        <w:spacing w:before="40" w:after="40"/>
      </w:pPr>
      <w:r>
        <w:rPr>
          <w:rFonts w:ascii="Arial" w:cs="Arial" w:eastAsia="Arial" w:hAnsi="Arial"/>
          <w:color w:val="222222"/>
          <w:sz w:val="19"/>
          <w:szCs w:val="19"/>
        </w:rPr>
        <w:t xml:space="preserve">Phishing attempts must be reported immediately to the IT Security team using the designated reporting button</w:t>
      </w:r>
    </w:p>
    <w:p>
      <w:pPr>
        <w:pStyle w:val="ListParagraph"/>
        <w:numPr>
          <w:ilvl w:val="0"/>
          <w:numId w:val="2"/>
        </w:numPr>
        <w:spacing w:before="40" w:after="40"/>
      </w:pPr>
      <w:r>
        <w:rPr>
          <w:rFonts w:ascii="Arial" w:cs="Arial" w:eastAsia="Arial" w:hAnsi="Arial"/>
          <w:color w:val="222222"/>
          <w:sz w:val="19"/>
          <w:szCs w:val="19"/>
        </w:rPr>
        <w:t xml:space="preserve">Auto-forwarding of corporate email to personal accounts is prohibited</w:t>
      </w:r>
    </w:p>
    <w:p>
      <w:pPr>
        <w:pStyle w:val="ListParagraph"/>
        <w:numPr>
          <w:ilvl w:val="0"/>
          <w:numId w:val="2"/>
        </w:numPr>
        <w:spacing w:before="40" w:after="40"/>
      </w:pPr>
      <w:r>
        <w:rPr>
          <w:rFonts w:ascii="Arial" w:cs="Arial" w:eastAsia="Arial" w:hAnsi="Arial"/>
          <w:color w:val="222222"/>
          <w:sz w:val="19"/>
          <w:szCs w:val="19"/>
        </w:rPr>
        <w:t xml:space="preserve">Mass emails or bulk communications must be approved by the Communications team</w:t>
      </w:r>
    </w:p>
    <w:p>
      <w:pPr>
        <w:spacing w:before="60" w:after="0"/>
      </w:pPr>
      <w:r>
        <w:t xml:space="preserve"/>
      </w:r>
    </w:p>
    <w:p>
      <w:pPr>
        <w:spacing w:before="240" w:after="80"/>
      </w:pPr>
      <w:r>
        <w:rPr>
          <w:rFonts w:ascii="Arial" w:cs="Arial" w:eastAsia="Arial" w:hAnsi="Arial"/>
          <w:b/>
          <w:bCs/>
          <w:color w:val="2E5E9E"/>
          <w:sz w:val="21"/>
          <w:szCs w:val="21"/>
        </w:rPr>
        <w:t xml:space="preserve">4.7  Cloud Services and SaaS Applications</w:t>
      </w:r>
    </w:p>
    <w:p>
      <w:pPr>
        <w:pStyle w:val="ListParagraph"/>
        <w:numPr>
          <w:ilvl w:val="0"/>
          <w:numId w:val="2"/>
        </w:numPr>
        <w:spacing w:before="40" w:after="40"/>
      </w:pPr>
      <w:r>
        <w:rPr>
          <w:rFonts w:ascii="Arial" w:cs="Arial" w:eastAsia="Arial" w:hAnsi="Arial"/>
          <w:color w:val="222222"/>
          <w:sz w:val="19"/>
          <w:szCs w:val="19"/>
        </w:rPr>
        <w:t xml:space="preserve">Only IT-approved cloud services and SaaS applications may be used to store or process company data</w:t>
      </w:r>
    </w:p>
    <w:p>
      <w:pPr>
        <w:pStyle w:val="ListParagraph"/>
        <w:numPr>
          <w:ilvl w:val="0"/>
          <w:numId w:val="2"/>
        </w:numPr>
        <w:spacing w:before="40" w:after="40"/>
      </w:pPr>
      <w:r>
        <w:rPr>
          <w:rFonts w:ascii="Arial" w:cs="Arial" w:eastAsia="Arial" w:hAnsi="Arial"/>
          <w:color w:val="222222"/>
          <w:sz w:val="19"/>
          <w:szCs w:val="19"/>
        </w:rPr>
        <w:t xml:space="preserve">Shadow IT — use of unauthorized cloud services for business purposes — is strictly prohibited</w:t>
      </w:r>
    </w:p>
    <w:p>
      <w:pPr>
        <w:pStyle w:val="ListParagraph"/>
        <w:numPr>
          <w:ilvl w:val="0"/>
          <w:numId w:val="2"/>
        </w:numPr>
        <w:spacing w:before="40" w:after="40"/>
      </w:pPr>
      <w:r>
        <w:rPr>
          <w:rFonts w:ascii="Arial" w:cs="Arial" w:eastAsia="Arial" w:hAnsi="Arial"/>
          <w:color w:val="222222"/>
          <w:sz w:val="19"/>
          <w:szCs w:val="19"/>
        </w:rPr>
        <w:t xml:space="preserve">Company data must not be stored in personal cloud accounts (personal Google Drive, Dropbox, iCloud, etc.)</w:t>
      </w:r>
    </w:p>
    <w:p>
      <w:pPr>
        <w:pStyle w:val="ListParagraph"/>
        <w:numPr>
          <w:ilvl w:val="0"/>
          <w:numId w:val="2"/>
        </w:numPr>
        <w:spacing w:before="40" w:after="40"/>
      </w:pPr>
      <w:r>
        <w:rPr>
          <w:rFonts w:ascii="Arial" w:cs="Arial" w:eastAsia="Arial" w:hAnsi="Arial"/>
          <w:color w:val="222222"/>
          <w:sz w:val="19"/>
          <w:szCs w:val="19"/>
        </w:rPr>
        <w:t xml:space="preserve">Users must complete security training before being granted access to new cloud platforms</w:t>
      </w:r>
    </w:p>
    <w:p>
      <w:pPr>
        <w:spacing w:before="60" w:after="0"/>
      </w:pPr>
      <w:r>
        <w:t xml:space="preserve"/>
      </w:r>
    </w:p>
    <w:p>
      <w:pPr>
        <w:spacing w:before="240" w:after="80"/>
      </w:pPr>
      <w:r>
        <w:rPr>
          <w:rFonts w:ascii="Arial" w:cs="Arial" w:eastAsia="Arial" w:hAnsi="Arial"/>
          <w:b/>
          <w:bCs/>
          <w:color w:val="2E5E9E"/>
          <w:sz w:val="21"/>
          <w:szCs w:val="21"/>
        </w:rPr>
        <w:t xml:space="preserve">4.8  Social Media and Public Communications</w:t>
      </w:r>
    </w:p>
    <w:p>
      <w:pPr>
        <w:pStyle w:val="ListParagraph"/>
        <w:numPr>
          <w:ilvl w:val="0"/>
          <w:numId w:val="2"/>
        </w:numPr>
        <w:spacing w:before="40" w:after="40"/>
      </w:pPr>
      <w:r>
        <w:rPr>
          <w:rFonts w:ascii="Arial" w:cs="Arial" w:eastAsia="Arial" w:hAnsi="Arial"/>
          <w:color w:val="222222"/>
          <w:sz w:val="19"/>
          <w:szCs w:val="19"/>
        </w:rPr>
        <w:t xml:space="preserve">Employees must not disclose confidential company information on social media or public platforms</w:t>
      </w:r>
    </w:p>
    <w:p>
      <w:pPr>
        <w:pStyle w:val="ListParagraph"/>
        <w:numPr>
          <w:ilvl w:val="0"/>
          <w:numId w:val="2"/>
        </w:numPr>
        <w:spacing w:before="40" w:after="40"/>
      </w:pPr>
      <w:r>
        <w:rPr>
          <w:rFonts w:ascii="Arial" w:cs="Arial" w:eastAsia="Arial" w:hAnsi="Arial"/>
          <w:color w:val="222222"/>
          <w:sz w:val="19"/>
          <w:szCs w:val="19"/>
        </w:rPr>
        <w:t xml:space="preserve">Opinions expressed on personal social media must not be attributed to Acme Technologies</w:t>
      </w:r>
    </w:p>
    <w:p>
      <w:pPr>
        <w:pStyle w:val="ListParagraph"/>
        <w:numPr>
          <w:ilvl w:val="0"/>
          <w:numId w:val="2"/>
        </w:numPr>
        <w:spacing w:before="40" w:after="40"/>
      </w:pPr>
      <w:r>
        <w:rPr>
          <w:rFonts w:ascii="Arial" w:cs="Arial" w:eastAsia="Arial" w:hAnsi="Arial"/>
          <w:color w:val="222222"/>
          <w:sz w:val="19"/>
          <w:szCs w:val="19"/>
        </w:rPr>
        <w:t xml:space="preserve">Public statements about company products, services, or incidents require approval from Communications</w:t>
      </w:r>
    </w:p>
    <w:p>
      <w:pPr>
        <w:spacing w:before="80" w:after="0"/>
      </w:pPr>
      <w:r>
        <w:t xml:space="preserve"/>
      </w:r>
    </w:p>
    <w:p>
      <w:r>
        <w:br w:type="page"/>
      </w:r>
    </w:p>
    <w:p>
      <w:pPr>
        <w:pBdr>
          <w:bottom w:val="single" w:color="1B2A4A" w:sz="8" w:space="2"/>
        </w:pBdr>
        <w:spacing w:before="360" w:after="100"/>
      </w:pPr>
      <w:r>
        <w:rPr>
          <w:rFonts w:ascii="Arial" w:cs="Arial" w:eastAsia="Arial" w:hAnsi="Arial"/>
          <w:b/>
          <w:bCs/>
          <w:color w:val="2E5E9E"/>
          <w:sz w:val="26"/>
          <w:szCs w:val="26"/>
        </w:rPr>
        <w:t xml:space="preserve">5.  </w:t>
      </w:r>
      <w:r>
        <w:rPr>
          <w:rFonts w:ascii="Arial" w:cs="Arial" w:eastAsia="Arial" w:hAnsi="Arial"/>
          <w:b/>
          <w:bCs/>
          <w:color w:val="1B2A4A"/>
          <w:sz w:val="26"/>
          <w:szCs w:val="26"/>
        </w:rPr>
        <w:t xml:space="preserve">DATA CLASSIFICATION &amp; HANDLING</w:t>
      </w:r>
    </w:p>
    <w:p>
      <w:pPr>
        <w:spacing w:before="60" w:after="80"/>
      </w:pPr>
      <w:r>
        <w:rPr>
          <w:rFonts w:ascii="Arial" w:cs="Arial" w:eastAsia="Arial" w:hAnsi="Arial"/>
          <w:b w:val="false"/>
          <w:bCs w:val="false"/>
          <w:i w:val="false"/>
          <w:iCs w:val="false"/>
          <w:color w:val="222222"/>
          <w:sz w:val="19"/>
          <w:szCs w:val="19"/>
        </w:rPr>
        <w:t xml:space="preserve">All Acme Technologies data must be handled in accordance with its classification level. Users are responsible for identifying and protecting data based on the following classification tiers: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560"/>
      </w:tblGrid>
      <w:tr>
        <w:tc>
          <w:tcPr>
            <w:tcW w:type="dxa" w:w="14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Classification</w:t>
            </w:r>
          </w:p>
        </w:tc>
        <w:tc>
          <w:tcPr>
            <w:tcW w:type="dxa" w:w="26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c>
          <w:tcPr>
            <w:tcW w:type="dxa" w:w="28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Examples</w:t>
            </w:r>
          </w:p>
        </w:tc>
        <w:tc>
          <w:tcPr>
            <w:tcW w:type="dxa" w:w="256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Handling Requirements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8449"/>
                <w:sz w:val="19"/>
                <w:szCs w:val="19"/>
              </w:rPr>
              <w:t xml:space="preserve">PUBLIC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Information approved for public disclosure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Marketing materials, press releases, job postings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No restrictions; may be shared freely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B7950B"/>
                <w:sz w:val="19"/>
                <w:szCs w:val="19"/>
              </w:rPr>
              <w:t xml:space="preserve">INTERNAL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Information for internal use only; not for external sharing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Internal policies, org charts, project plans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Share only with employees; do not post publicly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D35400"/>
                <w:sz w:val="19"/>
                <w:szCs w:val="19"/>
              </w:rPr>
              <w:t xml:space="preserve">CONFIDENTIAL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Sensitive business information requiring protection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Customer data, financial reports, employee PII</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Encrypt in transit and at rest; limit to need-to-know</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C0392B"/>
                <w:sz w:val="19"/>
                <w:szCs w:val="19"/>
              </w:rPr>
              <w:t xml:space="preserve">RESTRICTED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Highly sensitive; unauthorized disclosure causes severe harm</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Trade secrets, PCI data, health records, credentials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Strict access controls; encryption required; audit logging mandatory</w:t>
            </w:r>
          </w:p>
        </w:tc>
      </w:tr>
    </w:tbl>
    <w:p>
      <w:pPr>
        <w:spacing w:before="80" w:after="0"/>
      </w:pPr>
      <w:r>
        <w:t xml:space="preserve"/>
      </w:r>
    </w:p>
    <w:p>
      <w:pPr>
        <w:pBdr>
          <w:bottom w:val="single" w:color="1B2A4A" w:sz="8" w:space="2"/>
        </w:pBdr>
        <w:spacing w:before="360" w:after="100"/>
      </w:pPr>
      <w:r>
        <w:rPr>
          <w:rFonts w:ascii="Arial" w:cs="Arial" w:eastAsia="Arial" w:hAnsi="Arial"/>
          <w:b/>
          <w:bCs/>
          <w:color w:val="2E5E9E"/>
          <w:sz w:val="26"/>
          <w:szCs w:val="26"/>
        </w:rPr>
        <w:t xml:space="preserve">6.  </w:t>
      </w:r>
      <w:r>
        <w:rPr>
          <w:rFonts w:ascii="Arial" w:cs="Arial" w:eastAsia="Arial" w:hAnsi="Arial"/>
          <w:b/>
          <w:bCs/>
          <w:color w:val="1B2A4A"/>
          <w:sz w:val="26"/>
          <w:szCs w:val="26"/>
        </w:rPr>
        <w:t xml:space="preserve">MONITORING AND PRIVACY</w:t>
      </w:r>
    </w:p>
    <w:p>
      <w:pPr>
        <w:spacing w:before="60" w:after="80"/>
      </w:pPr>
      <w:r>
        <w:rPr>
          <w:rFonts w:ascii="Arial" w:cs="Arial" w:eastAsia="Arial" w:hAnsi="Arial"/>
          <w:b w:val="false"/>
          <w:bCs w:val="false"/>
          <w:i w:val="false"/>
          <w:iCs w:val="false"/>
          <w:color w:val="222222"/>
          <w:sz w:val="19"/>
          <w:szCs w:val="19"/>
        </w:rPr>
        <w:t xml:space="preserve">Acme Technologies reserves the right to monitor, log, and audit all activity on company-owned systems, networks, and devices. Users should have no expectation of privacy when using company resources.</w:t>
      </w:r>
    </w:p>
    <w:p>
      <w:pPr>
        <w:spacing w:before="60" w:after="0"/>
      </w:pPr>
      <w:r>
        <w:t xml:space="preserve"/>
      </w:r>
    </w:p>
    <w:p>
      <w:pPr>
        <w:pStyle w:val="ListParagraph"/>
        <w:numPr>
          <w:ilvl w:val="0"/>
          <w:numId w:val="2"/>
        </w:numPr>
        <w:spacing w:before="40" w:after="40"/>
      </w:pPr>
      <w:r>
        <w:rPr>
          <w:rFonts w:ascii="Arial" w:cs="Arial" w:eastAsia="Arial" w:hAnsi="Arial"/>
          <w:color w:val="222222"/>
          <w:sz w:val="19"/>
          <w:szCs w:val="19"/>
        </w:rPr>
        <w:t xml:space="preserve">All network traffic, email, and system activity may be logged and reviewed</w:t>
      </w:r>
    </w:p>
    <w:p>
      <w:pPr>
        <w:pStyle w:val="ListParagraph"/>
        <w:numPr>
          <w:ilvl w:val="0"/>
          <w:numId w:val="2"/>
        </w:numPr>
        <w:spacing w:before="40" w:after="40"/>
      </w:pPr>
      <w:r>
        <w:rPr>
          <w:rFonts w:ascii="Arial" w:cs="Arial" w:eastAsia="Arial" w:hAnsi="Arial"/>
          <w:color w:val="222222"/>
          <w:sz w:val="19"/>
          <w:szCs w:val="19"/>
        </w:rPr>
        <w:t xml:space="preserve">Monitoring activities are conducted in accordance with applicable laws and regulations</w:t>
      </w:r>
    </w:p>
    <w:p>
      <w:pPr>
        <w:pStyle w:val="ListParagraph"/>
        <w:numPr>
          <w:ilvl w:val="0"/>
          <w:numId w:val="2"/>
        </w:numPr>
        <w:spacing w:before="40" w:after="40"/>
      </w:pPr>
      <w:r>
        <w:rPr>
          <w:rFonts w:ascii="Arial" w:cs="Arial" w:eastAsia="Arial" w:hAnsi="Arial"/>
          <w:color w:val="222222"/>
          <w:sz w:val="19"/>
          <w:szCs w:val="19"/>
        </w:rPr>
        <w:t xml:space="preserve">Users will be notified of monitoring practices through this policy and onboarding</w:t>
      </w:r>
    </w:p>
    <w:p>
      <w:pPr>
        <w:pStyle w:val="ListParagraph"/>
        <w:numPr>
          <w:ilvl w:val="0"/>
          <w:numId w:val="2"/>
        </w:numPr>
        <w:spacing w:before="40" w:after="40"/>
      </w:pPr>
      <w:r>
        <w:rPr>
          <w:rFonts w:ascii="Arial" w:cs="Arial" w:eastAsia="Arial" w:hAnsi="Arial"/>
          <w:color w:val="222222"/>
          <w:sz w:val="19"/>
          <w:szCs w:val="19"/>
        </w:rPr>
        <w:t xml:space="preserve">Personal devices used for BYOD are subject to monitoring only for company-related activity</w:t>
      </w:r>
    </w:p>
    <w:p>
      <w:pPr>
        <w:pStyle w:val="ListParagraph"/>
        <w:numPr>
          <w:ilvl w:val="0"/>
          <w:numId w:val="2"/>
        </w:numPr>
        <w:spacing w:before="40" w:after="40"/>
      </w:pPr>
      <w:r>
        <w:rPr>
          <w:rFonts w:ascii="Arial" w:cs="Arial" w:eastAsia="Arial" w:hAnsi="Arial"/>
          <w:color w:val="222222"/>
          <w:sz w:val="19"/>
          <w:szCs w:val="19"/>
        </w:rPr>
        <w:t xml:space="preserve">Audit logs are retained for a minimum of 12 months and protected from unauthorized modification</w:t>
      </w:r>
    </w:p>
    <w:p>
      <w:pPr>
        <w:spacing w:before="80" w:after="0"/>
      </w:pPr>
      <w:r>
        <w:t xml:space="preserve"/>
      </w:r>
    </w:p>
    <w:p>
      <w:pPr>
        <w:pBdr>
          <w:bottom w:val="single" w:color="1B2A4A" w:sz="8" w:space="2"/>
        </w:pBdr>
        <w:spacing w:before="360" w:after="100"/>
      </w:pPr>
      <w:r>
        <w:rPr>
          <w:rFonts w:ascii="Arial" w:cs="Arial" w:eastAsia="Arial" w:hAnsi="Arial"/>
          <w:b/>
          <w:bCs/>
          <w:color w:val="2E5E9E"/>
          <w:sz w:val="26"/>
          <w:szCs w:val="26"/>
        </w:rPr>
        <w:t xml:space="preserve">7.  </w:t>
      </w:r>
      <w:r>
        <w:rPr>
          <w:rFonts w:ascii="Arial" w:cs="Arial" w:eastAsia="Arial" w:hAnsi="Arial"/>
          <w:b/>
          <w:bCs/>
          <w:color w:val="1B2A4A"/>
          <w:sz w:val="26"/>
          <w:szCs w:val="26"/>
        </w:rPr>
        <w:t xml:space="preserve">POLICY VIOLATIONS &amp; ENFORCEMENT</w:t>
      </w:r>
    </w:p>
    <w:p>
      <w:pPr>
        <w:spacing w:before="60" w:after="80"/>
      </w:pPr>
      <w:r>
        <w:rPr>
          <w:rFonts w:ascii="Arial" w:cs="Arial" w:eastAsia="Arial" w:hAnsi="Arial"/>
          <w:b w:val="false"/>
          <w:bCs w:val="false"/>
          <w:i w:val="false"/>
          <w:iCs w:val="false"/>
          <w:color w:val="222222"/>
          <w:sz w:val="19"/>
          <w:szCs w:val="19"/>
        </w:rPr>
        <w:t xml:space="preserve">Violations of this policy may result in disciplinary action up to and including termination of employment, contract termination, and/or legal action. The severity of the response will be commensurate with the nature and impact of the violation.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Violation Category</w:t>
            </w:r>
          </w:p>
        </w:tc>
        <w:tc>
          <w:tcPr>
            <w:tcW w:type="dxa" w:w="35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Examples</w:t>
            </w:r>
          </w:p>
        </w:tc>
        <w:tc>
          <w:tcPr>
            <w:tcW w:type="dxa" w:w="336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Potential Consequence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19"/>
                <w:szCs w:val="19"/>
              </w:rPr>
              <w:t xml:space="preserve">Minor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Incidental personal use; failure to lock workstation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Verbal or written warning; retraining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D35400"/>
                <w:sz w:val="19"/>
                <w:szCs w:val="19"/>
              </w:rPr>
              <w:t xml:space="preserve">Moderate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Use of unauthorized software; sharing credentials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Written warning; suspension of access privileges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C0392B"/>
                <w:sz w:val="19"/>
                <w:szCs w:val="19"/>
              </w:rPr>
              <w:t xml:space="preserve">Severe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Data exfiltration; deliberate security bypass; harassment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Immediate termination; legal action; regulatory reporting</w:t>
            </w:r>
          </w:p>
        </w:tc>
      </w:tr>
    </w:tbl>
    <w:p>
      <w:pPr>
        <w:spacing w:before="60" w:after="0"/>
      </w:pPr>
      <w:r>
        <w:t xml:space="preserve"/>
      </w:r>
    </w:p>
    <w:p>
      <w:pPr>
        <w:spacing w:before="60" w:after="80"/>
      </w:pPr>
      <w:r>
        <w:rPr>
          <w:rFonts w:ascii="Arial" w:cs="Arial" w:eastAsia="Arial" w:hAnsi="Arial"/>
          <w:b w:val="false"/>
          <w:bCs w:val="false"/>
          <w:i w:val="false"/>
          <w:iCs w:val="false"/>
          <w:color w:val="222222"/>
          <w:sz w:val="19"/>
          <w:szCs w:val="19"/>
        </w:rPr>
        <w:t xml:space="preserve">Users who become aware of a policy violation must report it to the IT Security team at security@acmetechnologies.com or through the anonymous reporting hotline. Retaliation against good-faith reporters is prohibited.</w:t>
      </w:r>
    </w:p>
    <w:p>
      <w:pPr>
        <w:spacing w:before="80" w:after="0"/>
      </w:pPr>
      <w:r>
        <w:t xml:space="preserve"/>
      </w:r>
    </w:p>
    <w:p>
      <w:pPr>
        <w:pBdr>
          <w:bottom w:val="single" w:color="1B2A4A" w:sz="8" w:space="2"/>
        </w:pBdr>
        <w:spacing w:before="360" w:after="100"/>
      </w:pPr>
      <w:r>
        <w:rPr>
          <w:rFonts w:ascii="Arial" w:cs="Arial" w:eastAsia="Arial" w:hAnsi="Arial"/>
          <w:b/>
          <w:bCs/>
          <w:color w:val="2E5E9E"/>
          <w:sz w:val="26"/>
          <w:szCs w:val="26"/>
        </w:rPr>
        <w:t xml:space="preserve">8.  </w:t>
      </w:r>
      <w:r>
        <w:rPr>
          <w:rFonts w:ascii="Arial" w:cs="Arial" w:eastAsia="Arial" w:hAnsi="Arial"/>
          <w:b/>
          <w:bCs/>
          <w:color w:val="1B2A4A"/>
          <w:sz w:val="26"/>
          <w:szCs w:val="26"/>
        </w:rPr>
        <w:t xml:space="preserve">POLICY EXCEPTIONS</w:t>
      </w:r>
    </w:p>
    <w:p>
      <w:pPr>
        <w:spacing w:before="60" w:after="80"/>
      </w:pPr>
      <w:r>
        <w:rPr>
          <w:rFonts w:ascii="Arial" w:cs="Arial" w:eastAsia="Arial" w:hAnsi="Arial"/>
          <w:b w:val="false"/>
          <w:bCs w:val="false"/>
          <w:i w:val="false"/>
          <w:iCs w:val="false"/>
          <w:color w:val="222222"/>
          <w:sz w:val="19"/>
          <w:szCs w:val="19"/>
        </w:rPr>
        <w:t xml:space="preserve">Exceptions to this policy may be granted on a case-by-case basis where a legitimate business need exists. All exceptions must be:</w:t>
      </w:r>
    </w:p>
    <w:p>
      <w:pPr>
        <w:pStyle w:val="ListParagraph"/>
        <w:numPr>
          <w:ilvl w:val="0"/>
          <w:numId w:val="3"/>
        </w:numPr>
        <w:spacing w:before="40" w:after="40"/>
      </w:pPr>
      <w:r>
        <w:rPr>
          <w:rFonts w:ascii="Arial" w:cs="Arial" w:eastAsia="Arial" w:hAnsi="Arial"/>
          <w:color w:val="222222"/>
          <w:sz w:val="19"/>
          <w:szCs w:val="19"/>
        </w:rPr>
        <w:t xml:space="preserve">Submitted in writing to the IT Security team with a clear business justification</w:t>
      </w:r>
    </w:p>
    <w:p>
      <w:pPr>
        <w:pStyle w:val="ListParagraph"/>
        <w:numPr>
          <w:ilvl w:val="0"/>
          <w:numId w:val="3"/>
        </w:numPr>
        <w:spacing w:before="40" w:after="40"/>
      </w:pPr>
      <w:r>
        <w:rPr>
          <w:rFonts w:ascii="Arial" w:cs="Arial" w:eastAsia="Arial" w:hAnsi="Arial"/>
          <w:color w:val="222222"/>
          <w:sz w:val="19"/>
          <w:szCs w:val="19"/>
        </w:rPr>
        <w:t xml:space="preserve">Reviewed and approved by the Information Security Lead and relevant department head</w:t>
      </w:r>
    </w:p>
    <w:p>
      <w:pPr>
        <w:pStyle w:val="ListParagraph"/>
        <w:numPr>
          <w:ilvl w:val="0"/>
          <w:numId w:val="3"/>
        </w:numPr>
        <w:spacing w:before="40" w:after="40"/>
      </w:pPr>
      <w:r>
        <w:rPr>
          <w:rFonts w:ascii="Arial" w:cs="Arial" w:eastAsia="Arial" w:hAnsi="Arial"/>
          <w:color w:val="222222"/>
          <w:sz w:val="19"/>
          <w:szCs w:val="19"/>
        </w:rPr>
        <w:t xml:space="preserve">Documented with an expiration date not to exceed 12 months</w:t>
      </w:r>
    </w:p>
    <w:p>
      <w:pPr>
        <w:pStyle w:val="ListParagraph"/>
        <w:numPr>
          <w:ilvl w:val="0"/>
          <w:numId w:val="3"/>
        </w:numPr>
        <w:spacing w:before="40" w:after="40"/>
      </w:pPr>
      <w:r>
        <w:rPr>
          <w:rFonts w:ascii="Arial" w:cs="Arial" w:eastAsia="Arial" w:hAnsi="Arial"/>
          <w:color w:val="222222"/>
          <w:sz w:val="19"/>
          <w:szCs w:val="19"/>
        </w:rPr>
        <w:t xml:space="preserve">Reviewed at renewal and revoked if the business justification no longer applies</w:t>
      </w:r>
    </w:p>
    <w:p>
      <w:pPr>
        <w:spacing w:before="60" w:after="0"/>
      </w:pPr>
      <w:r>
        <w:t xml:space="preserve"/>
      </w:r>
    </w:p>
    <w:p>
      <w:pPr>
        <w:spacing w:before="60" w:after="80"/>
      </w:pPr>
      <w:r>
        <w:rPr>
          <w:rFonts w:ascii="Arial" w:cs="Arial" w:eastAsia="Arial" w:hAnsi="Arial"/>
          <w:b w:val="false"/>
          <w:bCs w:val="false"/>
          <w:i w:val="false"/>
          <w:iCs w:val="false"/>
          <w:color w:val="222222"/>
          <w:sz w:val="19"/>
          <w:szCs w:val="19"/>
        </w:rPr>
        <w:t xml:space="preserve">Approved exceptions are logged in the Policy Exception Register maintained by the GRC function.</w:t>
      </w:r>
    </w:p>
    <w:p>
      <w:pPr>
        <w:spacing w:before="80" w:after="0"/>
      </w:pPr>
      <w:r>
        <w:t xml:space="preserve"/>
      </w:r>
    </w:p>
    <w:p>
      <w:pPr>
        <w:pBdr>
          <w:bottom w:val="single" w:color="1B2A4A" w:sz="8" w:space="2"/>
        </w:pBdr>
        <w:spacing w:before="360" w:after="100"/>
      </w:pPr>
      <w:r>
        <w:rPr>
          <w:rFonts w:ascii="Arial" w:cs="Arial" w:eastAsia="Arial" w:hAnsi="Arial"/>
          <w:b/>
          <w:bCs/>
          <w:color w:val="2E5E9E"/>
          <w:sz w:val="26"/>
          <w:szCs w:val="26"/>
        </w:rPr>
        <w:t xml:space="preserve">9.  </w:t>
      </w:r>
      <w:r>
        <w:rPr>
          <w:rFonts w:ascii="Arial" w:cs="Arial" w:eastAsia="Arial" w:hAnsi="Arial"/>
          <w:b/>
          <w:bCs/>
          <w:color w:val="1B2A4A"/>
          <w:sz w:val="26"/>
          <w:szCs w:val="26"/>
        </w:rPr>
        <w:t xml:space="preserve">RELATED POLICIES &amp; DOCUMENTS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Document ID</w:t>
            </w:r>
          </w:p>
        </w:tc>
        <w:tc>
          <w:tcPr>
            <w:tcW w:type="dxa" w:w="40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Document Title</w:t>
            </w:r>
          </w:p>
        </w:tc>
        <w:tc>
          <w:tcPr>
            <w:tcW w:type="dxa" w:w="336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r>
              <w:rPr>
                <w:rFonts w:ascii="Arial" w:cs="Arial" w:eastAsia="Arial" w:hAnsi="Arial"/>
                <w:b/>
                <w:bCs/>
                <w:color w:val="FFFFFF"/>
                <w:sz w:val="19"/>
                <w:szCs w:val="19"/>
              </w:rPr>
              <w:t xml:space="preserve">Owner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IS-POL-002</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Password Policy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GRC / Information Security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IS-POL-003</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Incident Response Policy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GRC / Information Security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IS-POL-004</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Data Classification Policy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GRC / Information Security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IS-POL-005</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Remote Access Policy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GRC / Information Security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IS-POL-006</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Third-Party Risk Management Policy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GRC / Information Security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IS-RA-001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Annual Information Security Risk Assessment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9"/>
                <w:szCs w:val="19"/>
              </w:rPr>
              <w:t xml:space="preserve">GRC / Information Security</w:t>
            </w:r>
          </w:p>
        </w:tc>
      </w:tr>
    </w:tbl>
    <w:p>
      <w:pPr>
        <w:spacing w:before="80" w:after="0"/>
      </w:pPr>
      <w:r>
        <w:t xml:space="preserve"/>
      </w:r>
    </w:p>
    <w:p>
      <w:pPr>
        <w:pBdr>
          <w:bottom w:val="single" w:color="1B2A4A" w:sz="8" w:space="2"/>
        </w:pBdr>
        <w:spacing w:before="360" w:after="100"/>
      </w:pPr>
      <w:r>
        <w:rPr>
          <w:rFonts w:ascii="Arial" w:cs="Arial" w:eastAsia="Arial" w:hAnsi="Arial"/>
          <w:b/>
          <w:bCs/>
          <w:color w:val="2E5E9E"/>
          <w:sz w:val="26"/>
          <w:szCs w:val="26"/>
        </w:rPr>
        <w:t xml:space="preserve">10.  </w:t>
      </w:r>
      <w:r>
        <w:rPr>
          <w:rFonts w:ascii="Arial" w:cs="Arial" w:eastAsia="Arial" w:hAnsi="Arial"/>
          <w:b/>
          <w:bCs/>
          <w:color w:val="1B2A4A"/>
          <w:sz w:val="26"/>
          <w:szCs w:val="26"/>
        </w:rPr>
        <w:t xml:space="preserve">USER ACKNOWLEDGEMENT</w:t>
      </w:r>
    </w:p>
    <w:p>
      <w:pPr>
        <w:spacing w:before="60" w:after="80"/>
      </w:pPr>
      <w:r>
        <w:rPr>
          <w:rFonts w:ascii="Arial" w:cs="Arial" w:eastAsia="Arial" w:hAnsi="Arial"/>
          <w:b w:val="false"/>
          <w:bCs w:val="false"/>
          <w:i w:val="false"/>
          <w:iCs w:val="false"/>
          <w:color w:val="222222"/>
          <w:sz w:val="19"/>
          <w:szCs w:val="19"/>
        </w:rPr>
        <w:t xml:space="preserve">All users must read, understand, and acknowledge this policy prior to being granted access to Acme Technologies systems. Acknowledgement is completed electronically via the HR onboarding system and must be renewed annually.</w:t>
      </w:r>
    </w:p>
    <w:p>
      <w:pPr>
        <w:spacing w:before="60" w:after="0"/>
      </w:pPr>
      <w:r>
        <w:t xml:space="preserve"/>
      </w:r>
    </w:p>
    <w:p>
      <w:pPr>
        <w:spacing w:before="60" w:after="80"/>
      </w:pPr>
      <w:r>
        <w:rPr>
          <w:rFonts w:ascii="Arial" w:cs="Arial" w:eastAsia="Arial" w:hAnsi="Arial"/>
          <w:b/>
          <w:bCs/>
          <w:i w:val="false"/>
          <w:iCs w:val="false"/>
          <w:color w:val="222222"/>
          <w:sz w:val="19"/>
          <w:szCs w:val="19"/>
        </w:rPr>
        <w:t xml:space="preserve">By acknowledging this policy, users confirm that they:</w:t>
      </w:r>
    </w:p>
    <w:p>
      <w:pPr>
        <w:pStyle w:val="ListParagraph"/>
        <w:numPr>
          <w:ilvl w:val="0"/>
          <w:numId w:val="3"/>
        </w:numPr>
        <w:spacing w:before="40" w:after="40"/>
      </w:pPr>
      <w:r>
        <w:rPr>
          <w:rFonts w:ascii="Arial" w:cs="Arial" w:eastAsia="Arial" w:hAnsi="Arial"/>
          <w:color w:val="222222"/>
          <w:sz w:val="19"/>
          <w:szCs w:val="19"/>
        </w:rPr>
        <w:t xml:space="preserve">Have read and understood the Acceptable Use Policy in its entirety</w:t>
      </w:r>
    </w:p>
    <w:p>
      <w:pPr>
        <w:pStyle w:val="ListParagraph"/>
        <w:numPr>
          <w:ilvl w:val="0"/>
          <w:numId w:val="3"/>
        </w:numPr>
        <w:spacing w:before="40" w:after="40"/>
      </w:pPr>
      <w:r>
        <w:rPr>
          <w:rFonts w:ascii="Arial" w:cs="Arial" w:eastAsia="Arial" w:hAnsi="Arial"/>
          <w:color w:val="222222"/>
          <w:sz w:val="19"/>
          <w:szCs w:val="19"/>
        </w:rPr>
        <w:t xml:space="preserve">Agree to comply with all requirements set forth in this policy</w:t>
      </w:r>
    </w:p>
    <w:p>
      <w:pPr>
        <w:pStyle w:val="ListParagraph"/>
        <w:numPr>
          <w:ilvl w:val="0"/>
          <w:numId w:val="3"/>
        </w:numPr>
        <w:spacing w:before="40" w:after="40"/>
      </w:pPr>
      <w:r>
        <w:rPr>
          <w:rFonts w:ascii="Arial" w:cs="Arial" w:eastAsia="Arial" w:hAnsi="Arial"/>
          <w:color w:val="222222"/>
          <w:sz w:val="19"/>
          <w:szCs w:val="19"/>
        </w:rPr>
        <w:t xml:space="preserve">Understand that violations may result in disciplinary action up to and including termination</w:t>
      </w:r>
    </w:p>
    <w:p>
      <w:pPr>
        <w:pStyle w:val="ListParagraph"/>
        <w:numPr>
          <w:ilvl w:val="0"/>
          <w:numId w:val="3"/>
        </w:numPr>
        <w:spacing w:before="40" w:after="40"/>
      </w:pPr>
      <w:r>
        <w:rPr>
          <w:rFonts w:ascii="Arial" w:cs="Arial" w:eastAsia="Arial" w:hAnsi="Arial"/>
          <w:color w:val="222222"/>
          <w:sz w:val="19"/>
          <w:szCs w:val="19"/>
        </w:rPr>
        <w:t xml:space="preserve">Will report suspected violations or security incidents to the IT Security team promptly</w:t>
      </w:r>
    </w:p>
    <w:p>
      <w:pPr>
        <w:spacing w:before="80" w:after="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EF2F8" w:val="clear"/>
            <w:tcMar>
              <w:top w:type="dxa" w:w="240"/>
              <w:left w:type="dxa" w:w="360"/>
              <w:bottom w:type="dxa" w:w="240"/>
              <w:right w:type="dxa" w:w="360"/>
            </w:tcMar>
          </w:tcPr>
          <w:p>
            <w:pPr>
              <w:spacing w:before="0" w:after="120"/>
            </w:pPr>
            <w:r>
              <w:rPr>
                <w:rFonts w:ascii="Arial" w:cs="Arial" w:eastAsia="Arial" w:hAnsi="Arial"/>
                <w:b/>
                <w:bCs/>
                <w:color w:val="1B2A4A"/>
                <w:sz w:val="24"/>
                <w:szCs w:val="24"/>
              </w:rPr>
              <w:t xml:space="preserve">DOCUMENT APPROVAL</w:t>
            </w:r>
          </w:p>
          <w:p>
            <w:pPr>
              <w:spacing w:before="0" w:after="60"/>
            </w:pPr>
            <w:r>
              <w:rPr>
                <w:rFonts w:ascii="Arial" w:cs="Arial" w:eastAsia="Arial" w:hAnsi="Arial"/>
                <w:color w:val="222222"/>
                <w:sz w:val="19"/>
                <w:szCs w:val="19"/>
              </w:rPr>
              <w:t xml:space="preserve">Prepared by:  Kunj Patel, GRC Analyst  |  Date: March 1, 2026</w:t>
            </w:r>
          </w:p>
          <w:p>
            <w:pPr>
              <w:spacing w:before="0" w:after="60"/>
            </w:pPr>
            <w:r>
              <w:rPr>
                <w:rFonts w:ascii="Arial" w:cs="Arial" w:eastAsia="Arial" w:hAnsi="Arial"/>
                <w:color w:val="222222"/>
                <w:sz w:val="19"/>
                <w:szCs w:val="19"/>
              </w:rPr>
              <w:t xml:space="preserve">Reviewed by:  Dunn Smith, CISO  |  Date: March 1, 2026</w:t>
            </w:r>
          </w:p>
          <w:p>
            <w:pPr>
              <w:spacing w:before="0" w:after="60"/>
            </w:pPr>
            <w:r>
              <w:rPr>
                <w:rFonts w:ascii="Arial" w:cs="Arial" w:eastAsia="Arial" w:hAnsi="Arial"/>
                <w:color w:val="222222"/>
                <w:sz w:val="19"/>
                <w:szCs w:val="19"/>
              </w:rPr>
              <w:t xml:space="preserve">Approved by:  Dunn Smith, CISO  |  Date: March 1, 2026</w:t>
            </w:r>
          </w:p>
          <w:p>
            <w:pPr>
              <w:spacing w:before="60" w:after="0"/>
            </w:pPr>
            <w:r>
              <w:rPr>
                <w:rFonts w:ascii="Arial" w:cs="Arial" w:eastAsia="Arial" w:hAnsi="Arial"/>
                <w:i/>
                <w:iCs/>
                <w:color w:val="666666"/>
                <w:sz w:val="18"/>
                <w:szCs w:val="18"/>
              </w:rPr>
              <w:t xml:space="preserve">Next Review Date: March 1, 2027  |  Document ID: IS-POL-001  |  Version: 1.0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2026-03-13T18:45:40.757Z</dcterms:created>
  <dcterms:modified xsi:type="dcterms:W3CDTF">2026-03-13T18:45:40.758Z</dcterms:modified>
</cp:coreProperties>
</file>

<file path=docProps/custom.xml><?xml version="1.0" encoding="utf-8"?>
<Properties xmlns="http://schemas.openxmlformats.org/officeDocument/2006/custom-properties" xmlns:vt="http://schemas.openxmlformats.org/officeDocument/2006/docPropsVTypes"/>
</file>