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pPr>
      <w:r>
        <w:rPr>
          <w:rFonts w:ascii="Arial" w:cs="Arial" w:eastAsia="Arial" w:hAnsi="Arial"/>
          <w:b/>
          <w:bCs/>
          <w:color w:val="1B2A4A"/>
          <w:sz w:val="52"/>
          <w:szCs w:val="52"/>
        </w:rPr>
        <w:t xml:space="preserve">INFORMATION SECURITY RISK ASSESSMENT</w:t>
      </w:r>
    </w:p>
    <w:p>
      <w:pPr>
        <w:spacing w:before="0" w:after="80"/>
      </w:pPr>
      <w:r>
        <w:rPr>
          <w:rFonts w:ascii="Arial" w:cs="Arial" w:eastAsia="Arial" w:hAnsi="Arial"/>
          <w:i/>
          <w:iCs/>
          <w:color w:val="2E5E9E"/>
          <w:sz w:val="28"/>
          <w:szCs w:val="28"/>
        </w:rPr>
        <w:t xml:space="preserve">Acme Technologies, Inc.  |  Annual Risk Assessment Report</w:t>
      </w:r>
    </w:p>
    <w:p>
      <w:pPr>
        <w:pBdr>
          <w:bottom w:val="single" w:color="1B2A4A" w:sz="8" w:space="4"/>
        </w:pBdr>
        <w:spacing w:before="0" w:after="0"/>
      </w:pPr>
      <w:r>
        <w:rPr>
          <w:rFonts w:ascii="Arial" w:cs="Arial" w:eastAsia="Arial" w:hAnsi="Arial"/>
          <w:color w:val="555555"/>
          <w:sz w:val="19"/>
          <w:szCs w:val="19"/>
        </w:rPr>
        <w:t xml:space="preserve">Prepared by: Kunj Patel, GRC Analyst  |  Classification: Confidential  |  Date: March 2026  |  Version: 1.0</w:t>
      </w:r>
    </w:p>
    <w:p>
      <w:pPr>
        <w:spacing w:before="80" w:after="80"/>
      </w:pPr>
      <w:r>
        <w:t xml:space="preserve"/>
      </w:r>
    </w:p>
    <w:p>
      <w:pPr>
        <w:pBdr>
          <w:bottom w:val="single" w:color="1B2A4A" w:sz="8" w:space="2"/>
        </w:pBdr>
        <w:spacing w:before="320" w:after="100"/>
      </w:pPr>
      <w:r>
        <w:rPr>
          <w:rFonts w:ascii="Arial" w:cs="Arial" w:eastAsia="Arial" w:hAnsi="Arial"/>
          <w:b/>
          <w:bCs/>
          <w:color w:val="1B2A4A"/>
          <w:sz w:val="24"/>
          <w:szCs w:val="24"/>
        </w:rPr>
        <w:t xml:space="preserve">1. EXECUTIVE SUMMARY</w:t>
      </w:r>
    </w:p>
    <w:p>
      <w:pPr>
        <w:spacing w:before="60" w:after="60"/>
      </w:pPr>
      <w:r>
        <w:rPr>
          <w:rFonts w:ascii="Arial" w:cs="Arial" w:eastAsia="Arial" w:hAnsi="Arial"/>
          <w:b w:val="false"/>
          <w:bCs w:val="false"/>
          <w:i w:val="false"/>
          <w:iCs w:val="false"/>
          <w:color w:val="222222"/>
          <w:sz w:val="19"/>
          <w:szCs w:val="19"/>
        </w:rPr>
        <w:t xml:space="preserve">This Information Security Risk Assessment was conducted for Acme Technologies, Inc., a mid-size SaaS company with approximately 150 employees operating in a hybrid cloud environment. The assessment evaluates risks across critical information assets using the NIST Cybersecurity Framework (CSF) as the guiding methodology, with risk scoring aligned to ISO 27001 risk treatment principles.</w:t>
      </w:r>
    </w:p>
    <w:p>
      <w:pPr>
        <w:spacing w:before="80" w:after="80"/>
      </w:pPr>
      <w:r>
        <w:t xml:space="preserve"/>
      </w:r>
    </w:p>
    <w:p>
      <w:pPr>
        <w:spacing w:before="60" w:after="60"/>
      </w:pPr>
      <w:r>
        <w:rPr>
          <w:rFonts w:ascii="Arial" w:cs="Arial" w:eastAsia="Arial" w:hAnsi="Arial"/>
          <w:b w:val="false"/>
          <w:bCs w:val="false"/>
          <w:i w:val="false"/>
          <w:iCs w:val="false"/>
          <w:color w:val="222222"/>
          <w:sz w:val="19"/>
          <w:szCs w:val="19"/>
        </w:rPr>
        <w:t xml:space="preserve">The assessment identified 10 risks across five asset categories. Of these, 3 were rated Critical, 4 High, 2 Medium, and 1 Low. Immediate remediation actions are recommended for all Critical and High-rated risks. This document serves as the primary input to Acme's risk treatment plan and should be reviewed quarterly.</w:t>
      </w:r>
    </w:p>
    <w:p>
      <w:pPr>
        <w:spacing w:before="80" w:after="80"/>
      </w:pPr>
      <w:r>
        <w:t xml:space="preserve"/>
      </w:r>
    </w:p>
    <w:p>
      <w:pPr>
        <w:pBdr>
          <w:bottom w:val="single" w:color="1B2A4A" w:sz="8" w:space="2"/>
        </w:pBdr>
        <w:spacing w:before="320" w:after="100"/>
      </w:pPr>
      <w:r>
        <w:rPr>
          <w:rFonts w:ascii="Arial" w:cs="Arial" w:eastAsia="Arial" w:hAnsi="Arial"/>
          <w:b/>
          <w:bCs/>
          <w:color w:val="1B2A4A"/>
          <w:sz w:val="24"/>
          <w:szCs w:val="24"/>
        </w:rPr>
        <w:t xml:space="preserve">2. SCOPE &amp; OBJECTIVES</w:t>
      </w:r>
    </w:p>
    <w:p>
      <w:pPr>
        <w:spacing w:before="200" w:after="80"/>
      </w:pPr>
      <w:r>
        <w:rPr>
          <w:rFonts w:ascii="Arial" w:cs="Arial" w:eastAsia="Arial" w:hAnsi="Arial"/>
          <w:b/>
          <w:bCs/>
          <w:color w:val="2E5E9E"/>
          <w:sz w:val="21"/>
          <w:szCs w:val="21"/>
        </w:rPr>
        <w:t xml:space="preserve">2.1 Scope</w:t>
      </w:r>
    </w:p>
    <w:p>
      <w:pPr>
        <w:spacing w:before="60" w:after="60"/>
      </w:pPr>
      <w:r>
        <w:rPr>
          <w:rFonts w:ascii="Arial" w:cs="Arial" w:eastAsia="Arial" w:hAnsi="Arial"/>
          <w:b w:val="false"/>
          <w:bCs w:val="false"/>
          <w:i w:val="false"/>
          <w:iCs w:val="false"/>
          <w:color w:val="222222"/>
          <w:sz w:val="19"/>
          <w:szCs w:val="19"/>
        </w:rPr>
        <w:t xml:space="preserve">This assessment covers the following assets and environments:</w:t>
      </w:r>
    </w:p>
    <w:p>
      <w:pPr>
        <w:pStyle w:val="ListParagraph"/>
        <w:numPr>
          <w:ilvl w:val="0"/>
          <w:numId w:val="2"/>
        </w:numPr>
        <w:spacing w:before="40" w:after="40"/>
      </w:pPr>
      <w:r>
        <w:rPr>
          <w:rFonts w:ascii="Arial" w:cs="Arial" w:eastAsia="Arial" w:hAnsi="Arial"/>
          <w:color w:val="222222"/>
          <w:sz w:val="19"/>
          <w:szCs w:val="19"/>
        </w:rPr>
        <w:t xml:space="preserve">Cloud infrastructure (AWS, Microsoft Azure)</w:t>
      </w:r>
    </w:p>
    <w:p>
      <w:pPr>
        <w:pStyle w:val="ListParagraph"/>
        <w:numPr>
          <w:ilvl w:val="0"/>
          <w:numId w:val="2"/>
        </w:numPr>
        <w:spacing w:before="40" w:after="40"/>
      </w:pPr>
      <w:r>
        <w:rPr>
          <w:rFonts w:ascii="Arial" w:cs="Arial" w:eastAsia="Arial" w:hAnsi="Arial"/>
          <w:color w:val="222222"/>
          <w:sz w:val="19"/>
          <w:szCs w:val="19"/>
        </w:rPr>
        <w:t xml:space="preserve">Corporate endpoints (laptops, workstations, mobile devices)</w:t>
      </w:r>
    </w:p>
    <w:p>
      <w:pPr>
        <w:pStyle w:val="ListParagraph"/>
        <w:numPr>
          <w:ilvl w:val="0"/>
          <w:numId w:val="2"/>
        </w:numPr>
        <w:spacing w:before="40" w:after="40"/>
      </w:pPr>
      <w:r>
        <w:rPr>
          <w:rFonts w:ascii="Arial" w:cs="Arial" w:eastAsia="Arial" w:hAnsi="Arial"/>
          <w:color w:val="222222"/>
          <w:sz w:val="19"/>
          <w:szCs w:val="19"/>
        </w:rPr>
        <w:t xml:space="preserve">Identity and Access Management (IAM) systems</w:t>
      </w:r>
    </w:p>
    <w:p>
      <w:pPr>
        <w:pStyle w:val="ListParagraph"/>
        <w:numPr>
          <w:ilvl w:val="0"/>
          <w:numId w:val="2"/>
        </w:numPr>
        <w:spacing w:before="40" w:after="40"/>
      </w:pPr>
      <w:r>
        <w:rPr>
          <w:rFonts w:ascii="Arial" w:cs="Arial" w:eastAsia="Arial" w:hAnsi="Arial"/>
          <w:color w:val="222222"/>
          <w:sz w:val="19"/>
          <w:szCs w:val="19"/>
        </w:rPr>
        <w:t xml:space="preserve">Customer data and PII storage systems</w:t>
      </w:r>
    </w:p>
    <w:p>
      <w:pPr>
        <w:pStyle w:val="ListParagraph"/>
        <w:numPr>
          <w:ilvl w:val="0"/>
          <w:numId w:val="2"/>
        </w:numPr>
        <w:spacing w:before="40" w:after="40"/>
      </w:pPr>
      <w:r>
        <w:rPr>
          <w:rFonts w:ascii="Arial" w:cs="Arial" w:eastAsia="Arial" w:hAnsi="Arial"/>
          <w:color w:val="222222"/>
          <w:sz w:val="19"/>
          <w:szCs w:val="19"/>
        </w:rPr>
        <w:t xml:space="preserve">Third-party vendor integrations and APIs</w:t>
      </w:r>
    </w:p>
    <w:p>
      <w:pPr>
        <w:pStyle w:val="ListParagraph"/>
        <w:numPr>
          <w:ilvl w:val="0"/>
          <w:numId w:val="2"/>
        </w:numPr>
        <w:spacing w:before="40" w:after="40"/>
      </w:pPr>
      <w:r>
        <w:rPr>
          <w:rFonts w:ascii="Arial" w:cs="Arial" w:eastAsia="Arial" w:hAnsi="Arial"/>
          <w:color w:val="222222"/>
          <w:sz w:val="19"/>
          <w:szCs w:val="19"/>
        </w:rPr>
        <w:t xml:space="preserve">Internal network and remote access infrastructure</w:t>
      </w:r>
    </w:p>
    <w:p>
      <w:pPr>
        <w:spacing w:before="80" w:after="80"/>
      </w:pPr>
      <w:r>
        <w:t xml:space="preserve"/>
      </w:r>
    </w:p>
    <w:p>
      <w:pPr>
        <w:spacing w:before="200" w:after="80"/>
      </w:pPr>
      <w:r>
        <w:rPr>
          <w:rFonts w:ascii="Arial" w:cs="Arial" w:eastAsia="Arial" w:hAnsi="Arial"/>
          <w:b/>
          <w:bCs/>
          <w:color w:val="2E5E9E"/>
          <w:sz w:val="21"/>
          <w:szCs w:val="21"/>
        </w:rPr>
        <w:t xml:space="preserve">2.2 Objectives</w:t>
      </w:r>
    </w:p>
    <w:p>
      <w:pPr>
        <w:pStyle w:val="ListParagraph"/>
        <w:numPr>
          <w:ilvl w:val="0"/>
          <w:numId w:val="2"/>
        </w:numPr>
        <w:spacing w:before="40" w:after="40"/>
      </w:pPr>
      <w:r>
        <w:rPr>
          <w:rFonts w:ascii="Arial" w:cs="Arial" w:eastAsia="Arial" w:hAnsi="Arial"/>
          <w:color w:val="222222"/>
          <w:sz w:val="19"/>
          <w:szCs w:val="19"/>
        </w:rPr>
        <w:t xml:space="preserve">Identify and document information security risks to Acme Technologies assets</w:t>
      </w:r>
    </w:p>
    <w:p>
      <w:pPr>
        <w:pStyle w:val="ListParagraph"/>
        <w:numPr>
          <w:ilvl w:val="0"/>
          <w:numId w:val="2"/>
        </w:numPr>
        <w:spacing w:before="40" w:after="40"/>
      </w:pPr>
      <w:r>
        <w:rPr>
          <w:rFonts w:ascii="Arial" w:cs="Arial" w:eastAsia="Arial" w:hAnsi="Arial"/>
          <w:color w:val="222222"/>
          <w:sz w:val="19"/>
          <w:szCs w:val="19"/>
        </w:rPr>
        <w:t xml:space="preserve">Evaluate likelihood and impact of identified threats</w:t>
      </w:r>
    </w:p>
    <w:p>
      <w:pPr>
        <w:pStyle w:val="ListParagraph"/>
        <w:numPr>
          <w:ilvl w:val="0"/>
          <w:numId w:val="2"/>
        </w:numPr>
        <w:spacing w:before="40" w:after="40"/>
      </w:pPr>
      <w:r>
        <w:rPr>
          <w:rFonts w:ascii="Arial" w:cs="Arial" w:eastAsia="Arial" w:hAnsi="Arial"/>
          <w:color w:val="222222"/>
          <w:sz w:val="19"/>
          <w:szCs w:val="19"/>
        </w:rPr>
        <w:t xml:space="preserve">Prioritize risks using a standardized scoring methodology</w:t>
      </w:r>
    </w:p>
    <w:p>
      <w:pPr>
        <w:pStyle w:val="ListParagraph"/>
        <w:numPr>
          <w:ilvl w:val="0"/>
          <w:numId w:val="2"/>
        </w:numPr>
        <w:spacing w:before="40" w:after="40"/>
      </w:pPr>
      <w:r>
        <w:rPr>
          <w:rFonts w:ascii="Arial" w:cs="Arial" w:eastAsia="Arial" w:hAnsi="Arial"/>
          <w:color w:val="222222"/>
          <w:sz w:val="19"/>
          <w:szCs w:val="19"/>
        </w:rPr>
        <w:t xml:space="preserve">Recommend risk treatment actions aligned to NIST CSF and SOC 2 requirements</w:t>
      </w:r>
    </w:p>
    <w:p>
      <w:pPr>
        <w:pStyle w:val="ListParagraph"/>
        <w:numPr>
          <w:ilvl w:val="0"/>
          <w:numId w:val="2"/>
        </w:numPr>
        <w:spacing w:before="40" w:after="40"/>
      </w:pPr>
      <w:r>
        <w:rPr>
          <w:rFonts w:ascii="Arial" w:cs="Arial" w:eastAsia="Arial" w:hAnsi="Arial"/>
          <w:color w:val="222222"/>
          <w:sz w:val="19"/>
          <w:szCs w:val="19"/>
        </w:rPr>
        <w:t xml:space="preserve">Assign risk ownership and establish remediation timelines</w:t>
      </w:r>
    </w:p>
    <w:p>
      <w:pPr>
        <w:spacing w:before="80" w:after="80"/>
      </w:pPr>
      <w:r>
        <w:t xml:space="preserve"/>
      </w:r>
    </w:p>
    <w:p>
      <w:pPr>
        <w:pBdr>
          <w:bottom w:val="single" w:color="1B2A4A" w:sz="8" w:space="2"/>
        </w:pBdr>
        <w:spacing w:before="320" w:after="100"/>
      </w:pPr>
      <w:r>
        <w:rPr>
          <w:rFonts w:ascii="Arial" w:cs="Arial" w:eastAsia="Arial" w:hAnsi="Arial"/>
          <w:b/>
          <w:bCs/>
          <w:color w:val="1B2A4A"/>
          <w:sz w:val="24"/>
          <w:szCs w:val="24"/>
        </w:rPr>
        <w:t xml:space="preserve">3. RISK ASSESSMENT METHODOLOGY</w:t>
      </w:r>
    </w:p>
    <w:p>
      <w:pPr>
        <w:spacing w:before="200" w:after="80"/>
      </w:pPr>
      <w:r>
        <w:rPr>
          <w:rFonts w:ascii="Arial" w:cs="Arial" w:eastAsia="Arial" w:hAnsi="Arial"/>
          <w:b/>
          <w:bCs/>
          <w:color w:val="2E5E9E"/>
          <w:sz w:val="21"/>
          <w:szCs w:val="21"/>
        </w:rPr>
        <w:t xml:space="preserve">3.1 Framework Alignment</w:t>
      </w:r>
    </w:p>
    <w:p>
      <w:pPr>
        <w:spacing w:before="60" w:after="60"/>
      </w:pPr>
      <w:r>
        <w:rPr>
          <w:rFonts w:ascii="Arial" w:cs="Arial" w:eastAsia="Arial" w:hAnsi="Arial"/>
          <w:b w:val="false"/>
          <w:bCs w:val="false"/>
          <w:i w:val="false"/>
          <w:iCs w:val="false"/>
          <w:color w:val="222222"/>
          <w:sz w:val="19"/>
          <w:szCs w:val="19"/>
        </w:rPr>
        <w:t xml:space="preserve">This assessment is aligned to the NIST Cybersecurity Framework (CSF) v1.1 core functions: Identify, Protect, Detect, Respond, and Recover. Risk scoring methodology follows a 5x5 likelihood/impact matrix consistent with ISO 27001 Annex A risk treatment guidance.</w:t>
      </w:r>
    </w:p>
    <w:p>
      <w:pPr>
        <w:spacing w:before="80" w:after="80"/>
      </w:pPr>
      <w:r>
        <w:t xml:space="preserve"/>
      </w:r>
    </w:p>
    <w:p>
      <w:pPr>
        <w:spacing w:before="200" w:after="80"/>
      </w:pPr>
      <w:r>
        <w:rPr>
          <w:rFonts w:ascii="Arial" w:cs="Arial" w:eastAsia="Arial" w:hAnsi="Arial"/>
          <w:b/>
          <w:bCs/>
          <w:color w:val="2E5E9E"/>
          <w:sz w:val="21"/>
          <w:szCs w:val="21"/>
        </w:rPr>
        <w:t xml:space="preserve">3.2 Risk Scoring Matrix</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900"/>
        <w:gridCol w:w="900"/>
        <w:gridCol w:w="900"/>
        <w:gridCol w:w="900"/>
      </w:tblGrid>
      <w:tr>
        <w:tc>
          <w:tcPr>
            <w:tcW w:type="dxa" w:w="1500"/>
            <w:tcBorders>
              <w:top w:val="single" w:color="AAAAAA" w:sz="4"/>
              <w:left w:val="single" w:color="AAAAAA" w:sz="4"/>
              <w:bottom w:val="single" w:color="AAAAAA" w:sz="4"/>
              <w:right w:val="single" w:color="AAAAAA" w:sz="4"/>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Likelihood / Impact</w:t>
            </w:r>
          </w:p>
        </w:tc>
        <w:tc>
          <w:tcPr>
            <w:tcW w:type="dxa" w:w="900"/>
            <w:tcBorders>
              <w:top w:val="single" w:color="AAAAAA" w:sz="4"/>
              <w:left w:val="single" w:color="AAAAAA" w:sz="4"/>
              <w:bottom w:val="single" w:color="AAAAAA" w:sz="4"/>
              <w:right w:val="single" w:color="AAAAAA" w:sz="4"/>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1 - Negligible</w:t>
            </w:r>
          </w:p>
        </w:tc>
        <w:tc>
          <w:tcPr>
            <w:tcW w:type="dxa" w:w="900"/>
            <w:tcBorders>
              <w:top w:val="single" w:color="AAAAAA" w:sz="4"/>
              <w:left w:val="single" w:color="AAAAAA" w:sz="4"/>
              <w:bottom w:val="single" w:color="AAAAAA" w:sz="4"/>
              <w:right w:val="single" w:color="AAAAAA" w:sz="4"/>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2 - Minor</w:t>
            </w:r>
          </w:p>
        </w:tc>
        <w:tc>
          <w:tcPr>
            <w:tcW w:type="dxa" w:w="900"/>
            <w:tcBorders>
              <w:top w:val="single" w:color="AAAAAA" w:sz="4"/>
              <w:left w:val="single" w:color="AAAAAA" w:sz="4"/>
              <w:bottom w:val="single" w:color="AAAAAA" w:sz="4"/>
              <w:right w:val="single" w:color="AAAAAA" w:sz="4"/>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3 - Moderate</w:t>
            </w:r>
          </w:p>
        </w:tc>
        <w:tc>
          <w:tcPr>
            <w:tcW w:type="dxa" w:w="900"/>
            <w:tcBorders>
              <w:top w:val="single" w:color="AAAAAA" w:sz="4"/>
              <w:left w:val="single" w:color="AAAAAA" w:sz="4"/>
              <w:bottom w:val="single" w:color="AAAAAA" w:sz="4"/>
              <w:right w:val="single" w:color="AAAAAA" w:sz="4"/>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4 - Major</w:t>
            </w:r>
          </w:p>
        </w:tc>
        <w:tc>
          <w:tcPr>
            <w:tcW w:type="dxa" w:w="900"/>
            <w:tcBorders>
              <w:top w:val="single" w:color="AAAAAA" w:sz="4"/>
              <w:left w:val="single" w:color="AAAAAA" w:sz="4"/>
              <w:bottom w:val="single" w:color="AAAAAA" w:sz="4"/>
              <w:right w:val="single" w:color="AAAAAA" w:sz="4"/>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5 - Critical</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5 - Almost Certain</w:t>
            </w:r>
          </w:p>
        </w:tc>
        <w:tc>
          <w:tcPr>
            <w:tcW w:type="dxa" w:w="900"/>
            <w:tcBorders>
              <w:top w:val="single" w:color="CCCCCC" w:sz="4"/>
              <w:left w:val="single" w:color="CCCCCC" w:sz="4"/>
              <w:bottom w:val="single" w:color="CCCCCC" w:sz="4"/>
              <w:right w:val="single" w:color="CCCCCC" w:sz="4"/>
            </w:tcBorders>
            <w:shd w:fill="FEFBD8" w:val="clear"/>
            <w:tcMar>
              <w:top w:type="dxa" w:w="80"/>
              <w:left w:type="dxa" w:w="120"/>
              <w:bottom w:type="dxa" w:w="80"/>
              <w:right w:type="dxa" w:w="120"/>
            </w:tcMar>
            <w:vAlign w:val="center"/>
          </w:tcPr>
          <w:p>
            <w:pPr>
              <w:jc w:val="center"/>
            </w:pPr>
            <w:r>
              <w:rPr>
                <w:rFonts w:ascii="Arial" w:cs="Arial" w:eastAsia="Arial" w:hAnsi="Arial"/>
                <w:b w:val="false"/>
                <w:bCs w:val="false"/>
                <w:color w:val="B7950B"/>
                <w:sz w:val="18"/>
                <w:szCs w:val="18"/>
              </w:rPr>
              <w:t xml:space="preserve">5</w:t>
            </w:r>
          </w:p>
        </w:tc>
        <w:tc>
          <w:tcPr>
            <w:tcW w:type="dxa" w:w="900"/>
            <w:tcBorders>
              <w:top w:val="single" w:color="CCCCCC" w:sz="4"/>
              <w:left w:val="single" w:color="CCCCCC" w:sz="4"/>
              <w:bottom w:val="single" w:color="CCCCCC" w:sz="4"/>
              <w:right w:val="single" w:color="CCCCCC" w:sz="4"/>
            </w:tcBorders>
            <w:shd w:fill="FEF3E2" w:val="clear"/>
            <w:tcMar>
              <w:top w:type="dxa" w:w="80"/>
              <w:left w:type="dxa" w:w="120"/>
              <w:bottom w:type="dxa" w:w="80"/>
              <w:right w:type="dxa" w:w="120"/>
            </w:tcMar>
            <w:vAlign w:val="center"/>
          </w:tcPr>
          <w:p>
            <w:pPr>
              <w:jc w:val="center"/>
            </w:pPr>
            <w:r>
              <w:rPr>
                <w:rFonts w:ascii="Arial" w:cs="Arial" w:eastAsia="Arial" w:hAnsi="Arial"/>
                <w:b w:val="false"/>
                <w:bCs w:val="false"/>
                <w:color w:val="D35400"/>
                <w:sz w:val="18"/>
                <w:szCs w:val="18"/>
              </w:rPr>
              <w:t xml:space="preserve">10</w:t>
            </w:r>
          </w:p>
        </w:tc>
        <w:tc>
          <w:tcPr>
            <w:tcW w:type="dxa" w:w="900"/>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15</w:t>
            </w:r>
          </w:p>
        </w:tc>
        <w:tc>
          <w:tcPr>
            <w:tcW w:type="dxa" w:w="900"/>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20</w:t>
            </w:r>
          </w:p>
        </w:tc>
        <w:tc>
          <w:tcPr>
            <w:tcW w:type="dxa" w:w="900"/>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25</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4 - Likely</w:t>
            </w:r>
          </w:p>
        </w:tc>
        <w:tc>
          <w:tcPr>
            <w:tcW w:type="dxa" w:w="900"/>
            <w:tcBorders>
              <w:top w:val="single" w:color="CCCCCC" w:sz="4"/>
              <w:left w:val="single" w:color="CCCCCC" w:sz="4"/>
              <w:bottom w:val="single" w:color="CCCCCC" w:sz="4"/>
              <w:right w:val="single" w:color="CCCCCC" w:sz="4"/>
            </w:tcBorders>
            <w:shd w:fill="E9F7EF" w:val="clear"/>
            <w:tcMar>
              <w:top w:type="dxa" w:w="80"/>
              <w:left w:type="dxa" w:w="120"/>
              <w:bottom w:type="dxa" w:w="80"/>
              <w:right w:type="dxa" w:w="120"/>
            </w:tcMar>
            <w:vAlign w:val="center"/>
          </w:tcPr>
          <w:p>
            <w:pPr>
              <w:jc w:val="center"/>
            </w:pPr>
            <w:r>
              <w:rPr>
                <w:rFonts w:ascii="Arial" w:cs="Arial" w:eastAsia="Arial" w:hAnsi="Arial"/>
                <w:b w:val="false"/>
                <w:bCs w:val="false"/>
                <w:color w:val="1E8449"/>
                <w:sz w:val="18"/>
                <w:szCs w:val="18"/>
              </w:rPr>
              <w:t xml:space="preserve">4</w:t>
            </w:r>
          </w:p>
        </w:tc>
        <w:tc>
          <w:tcPr>
            <w:tcW w:type="dxa" w:w="900"/>
            <w:tcBorders>
              <w:top w:val="single" w:color="CCCCCC" w:sz="4"/>
              <w:left w:val="single" w:color="CCCCCC" w:sz="4"/>
              <w:bottom w:val="single" w:color="CCCCCC" w:sz="4"/>
              <w:right w:val="single" w:color="CCCCCC" w:sz="4"/>
            </w:tcBorders>
            <w:shd w:fill="FEFBD8" w:val="clear"/>
            <w:tcMar>
              <w:top w:type="dxa" w:w="80"/>
              <w:left w:type="dxa" w:w="120"/>
              <w:bottom w:type="dxa" w:w="80"/>
              <w:right w:type="dxa" w:w="120"/>
            </w:tcMar>
            <w:vAlign w:val="center"/>
          </w:tcPr>
          <w:p>
            <w:pPr>
              <w:jc w:val="center"/>
            </w:pPr>
            <w:r>
              <w:rPr>
                <w:rFonts w:ascii="Arial" w:cs="Arial" w:eastAsia="Arial" w:hAnsi="Arial"/>
                <w:b w:val="false"/>
                <w:bCs w:val="false"/>
                <w:color w:val="B7950B"/>
                <w:sz w:val="18"/>
                <w:szCs w:val="18"/>
              </w:rPr>
              <w:t xml:space="preserve">8</w:t>
            </w:r>
          </w:p>
        </w:tc>
        <w:tc>
          <w:tcPr>
            <w:tcW w:type="dxa" w:w="900"/>
            <w:tcBorders>
              <w:top w:val="single" w:color="CCCCCC" w:sz="4"/>
              <w:left w:val="single" w:color="CCCCCC" w:sz="4"/>
              <w:bottom w:val="single" w:color="CCCCCC" w:sz="4"/>
              <w:right w:val="single" w:color="CCCCCC" w:sz="4"/>
            </w:tcBorders>
            <w:shd w:fill="FEF3E2" w:val="clear"/>
            <w:tcMar>
              <w:top w:type="dxa" w:w="80"/>
              <w:left w:type="dxa" w:w="120"/>
              <w:bottom w:type="dxa" w:w="80"/>
              <w:right w:type="dxa" w:w="120"/>
            </w:tcMar>
            <w:vAlign w:val="center"/>
          </w:tcPr>
          <w:p>
            <w:pPr>
              <w:jc w:val="center"/>
            </w:pPr>
            <w:r>
              <w:rPr>
                <w:rFonts w:ascii="Arial" w:cs="Arial" w:eastAsia="Arial" w:hAnsi="Arial"/>
                <w:b w:val="false"/>
                <w:bCs w:val="false"/>
                <w:color w:val="D35400"/>
                <w:sz w:val="18"/>
                <w:szCs w:val="18"/>
              </w:rPr>
              <w:t xml:space="preserve">12</w:t>
            </w:r>
          </w:p>
        </w:tc>
        <w:tc>
          <w:tcPr>
            <w:tcW w:type="dxa" w:w="900"/>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16</w:t>
            </w:r>
          </w:p>
        </w:tc>
        <w:tc>
          <w:tcPr>
            <w:tcW w:type="dxa" w:w="900"/>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20</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3 - Possible</w:t>
            </w:r>
          </w:p>
        </w:tc>
        <w:tc>
          <w:tcPr>
            <w:tcW w:type="dxa" w:w="900"/>
            <w:tcBorders>
              <w:top w:val="single" w:color="CCCCCC" w:sz="4"/>
              <w:left w:val="single" w:color="CCCCCC" w:sz="4"/>
              <w:bottom w:val="single" w:color="CCCCCC" w:sz="4"/>
              <w:right w:val="single" w:color="CCCCCC" w:sz="4"/>
            </w:tcBorders>
            <w:shd w:fill="E9F7EF" w:val="clear"/>
            <w:tcMar>
              <w:top w:type="dxa" w:w="80"/>
              <w:left w:type="dxa" w:w="120"/>
              <w:bottom w:type="dxa" w:w="80"/>
              <w:right w:type="dxa" w:w="120"/>
            </w:tcMar>
            <w:vAlign w:val="center"/>
          </w:tcPr>
          <w:p>
            <w:pPr>
              <w:jc w:val="center"/>
            </w:pPr>
            <w:r>
              <w:rPr>
                <w:rFonts w:ascii="Arial" w:cs="Arial" w:eastAsia="Arial" w:hAnsi="Arial"/>
                <w:b w:val="false"/>
                <w:bCs w:val="false"/>
                <w:color w:val="1E8449"/>
                <w:sz w:val="18"/>
                <w:szCs w:val="18"/>
              </w:rPr>
              <w:t xml:space="preserve">3</w:t>
            </w:r>
          </w:p>
        </w:tc>
        <w:tc>
          <w:tcPr>
            <w:tcW w:type="dxa" w:w="900"/>
            <w:tcBorders>
              <w:top w:val="single" w:color="CCCCCC" w:sz="4"/>
              <w:left w:val="single" w:color="CCCCCC" w:sz="4"/>
              <w:bottom w:val="single" w:color="CCCCCC" w:sz="4"/>
              <w:right w:val="single" w:color="CCCCCC" w:sz="4"/>
            </w:tcBorders>
            <w:shd w:fill="E9F7EF" w:val="clear"/>
            <w:tcMar>
              <w:top w:type="dxa" w:w="80"/>
              <w:left w:type="dxa" w:w="120"/>
              <w:bottom w:type="dxa" w:w="80"/>
              <w:right w:type="dxa" w:w="120"/>
            </w:tcMar>
            <w:vAlign w:val="center"/>
          </w:tcPr>
          <w:p>
            <w:pPr>
              <w:jc w:val="center"/>
            </w:pPr>
            <w:r>
              <w:rPr>
                <w:rFonts w:ascii="Arial" w:cs="Arial" w:eastAsia="Arial" w:hAnsi="Arial"/>
                <w:b w:val="false"/>
                <w:bCs w:val="false"/>
                <w:color w:val="1E8449"/>
                <w:sz w:val="18"/>
                <w:szCs w:val="18"/>
              </w:rPr>
              <w:t xml:space="preserve">6</w:t>
            </w:r>
          </w:p>
        </w:tc>
        <w:tc>
          <w:tcPr>
            <w:tcW w:type="dxa" w:w="900"/>
            <w:tcBorders>
              <w:top w:val="single" w:color="CCCCCC" w:sz="4"/>
              <w:left w:val="single" w:color="CCCCCC" w:sz="4"/>
              <w:bottom w:val="single" w:color="CCCCCC" w:sz="4"/>
              <w:right w:val="single" w:color="CCCCCC" w:sz="4"/>
            </w:tcBorders>
            <w:shd w:fill="FEFBD8" w:val="clear"/>
            <w:tcMar>
              <w:top w:type="dxa" w:w="80"/>
              <w:left w:type="dxa" w:w="120"/>
              <w:bottom w:type="dxa" w:w="80"/>
              <w:right w:type="dxa" w:w="120"/>
            </w:tcMar>
            <w:vAlign w:val="center"/>
          </w:tcPr>
          <w:p>
            <w:pPr>
              <w:jc w:val="center"/>
            </w:pPr>
            <w:r>
              <w:rPr>
                <w:rFonts w:ascii="Arial" w:cs="Arial" w:eastAsia="Arial" w:hAnsi="Arial"/>
                <w:b w:val="false"/>
                <w:bCs w:val="false"/>
                <w:color w:val="B7950B"/>
                <w:sz w:val="18"/>
                <w:szCs w:val="18"/>
              </w:rPr>
              <w:t xml:space="preserve">9</w:t>
            </w:r>
          </w:p>
        </w:tc>
        <w:tc>
          <w:tcPr>
            <w:tcW w:type="dxa" w:w="900"/>
            <w:tcBorders>
              <w:top w:val="single" w:color="CCCCCC" w:sz="4"/>
              <w:left w:val="single" w:color="CCCCCC" w:sz="4"/>
              <w:bottom w:val="single" w:color="CCCCCC" w:sz="4"/>
              <w:right w:val="single" w:color="CCCCCC" w:sz="4"/>
            </w:tcBorders>
            <w:shd w:fill="FEF3E2" w:val="clear"/>
            <w:tcMar>
              <w:top w:type="dxa" w:w="80"/>
              <w:left w:type="dxa" w:w="120"/>
              <w:bottom w:type="dxa" w:w="80"/>
              <w:right w:type="dxa" w:w="120"/>
            </w:tcMar>
            <w:vAlign w:val="center"/>
          </w:tcPr>
          <w:p>
            <w:pPr>
              <w:jc w:val="center"/>
            </w:pPr>
            <w:r>
              <w:rPr>
                <w:rFonts w:ascii="Arial" w:cs="Arial" w:eastAsia="Arial" w:hAnsi="Arial"/>
                <w:b w:val="false"/>
                <w:bCs w:val="false"/>
                <w:color w:val="D35400"/>
                <w:sz w:val="18"/>
                <w:szCs w:val="18"/>
              </w:rPr>
              <w:t xml:space="preserve">12</w:t>
            </w:r>
          </w:p>
        </w:tc>
        <w:tc>
          <w:tcPr>
            <w:tcW w:type="dxa" w:w="900"/>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15</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2 - Unlikely</w:t>
            </w:r>
          </w:p>
        </w:tc>
        <w:tc>
          <w:tcPr>
            <w:tcW w:type="dxa" w:w="900"/>
            <w:tcBorders>
              <w:top w:val="single" w:color="CCCCCC" w:sz="4"/>
              <w:left w:val="single" w:color="CCCCCC" w:sz="4"/>
              <w:bottom w:val="single" w:color="CCCCCC" w:sz="4"/>
              <w:right w:val="single" w:color="CCCCCC" w:sz="4"/>
            </w:tcBorders>
            <w:shd w:fill="E9F7EF" w:val="clear"/>
            <w:tcMar>
              <w:top w:type="dxa" w:w="80"/>
              <w:left w:type="dxa" w:w="120"/>
              <w:bottom w:type="dxa" w:w="80"/>
              <w:right w:type="dxa" w:w="120"/>
            </w:tcMar>
            <w:vAlign w:val="center"/>
          </w:tcPr>
          <w:p>
            <w:pPr>
              <w:jc w:val="center"/>
            </w:pPr>
            <w:r>
              <w:rPr>
                <w:rFonts w:ascii="Arial" w:cs="Arial" w:eastAsia="Arial" w:hAnsi="Arial"/>
                <w:b w:val="false"/>
                <w:bCs w:val="false"/>
                <w:color w:val="1E8449"/>
                <w:sz w:val="18"/>
                <w:szCs w:val="18"/>
              </w:rPr>
              <w:t xml:space="preserve">2</w:t>
            </w:r>
          </w:p>
        </w:tc>
        <w:tc>
          <w:tcPr>
            <w:tcW w:type="dxa" w:w="900"/>
            <w:tcBorders>
              <w:top w:val="single" w:color="CCCCCC" w:sz="4"/>
              <w:left w:val="single" w:color="CCCCCC" w:sz="4"/>
              <w:bottom w:val="single" w:color="CCCCCC" w:sz="4"/>
              <w:right w:val="single" w:color="CCCCCC" w:sz="4"/>
            </w:tcBorders>
            <w:shd w:fill="E9F7EF" w:val="clear"/>
            <w:tcMar>
              <w:top w:type="dxa" w:w="80"/>
              <w:left w:type="dxa" w:w="120"/>
              <w:bottom w:type="dxa" w:w="80"/>
              <w:right w:type="dxa" w:w="120"/>
            </w:tcMar>
            <w:vAlign w:val="center"/>
          </w:tcPr>
          <w:p>
            <w:pPr>
              <w:jc w:val="center"/>
            </w:pPr>
            <w:r>
              <w:rPr>
                <w:rFonts w:ascii="Arial" w:cs="Arial" w:eastAsia="Arial" w:hAnsi="Arial"/>
                <w:b w:val="false"/>
                <w:bCs w:val="false"/>
                <w:color w:val="1E8449"/>
                <w:sz w:val="18"/>
                <w:szCs w:val="18"/>
              </w:rPr>
              <w:t xml:space="preserve">4</w:t>
            </w:r>
          </w:p>
        </w:tc>
        <w:tc>
          <w:tcPr>
            <w:tcW w:type="dxa" w:w="900"/>
            <w:tcBorders>
              <w:top w:val="single" w:color="CCCCCC" w:sz="4"/>
              <w:left w:val="single" w:color="CCCCCC" w:sz="4"/>
              <w:bottom w:val="single" w:color="CCCCCC" w:sz="4"/>
              <w:right w:val="single" w:color="CCCCCC" w:sz="4"/>
            </w:tcBorders>
            <w:shd w:fill="E9F7EF" w:val="clear"/>
            <w:tcMar>
              <w:top w:type="dxa" w:w="80"/>
              <w:left w:type="dxa" w:w="120"/>
              <w:bottom w:type="dxa" w:w="80"/>
              <w:right w:type="dxa" w:w="120"/>
            </w:tcMar>
            <w:vAlign w:val="center"/>
          </w:tcPr>
          <w:p>
            <w:pPr>
              <w:jc w:val="center"/>
            </w:pPr>
            <w:r>
              <w:rPr>
                <w:rFonts w:ascii="Arial" w:cs="Arial" w:eastAsia="Arial" w:hAnsi="Arial"/>
                <w:b w:val="false"/>
                <w:bCs w:val="false"/>
                <w:color w:val="1E8449"/>
                <w:sz w:val="18"/>
                <w:szCs w:val="18"/>
              </w:rPr>
              <w:t xml:space="preserve">6</w:t>
            </w:r>
          </w:p>
        </w:tc>
        <w:tc>
          <w:tcPr>
            <w:tcW w:type="dxa" w:w="900"/>
            <w:tcBorders>
              <w:top w:val="single" w:color="CCCCCC" w:sz="4"/>
              <w:left w:val="single" w:color="CCCCCC" w:sz="4"/>
              <w:bottom w:val="single" w:color="CCCCCC" w:sz="4"/>
              <w:right w:val="single" w:color="CCCCCC" w:sz="4"/>
            </w:tcBorders>
            <w:shd w:fill="FEFBD8" w:val="clear"/>
            <w:tcMar>
              <w:top w:type="dxa" w:w="80"/>
              <w:left w:type="dxa" w:w="120"/>
              <w:bottom w:type="dxa" w:w="80"/>
              <w:right w:type="dxa" w:w="120"/>
            </w:tcMar>
            <w:vAlign w:val="center"/>
          </w:tcPr>
          <w:p>
            <w:pPr>
              <w:jc w:val="center"/>
            </w:pPr>
            <w:r>
              <w:rPr>
                <w:rFonts w:ascii="Arial" w:cs="Arial" w:eastAsia="Arial" w:hAnsi="Arial"/>
                <w:b w:val="false"/>
                <w:bCs w:val="false"/>
                <w:color w:val="B7950B"/>
                <w:sz w:val="18"/>
                <w:szCs w:val="18"/>
              </w:rPr>
              <w:t xml:space="preserve">8</w:t>
            </w:r>
          </w:p>
        </w:tc>
        <w:tc>
          <w:tcPr>
            <w:tcW w:type="dxa" w:w="900"/>
            <w:tcBorders>
              <w:top w:val="single" w:color="CCCCCC" w:sz="4"/>
              <w:left w:val="single" w:color="CCCCCC" w:sz="4"/>
              <w:bottom w:val="single" w:color="CCCCCC" w:sz="4"/>
              <w:right w:val="single" w:color="CCCCCC" w:sz="4"/>
            </w:tcBorders>
            <w:shd w:fill="FEF3E2" w:val="clear"/>
            <w:tcMar>
              <w:top w:type="dxa" w:w="80"/>
              <w:left w:type="dxa" w:w="120"/>
              <w:bottom w:type="dxa" w:w="80"/>
              <w:right w:type="dxa" w:w="120"/>
            </w:tcMar>
            <w:vAlign w:val="center"/>
          </w:tcPr>
          <w:p>
            <w:pPr>
              <w:jc w:val="center"/>
            </w:pPr>
            <w:r>
              <w:rPr>
                <w:rFonts w:ascii="Arial" w:cs="Arial" w:eastAsia="Arial" w:hAnsi="Arial"/>
                <w:b w:val="false"/>
                <w:bCs w:val="false"/>
                <w:color w:val="D35400"/>
                <w:sz w:val="18"/>
                <w:szCs w:val="18"/>
              </w:rPr>
              <w:t xml:space="preserve">10</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1 - Rare</w:t>
            </w:r>
          </w:p>
        </w:tc>
        <w:tc>
          <w:tcPr>
            <w:tcW w:type="dxa" w:w="900"/>
            <w:tcBorders>
              <w:top w:val="single" w:color="CCCCCC" w:sz="4"/>
              <w:left w:val="single" w:color="CCCCCC" w:sz="4"/>
              <w:bottom w:val="single" w:color="CCCCCC" w:sz="4"/>
              <w:right w:val="single" w:color="CCCCCC" w:sz="4"/>
            </w:tcBorders>
            <w:shd w:fill="E9F7EF" w:val="clear"/>
            <w:tcMar>
              <w:top w:type="dxa" w:w="80"/>
              <w:left w:type="dxa" w:w="120"/>
              <w:bottom w:type="dxa" w:w="80"/>
              <w:right w:type="dxa" w:w="120"/>
            </w:tcMar>
            <w:vAlign w:val="center"/>
          </w:tcPr>
          <w:p>
            <w:pPr>
              <w:jc w:val="center"/>
            </w:pPr>
            <w:r>
              <w:rPr>
                <w:rFonts w:ascii="Arial" w:cs="Arial" w:eastAsia="Arial" w:hAnsi="Arial"/>
                <w:b w:val="false"/>
                <w:bCs w:val="false"/>
                <w:color w:val="1E8449"/>
                <w:sz w:val="18"/>
                <w:szCs w:val="18"/>
              </w:rPr>
              <w:t xml:space="preserve">1</w:t>
            </w:r>
          </w:p>
        </w:tc>
        <w:tc>
          <w:tcPr>
            <w:tcW w:type="dxa" w:w="900"/>
            <w:tcBorders>
              <w:top w:val="single" w:color="CCCCCC" w:sz="4"/>
              <w:left w:val="single" w:color="CCCCCC" w:sz="4"/>
              <w:bottom w:val="single" w:color="CCCCCC" w:sz="4"/>
              <w:right w:val="single" w:color="CCCCCC" w:sz="4"/>
            </w:tcBorders>
            <w:shd w:fill="E9F7EF" w:val="clear"/>
            <w:tcMar>
              <w:top w:type="dxa" w:w="80"/>
              <w:left w:type="dxa" w:w="120"/>
              <w:bottom w:type="dxa" w:w="80"/>
              <w:right w:type="dxa" w:w="120"/>
            </w:tcMar>
            <w:vAlign w:val="center"/>
          </w:tcPr>
          <w:p>
            <w:pPr>
              <w:jc w:val="center"/>
            </w:pPr>
            <w:r>
              <w:rPr>
                <w:rFonts w:ascii="Arial" w:cs="Arial" w:eastAsia="Arial" w:hAnsi="Arial"/>
                <w:b w:val="false"/>
                <w:bCs w:val="false"/>
                <w:color w:val="1E8449"/>
                <w:sz w:val="18"/>
                <w:szCs w:val="18"/>
              </w:rPr>
              <w:t xml:space="preserve">2</w:t>
            </w:r>
          </w:p>
        </w:tc>
        <w:tc>
          <w:tcPr>
            <w:tcW w:type="dxa" w:w="900"/>
            <w:tcBorders>
              <w:top w:val="single" w:color="CCCCCC" w:sz="4"/>
              <w:left w:val="single" w:color="CCCCCC" w:sz="4"/>
              <w:bottom w:val="single" w:color="CCCCCC" w:sz="4"/>
              <w:right w:val="single" w:color="CCCCCC" w:sz="4"/>
            </w:tcBorders>
            <w:shd w:fill="E9F7EF" w:val="clear"/>
            <w:tcMar>
              <w:top w:type="dxa" w:w="80"/>
              <w:left w:type="dxa" w:w="120"/>
              <w:bottom w:type="dxa" w:w="80"/>
              <w:right w:type="dxa" w:w="120"/>
            </w:tcMar>
            <w:vAlign w:val="center"/>
          </w:tcPr>
          <w:p>
            <w:pPr>
              <w:jc w:val="center"/>
            </w:pPr>
            <w:r>
              <w:rPr>
                <w:rFonts w:ascii="Arial" w:cs="Arial" w:eastAsia="Arial" w:hAnsi="Arial"/>
                <w:b w:val="false"/>
                <w:bCs w:val="false"/>
                <w:color w:val="1E8449"/>
                <w:sz w:val="18"/>
                <w:szCs w:val="18"/>
              </w:rPr>
              <w:t xml:space="preserve">3</w:t>
            </w:r>
          </w:p>
        </w:tc>
        <w:tc>
          <w:tcPr>
            <w:tcW w:type="dxa" w:w="900"/>
            <w:tcBorders>
              <w:top w:val="single" w:color="CCCCCC" w:sz="4"/>
              <w:left w:val="single" w:color="CCCCCC" w:sz="4"/>
              <w:bottom w:val="single" w:color="CCCCCC" w:sz="4"/>
              <w:right w:val="single" w:color="CCCCCC" w:sz="4"/>
            </w:tcBorders>
            <w:shd w:fill="E9F7EF" w:val="clear"/>
            <w:tcMar>
              <w:top w:type="dxa" w:w="80"/>
              <w:left w:type="dxa" w:w="120"/>
              <w:bottom w:type="dxa" w:w="80"/>
              <w:right w:type="dxa" w:w="120"/>
            </w:tcMar>
            <w:vAlign w:val="center"/>
          </w:tcPr>
          <w:p>
            <w:pPr>
              <w:jc w:val="center"/>
            </w:pPr>
            <w:r>
              <w:rPr>
                <w:rFonts w:ascii="Arial" w:cs="Arial" w:eastAsia="Arial" w:hAnsi="Arial"/>
                <w:b w:val="false"/>
                <w:bCs w:val="false"/>
                <w:color w:val="1E8449"/>
                <w:sz w:val="18"/>
                <w:szCs w:val="18"/>
              </w:rPr>
              <w:t xml:space="preserve">4</w:t>
            </w:r>
          </w:p>
        </w:tc>
        <w:tc>
          <w:tcPr>
            <w:tcW w:type="dxa" w:w="900"/>
            <w:tcBorders>
              <w:top w:val="single" w:color="CCCCCC" w:sz="4"/>
              <w:left w:val="single" w:color="CCCCCC" w:sz="4"/>
              <w:bottom w:val="single" w:color="CCCCCC" w:sz="4"/>
              <w:right w:val="single" w:color="CCCCCC" w:sz="4"/>
            </w:tcBorders>
            <w:shd w:fill="FEFBD8" w:val="clear"/>
            <w:tcMar>
              <w:top w:type="dxa" w:w="80"/>
              <w:left w:type="dxa" w:w="120"/>
              <w:bottom w:type="dxa" w:w="80"/>
              <w:right w:type="dxa" w:w="120"/>
            </w:tcMar>
            <w:vAlign w:val="center"/>
          </w:tcPr>
          <w:p>
            <w:pPr>
              <w:jc w:val="center"/>
            </w:pPr>
            <w:r>
              <w:rPr>
                <w:rFonts w:ascii="Arial" w:cs="Arial" w:eastAsia="Arial" w:hAnsi="Arial"/>
                <w:b w:val="false"/>
                <w:bCs w:val="false"/>
                <w:color w:val="B7950B"/>
                <w:sz w:val="18"/>
                <w:szCs w:val="18"/>
              </w:rPr>
              <w:t xml:space="preserve">5</w:t>
            </w:r>
          </w:p>
        </w:tc>
      </w:tr>
    </w:tbl>
    <w:p>
      <w:pPr>
        <w:spacing w:before="80" w:after="80"/>
      </w:pPr>
      <w:r>
        <w:t xml:space="preserve"/>
      </w:r>
    </w:p>
    <w:p>
      <w:pPr>
        <w:spacing w:before="200" w:after="80"/>
      </w:pPr>
      <w:r>
        <w:rPr>
          <w:rFonts w:ascii="Arial" w:cs="Arial" w:eastAsia="Arial" w:hAnsi="Arial"/>
          <w:b/>
          <w:bCs/>
          <w:color w:val="2E5E9E"/>
          <w:sz w:val="21"/>
          <w:szCs w:val="21"/>
        </w:rPr>
        <w:t xml:space="preserve">3.3 Risk Rating Thresholds</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2000"/>
      </w:tblGrid>
      <w:tr>
        <w:tc>
          <w:tcPr>
            <w:tcW w:type="dxa" w:w="1000"/>
            <w:tcBorders>
              <w:top w:val="single" w:color="AAAAAA" w:sz="4"/>
              <w:left w:val="single" w:color="AAAAAA" w:sz="4"/>
              <w:bottom w:val="single" w:color="AAAAAA" w:sz="4"/>
              <w:right w:val="single" w:color="AAAAAA" w:sz="4"/>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Score Range</w:t>
            </w:r>
          </w:p>
        </w:tc>
        <w:tc>
          <w:tcPr>
            <w:tcW w:type="dxa" w:w="1000"/>
            <w:tcBorders>
              <w:top w:val="single" w:color="AAAAAA" w:sz="4"/>
              <w:left w:val="single" w:color="AAAAAA" w:sz="4"/>
              <w:bottom w:val="single" w:color="AAAAAA" w:sz="4"/>
              <w:right w:val="single" w:color="AAAAAA" w:sz="4"/>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Rating</w:t>
            </w:r>
          </w:p>
        </w:tc>
        <w:tc>
          <w:tcPr>
            <w:tcW w:type="dxa" w:w="2000"/>
            <w:tcBorders>
              <w:top w:val="single" w:color="AAAAAA" w:sz="4"/>
              <w:left w:val="single" w:color="AAAAAA" w:sz="4"/>
              <w:bottom w:val="single" w:color="AAAAAA" w:sz="4"/>
              <w:right w:val="single" w:color="AAAAAA" w:sz="4"/>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Required Action</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15–25</w:t>
            </w:r>
          </w:p>
        </w:tc>
        <w:tc>
          <w:tcPr>
            <w:tcW w:type="dxa" w:w="1000"/>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Critical</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Immediate remediation required (&lt; 30 days)</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8–14</w:t>
            </w:r>
          </w:p>
        </w:tc>
        <w:tc>
          <w:tcPr>
            <w:tcW w:type="dxa" w:w="1000"/>
            <w:tcBorders>
              <w:top w:val="single" w:color="CCCCCC" w:sz="4"/>
              <w:left w:val="single" w:color="CCCCCC" w:sz="4"/>
              <w:bottom w:val="single" w:color="CCCCCC" w:sz="4"/>
              <w:right w:val="single" w:color="CCCCCC" w:sz="4"/>
            </w:tcBorders>
            <w:shd w:fill="FEF3E2" w:val="clear"/>
            <w:tcMar>
              <w:top w:type="dxa" w:w="80"/>
              <w:left w:type="dxa" w:w="120"/>
              <w:bottom w:type="dxa" w:w="80"/>
              <w:right w:type="dxa" w:w="120"/>
            </w:tcMar>
            <w:vAlign w:val="center"/>
          </w:tcPr>
          <w:p>
            <w:pPr>
              <w:jc w:val="center"/>
            </w:pPr>
            <w:r>
              <w:rPr>
                <w:rFonts w:ascii="Arial" w:cs="Arial" w:eastAsia="Arial" w:hAnsi="Arial"/>
                <w:b/>
                <w:bCs/>
                <w:color w:val="D35400"/>
                <w:sz w:val="18"/>
                <w:szCs w:val="18"/>
              </w:rPr>
              <w:t xml:space="preserve">High</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Remediation required within 60 days</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4–7</w:t>
            </w:r>
          </w:p>
        </w:tc>
        <w:tc>
          <w:tcPr>
            <w:tcW w:type="dxa" w:w="1000"/>
            <w:tcBorders>
              <w:top w:val="single" w:color="CCCCCC" w:sz="4"/>
              <w:left w:val="single" w:color="CCCCCC" w:sz="4"/>
              <w:bottom w:val="single" w:color="CCCCCC" w:sz="4"/>
              <w:right w:val="single" w:color="CCCCCC" w:sz="4"/>
            </w:tcBorders>
            <w:shd w:fill="FEFBD8" w:val="clear"/>
            <w:tcMar>
              <w:top w:type="dxa" w:w="80"/>
              <w:left w:type="dxa" w:w="120"/>
              <w:bottom w:type="dxa" w:w="80"/>
              <w:right w:type="dxa" w:w="120"/>
            </w:tcMar>
            <w:vAlign w:val="center"/>
          </w:tcPr>
          <w:p>
            <w:pPr>
              <w:jc w:val="center"/>
            </w:pPr>
            <w:r>
              <w:rPr>
                <w:rFonts w:ascii="Arial" w:cs="Arial" w:eastAsia="Arial" w:hAnsi="Arial"/>
                <w:b/>
                <w:bCs/>
                <w:color w:val="B7950B"/>
                <w:sz w:val="18"/>
                <w:szCs w:val="18"/>
              </w:rPr>
              <w:t xml:space="preserve">Medium</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Remediation planned within 90 days</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1–3</w:t>
            </w:r>
          </w:p>
        </w:tc>
        <w:tc>
          <w:tcPr>
            <w:tcW w:type="dxa" w:w="1000"/>
            <w:tcBorders>
              <w:top w:val="single" w:color="CCCCCC" w:sz="4"/>
              <w:left w:val="single" w:color="CCCCCC" w:sz="4"/>
              <w:bottom w:val="single" w:color="CCCCCC" w:sz="4"/>
              <w:right w:val="single" w:color="CCCCCC" w:sz="4"/>
            </w:tcBorders>
            <w:shd w:fill="E9F7EF" w:val="clear"/>
            <w:tcMar>
              <w:top w:type="dxa" w:w="80"/>
              <w:left w:type="dxa" w:w="120"/>
              <w:bottom w:type="dxa" w:w="80"/>
              <w:right w:type="dxa" w:w="120"/>
            </w:tcMar>
            <w:vAlign w:val="center"/>
          </w:tcPr>
          <w:p>
            <w:pPr>
              <w:jc w:val="center"/>
            </w:pPr>
            <w:r>
              <w:rPr>
                <w:rFonts w:ascii="Arial" w:cs="Arial" w:eastAsia="Arial" w:hAnsi="Arial"/>
                <w:b/>
                <w:bCs/>
                <w:color w:val="1E8449"/>
                <w:sz w:val="18"/>
                <w:szCs w:val="18"/>
              </w:rPr>
              <w:t xml:space="preserve">Low</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Monitor; remediate as resources allow</w:t>
            </w:r>
          </w:p>
        </w:tc>
      </w:tr>
    </w:tbl>
    <w:p>
      <w:pPr>
        <w:spacing w:before="80" w:after="80"/>
      </w:pPr>
      <w:r>
        <w:t xml:space="preserve"/>
      </w:r>
    </w:p>
    <w:p>
      <w:r>
        <w:br w:type="page"/>
      </w:r>
    </w:p>
    <w:p>
      <w:pPr>
        <w:pBdr>
          <w:bottom w:val="single" w:color="1B2A4A" w:sz="8" w:space="2"/>
        </w:pBdr>
        <w:spacing w:before="320" w:after="100"/>
      </w:pPr>
      <w:r>
        <w:rPr>
          <w:rFonts w:ascii="Arial" w:cs="Arial" w:eastAsia="Arial" w:hAnsi="Arial"/>
          <w:b/>
          <w:bCs/>
          <w:color w:val="1B2A4A"/>
          <w:sz w:val="24"/>
          <w:szCs w:val="24"/>
        </w:rPr>
        <w:t xml:space="preserve">4. RISK REGISTER</w:t>
      </w:r>
    </w:p>
    <w:p>
      <w:pPr>
        <w:spacing w:before="60" w:after="60"/>
      </w:pPr>
      <w:r>
        <w:rPr>
          <w:rFonts w:ascii="Arial" w:cs="Arial" w:eastAsia="Arial" w:hAnsi="Arial"/>
          <w:b w:val="false"/>
          <w:bCs w:val="false"/>
          <w:i w:val="false"/>
          <w:iCs w:val="false"/>
          <w:color w:val="222222"/>
          <w:sz w:val="19"/>
          <w:szCs w:val="19"/>
        </w:rPr>
        <w:t xml:space="preserve">The following risk register documents all identified risks, their scores, owners, and recommended treatments. Risks are sorted by score from highest to lowest.</w:t>
      </w:r>
    </w:p>
    <w:p>
      <w:pPr>
        <w:spacing w:before="80" w:after="80"/>
      </w:pPr>
      <w:r>
        <w:t xml:space="preserve"/>
      </w:r>
    </w:p>
    <w:tbl>
      <w:tblPr>
        <w:tblW w:type="dxa" w:w="13560"/>
        <w:tblBorders>
          <w:top w:val="single" w:color="auto" w:sz="4"/>
          <w:left w:val="single" w:color="auto" w:sz="4"/>
          <w:bottom w:val="single" w:color="auto" w:sz="4"/>
          <w:right w:val="single" w:color="auto" w:sz="4"/>
          <w:insideH w:val="single" w:color="auto" w:sz="4"/>
          <w:insideV w:val="single" w:color="auto" w:sz="4"/>
        </w:tblBorders>
      </w:tblPr>
      <w:tblGrid>
        <w:gridCol w:w="480"/>
        <w:gridCol w:w="1040"/>
        <w:gridCol w:w="1200"/>
        <w:gridCol w:w="1200"/>
        <w:gridCol w:w="560"/>
        <w:gridCol w:w="480"/>
        <w:gridCol w:w="480"/>
        <w:gridCol w:w="680"/>
        <w:gridCol w:w="840"/>
        <w:gridCol w:w="1560"/>
        <w:gridCol w:w="840"/>
      </w:tblGrid>
      <w:tr>
        <w:tc>
          <w:tcPr>
            <w:tcW w:type="dxa" w:w="480"/>
            <w:tcBorders>
              <w:top w:val="single" w:color="AAAAAA" w:sz="4"/>
              <w:left w:val="single" w:color="AAAAAA" w:sz="4"/>
              <w:bottom w:val="single" w:color="AAAAAA" w:sz="4"/>
              <w:right w:val="single" w:color="AAAAAA" w:sz="4"/>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ID</w:t>
            </w:r>
          </w:p>
        </w:tc>
        <w:tc>
          <w:tcPr>
            <w:tcW w:type="dxa" w:w="1040"/>
            <w:tcBorders>
              <w:top w:val="single" w:color="AAAAAA" w:sz="4"/>
              <w:left w:val="single" w:color="AAAAAA" w:sz="4"/>
              <w:bottom w:val="single" w:color="AAAAAA" w:sz="4"/>
              <w:right w:val="single" w:color="AAAAAA" w:sz="4"/>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Asset</w:t>
            </w:r>
          </w:p>
        </w:tc>
        <w:tc>
          <w:tcPr>
            <w:tcW w:type="dxa" w:w="1200"/>
            <w:tcBorders>
              <w:top w:val="single" w:color="AAAAAA" w:sz="4"/>
              <w:left w:val="single" w:color="AAAAAA" w:sz="4"/>
              <w:bottom w:val="single" w:color="AAAAAA" w:sz="4"/>
              <w:right w:val="single" w:color="AAAAAA" w:sz="4"/>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Threat</w:t>
            </w:r>
          </w:p>
        </w:tc>
        <w:tc>
          <w:tcPr>
            <w:tcW w:type="dxa" w:w="1200"/>
            <w:tcBorders>
              <w:top w:val="single" w:color="AAAAAA" w:sz="4"/>
              <w:left w:val="single" w:color="AAAAAA" w:sz="4"/>
              <w:bottom w:val="single" w:color="AAAAAA" w:sz="4"/>
              <w:right w:val="single" w:color="AAAAAA" w:sz="4"/>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Vulnerability</w:t>
            </w:r>
          </w:p>
        </w:tc>
        <w:tc>
          <w:tcPr>
            <w:tcW w:type="dxa" w:w="560"/>
            <w:tcBorders>
              <w:top w:val="single" w:color="AAAAAA" w:sz="4"/>
              <w:left w:val="single" w:color="AAAAAA" w:sz="4"/>
              <w:bottom w:val="single" w:color="AAAAAA" w:sz="4"/>
              <w:right w:val="single" w:color="AAAAAA" w:sz="4"/>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Like-lihood (1-5)</w:t>
            </w:r>
          </w:p>
        </w:tc>
        <w:tc>
          <w:tcPr>
            <w:tcW w:type="dxa" w:w="480"/>
            <w:tcBorders>
              <w:top w:val="single" w:color="AAAAAA" w:sz="4"/>
              <w:left w:val="single" w:color="AAAAAA" w:sz="4"/>
              <w:bottom w:val="single" w:color="AAAAAA" w:sz="4"/>
              <w:right w:val="single" w:color="AAAAAA" w:sz="4"/>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Impact (1-5)</w:t>
            </w:r>
          </w:p>
        </w:tc>
        <w:tc>
          <w:tcPr>
            <w:tcW w:type="dxa" w:w="480"/>
            <w:tcBorders>
              <w:top w:val="single" w:color="AAAAAA" w:sz="4"/>
              <w:left w:val="single" w:color="AAAAAA" w:sz="4"/>
              <w:bottom w:val="single" w:color="AAAAAA" w:sz="4"/>
              <w:right w:val="single" w:color="AAAAAA" w:sz="4"/>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Score</w:t>
            </w:r>
          </w:p>
        </w:tc>
        <w:tc>
          <w:tcPr>
            <w:tcW w:type="dxa" w:w="680"/>
            <w:tcBorders>
              <w:top w:val="single" w:color="AAAAAA" w:sz="4"/>
              <w:left w:val="single" w:color="AAAAAA" w:sz="4"/>
              <w:bottom w:val="single" w:color="AAAAAA" w:sz="4"/>
              <w:right w:val="single" w:color="AAAAAA" w:sz="4"/>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Rating</w:t>
            </w:r>
          </w:p>
        </w:tc>
        <w:tc>
          <w:tcPr>
            <w:tcW w:type="dxa" w:w="840"/>
            <w:tcBorders>
              <w:top w:val="single" w:color="AAAAAA" w:sz="4"/>
              <w:left w:val="single" w:color="AAAAAA" w:sz="4"/>
              <w:bottom w:val="single" w:color="AAAAAA" w:sz="4"/>
              <w:right w:val="single" w:color="AAAAAA" w:sz="4"/>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Risk Owner</w:t>
            </w:r>
          </w:p>
        </w:tc>
        <w:tc>
          <w:tcPr>
            <w:tcW w:type="dxa" w:w="1560"/>
            <w:tcBorders>
              <w:top w:val="single" w:color="AAAAAA" w:sz="4"/>
              <w:left w:val="single" w:color="AAAAAA" w:sz="4"/>
              <w:bottom w:val="single" w:color="AAAAAA" w:sz="4"/>
              <w:right w:val="single" w:color="AAAAAA" w:sz="4"/>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Recommendation</w:t>
            </w:r>
          </w:p>
        </w:tc>
        <w:tc>
          <w:tcPr>
            <w:tcW w:type="dxa" w:w="840"/>
            <w:tcBorders>
              <w:top w:val="single" w:color="AAAAAA" w:sz="4"/>
              <w:left w:val="single" w:color="AAAAAA" w:sz="4"/>
              <w:bottom w:val="single" w:color="AAAAAA" w:sz="4"/>
              <w:right w:val="single" w:color="AAAAAA" w:sz="4"/>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Status</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7"/>
                <w:szCs w:val="17"/>
              </w:rPr>
              <w:t xml:space="preserve">R-01</w:t>
            </w:r>
          </w:p>
        </w:tc>
        <w:tc>
          <w:tcPr>
            <w:tcW w:type="dxa" w:w="1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Customer PII Database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Ransomware / Data Breach</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Unencrypted data at rest; insufficient backup testing</w:t>
            </w:r>
          </w:p>
        </w:tc>
        <w:tc>
          <w:tcPr>
            <w:tcW w:type="dxa" w:w="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7"/>
                <w:szCs w:val="17"/>
              </w:rPr>
              <w:t xml:space="preserve">5</w:t>
            </w:r>
          </w:p>
        </w:tc>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7"/>
                <w:szCs w:val="17"/>
              </w:rPr>
              <w:t xml:space="preserve">5</w:t>
            </w:r>
          </w:p>
        </w:tc>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7"/>
                <w:szCs w:val="17"/>
              </w:rPr>
              <w:t xml:space="preserve">25</w:t>
            </w:r>
          </w:p>
        </w:tc>
        <w:tc>
          <w:tcPr>
            <w:tcW w:type="dxa" w:w="680"/>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center"/>
          </w:tcPr>
          <w:p>
            <w:pPr>
              <w:jc w:val="center"/>
            </w:pPr>
            <w:r>
              <w:rPr>
                <w:rFonts w:ascii="Arial" w:cs="Arial" w:eastAsia="Arial" w:hAnsi="Arial"/>
                <w:b/>
                <w:bCs/>
                <w:color w:val="C0392B"/>
                <w:sz w:val="17"/>
                <w:szCs w:val="17"/>
              </w:rPr>
              <w:t xml:space="preserve">CRITICAL</w:t>
            </w:r>
          </w:p>
        </w:tc>
        <w:tc>
          <w:tcPr>
            <w:tcW w:type="dxa" w:w="8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IT Security Lead</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Implement AES-256 encryption at rest; test backups monthly; deploy DLP controls</w:t>
            </w:r>
          </w:p>
        </w:tc>
        <w:tc>
          <w:tcPr>
            <w:tcW w:type="dxa" w:w="8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Open – Due 30 days</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7"/>
                <w:szCs w:val="17"/>
              </w:rPr>
              <w:t xml:space="preserve">R-02</w:t>
            </w:r>
          </w:p>
        </w:tc>
        <w:tc>
          <w:tcPr>
            <w:tcW w:type="dxa" w:w="1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IAM / Active Directory</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Privilege Escalation</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Excessive admin accounts; no PAM solution in place</w:t>
            </w:r>
          </w:p>
        </w:tc>
        <w:tc>
          <w:tcPr>
            <w:tcW w:type="dxa" w:w="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7"/>
                <w:szCs w:val="17"/>
              </w:rPr>
              <w:t xml:space="preserve">4</w:t>
            </w:r>
          </w:p>
        </w:tc>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7"/>
                <w:szCs w:val="17"/>
              </w:rPr>
              <w:t xml:space="preserve">5</w:t>
            </w:r>
          </w:p>
        </w:tc>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7"/>
                <w:szCs w:val="17"/>
              </w:rPr>
              <w:t xml:space="preserve">20</w:t>
            </w:r>
          </w:p>
        </w:tc>
        <w:tc>
          <w:tcPr>
            <w:tcW w:type="dxa" w:w="680"/>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center"/>
          </w:tcPr>
          <w:p>
            <w:pPr>
              <w:jc w:val="center"/>
            </w:pPr>
            <w:r>
              <w:rPr>
                <w:rFonts w:ascii="Arial" w:cs="Arial" w:eastAsia="Arial" w:hAnsi="Arial"/>
                <w:b/>
                <w:bCs/>
                <w:color w:val="C0392B"/>
                <w:sz w:val="17"/>
                <w:szCs w:val="17"/>
              </w:rPr>
              <w:t xml:space="preserve">CRITICAL</w:t>
            </w:r>
          </w:p>
        </w:tc>
        <w:tc>
          <w:tcPr>
            <w:tcW w:type="dxa" w:w="8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IT Manager</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Implement PAM solution; enforce least privilege; conduct quarterly access reviews</w:t>
            </w:r>
          </w:p>
        </w:tc>
        <w:tc>
          <w:tcPr>
            <w:tcW w:type="dxa" w:w="8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Open – Due 30 days</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7"/>
                <w:szCs w:val="17"/>
              </w:rPr>
              <w:t xml:space="preserve">R-03</w:t>
            </w:r>
          </w:p>
        </w:tc>
        <w:tc>
          <w:tcPr>
            <w:tcW w:type="dxa" w:w="1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Remote Access (VPN)</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Credential Stuffing / MFA Bypass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MFA not enforced for all remote users</w:t>
            </w:r>
          </w:p>
        </w:tc>
        <w:tc>
          <w:tcPr>
            <w:tcW w:type="dxa" w:w="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7"/>
                <w:szCs w:val="17"/>
              </w:rPr>
              <w:t xml:space="preserve">5</w:t>
            </w:r>
          </w:p>
        </w:tc>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7"/>
                <w:szCs w:val="17"/>
              </w:rPr>
              <w:t xml:space="preserve">4</w:t>
            </w:r>
          </w:p>
        </w:tc>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7"/>
                <w:szCs w:val="17"/>
              </w:rPr>
              <w:t xml:space="preserve">20</w:t>
            </w:r>
          </w:p>
        </w:tc>
        <w:tc>
          <w:tcPr>
            <w:tcW w:type="dxa" w:w="680"/>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center"/>
          </w:tcPr>
          <w:p>
            <w:pPr>
              <w:jc w:val="center"/>
            </w:pPr>
            <w:r>
              <w:rPr>
                <w:rFonts w:ascii="Arial" w:cs="Arial" w:eastAsia="Arial" w:hAnsi="Arial"/>
                <w:b/>
                <w:bCs/>
                <w:color w:val="C0392B"/>
                <w:sz w:val="17"/>
                <w:szCs w:val="17"/>
              </w:rPr>
              <w:t xml:space="preserve">CRITICAL</w:t>
            </w:r>
          </w:p>
        </w:tc>
        <w:tc>
          <w:tcPr>
            <w:tcW w:type="dxa" w:w="8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IT Security Lead</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Enforce MFA for 100% of remote access; review VPN logs weekly</w:t>
            </w:r>
          </w:p>
        </w:tc>
        <w:tc>
          <w:tcPr>
            <w:tcW w:type="dxa" w:w="8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Open – Due 30 days</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7"/>
                <w:szCs w:val="17"/>
              </w:rPr>
              <w:t xml:space="preserve">R-04</w:t>
            </w:r>
          </w:p>
        </w:tc>
        <w:tc>
          <w:tcPr>
            <w:tcW w:type="dxa" w:w="1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Employee Endpoints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Malware / Ransomware Infection</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Inconsistent EDR deployment; unpatched OS on 20% of fleet</w:t>
            </w:r>
          </w:p>
        </w:tc>
        <w:tc>
          <w:tcPr>
            <w:tcW w:type="dxa" w:w="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7"/>
                <w:szCs w:val="17"/>
              </w:rPr>
              <w:t xml:space="preserve">4</w:t>
            </w:r>
          </w:p>
        </w:tc>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7"/>
                <w:szCs w:val="17"/>
              </w:rPr>
              <w:t xml:space="preserve">4</w:t>
            </w:r>
          </w:p>
        </w:tc>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7"/>
                <w:szCs w:val="17"/>
              </w:rPr>
              <w:t xml:space="preserve">16</w:t>
            </w:r>
          </w:p>
        </w:tc>
        <w:tc>
          <w:tcPr>
            <w:tcW w:type="dxa" w:w="680"/>
            <w:tcBorders>
              <w:top w:val="single" w:color="CCCCCC" w:sz="4"/>
              <w:left w:val="single" w:color="CCCCCC" w:sz="4"/>
              <w:bottom w:val="single" w:color="CCCCCC" w:sz="4"/>
              <w:right w:val="single" w:color="CCCCCC" w:sz="4"/>
            </w:tcBorders>
            <w:shd w:fill="FEF3E2" w:val="clear"/>
            <w:tcMar>
              <w:top w:type="dxa" w:w="80"/>
              <w:left w:type="dxa" w:w="120"/>
              <w:bottom w:type="dxa" w:w="80"/>
              <w:right w:type="dxa" w:w="120"/>
            </w:tcMar>
            <w:vAlign w:val="center"/>
          </w:tcPr>
          <w:p>
            <w:pPr>
              <w:jc w:val="center"/>
            </w:pPr>
            <w:r>
              <w:rPr>
                <w:rFonts w:ascii="Arial" w:cs="Arial" w:eastAsia="Arial" w:hAnsi="Arial"/>
                <w:b/>
                <w:bCs/>
                <w:color w:val="D35400"/>
                <w:sz w:val="17"/>
                <w:szCs w:val="17"/>
              </w:rPr>
              <w:t xml:space="preserve">HIGH</w:t>
            </w:r>
          </w:p>
        </w:tc>
        <w:tc>
          <w:tcPr>
            <w:tcW w:type="dxa" w:w="8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Desktop Support Lead</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Deploy EDR to 100% of endpoints; enforce monthly patch cycle via Intune</w:t>
            </w:r>
          </w:p>
        </w:tc>
        <w:tc>
          <w:tcPr>
            <w:tcW w:type="dxa" w:w="8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In Progress – Due 60 days</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7"/>
                <w:szCs w:val="17"/>
              </w:rPr>
              <w:t xml:space="preserve">R-05</w:t>
            </w:r>
          </w:p>
        </w:tc>
        <w:tc>
          <w:tcPr>
            <w:tcW w:type="dxa" w:w="1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Cloud Infrastructure (AWS)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Misconfiguration / Data Exposure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S3 buckets lacking public access blocks; no CSPM tooling</w:t>
            </w:r>
          </w:p>
        </w:tc>
        <w:tc>
          <w:tcPr>
            <w:tcW w:type="dxa" w:w="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7"/>
                <w:szCs w:val="17"/>
              </w:rPr>
              <w:t xml:space="preserve">4</w:t>
            </w:r>
          </w:p>
        </w:tc>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7"/>
                <w:szCs w:val="17"/>
              </w:rPr>
              <w:t xml:space="preserve">4</w:t>
            </w:r>
          </w:p>
        </w:tc>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7"/>
                <w:szCs w:val="17"/>
              </w:rPr>
              <w:t xml:space="preserve">16</w:t>
            </w:r>
          </w:p>
        </w:tc>
        <w:tc>
          <w:tcPr>
            <w:tcW w:type="dxa" w:w="680"/>
            <w:tcBorders>
              <w:top w:val="single" w:color="CCCCCC" w:sz="4"/>
              <w:left w:val="single" w:color="CCCCCC" w:sz="4"/>
              <w:bottom w:val="single" w:color="CCCCCC" w:sz="4"/>
              <w:right w:val="single" w:color="CCCCCC" w:sz="4"/>
            </w:tcBorders>
            <w:shd w:fill="FEF3E2" w:val="clear"/>
            <w:tcMar>
              <w:top w:type="dxa" w:w="80"/>
              <w:left w:type="dxa" w:w="120"/>
              <w:bottom w:type="dxa" w:w="80"/>
              <w:right w:type="dxa" w:w="120"/>
            </w:tcMar>
            <w:vAlign w:val="center"/>
          </w:tcPr>
          <w:p>
            <w:pPr>
              <w:jc w:val="center"/>
            </w:pPr>
            <w:r>
              <w:rPr>
                <w:rFonts w:ascii="Arial" w:cs="Arial" w:eastAsia="Arial" w:hAnsi="Arial"/>
                <w:b/>
                <w:bCs/>
                <w:color w:val="D35400"/>
                <w:sz w:val="17"/>
                <w:szCs w:val="17"/>
              </w:rPr>
              <w:t xml:space="preserve">HIGH</w:t>
            </w:r>
          </w:p>
        </w:tc>
        <w:tc>
          <w:tcPr>
            <w:tcW w:type="dxa" w:w="8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Cloud Engineer</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Enable S3 block public access; deploy CSPM tool; quarterly config reviews</w:t>
            </w:r>
          </w:p>
        </w:tc>
        <w:tc>
          <w:tcPr>
            <w:tcW w:type="dxa" w:w="8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Open – Due 60 days</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7"/>
                <w:szCs w:val="17"/>
              </w:rPr>
              <w:t xml:space="preserve">R-06</w:t>
            </w:r>
          </w:p>
        </w:tc>
        <w:tc>
          <w:tcPr>
            <w:tcW w:type="dxa" w:w="1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Third-Party Vendor APIs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Supply Chain Attack</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No vendor security assessments conducted; excessive API permissions</w:t>
            </w:r>
          </w:p>
        </w:tc>
        <w:tc>
          <w:tcPr>
            <w:tcW w:type="dxa" w:w="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7"/>
                <w:szCs w:val="17"/>
              </w:rPr>
              <w:t xml:space="preserve">3</w:t>
            </w:r>
          </w:p>
        </w:tc>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7"/>
                <w:szCs w:val="17"/>
              </w:rPr>
              <w:t xml:space="preserve">4</w:t>
            </w:r>
          </w:p>
        </w:tc>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7"/>
                <w:szCs w:val="17"/>
              </w:rPr>
              <w:t xml:space="preserve">12</w:t>
            </w:r>
          </w:p>
        </w:tc>
        <w:tc>
          <w:tcPr>
            <w:tcW w:type="dxa" w:w="680"/>
            <w:tcBorders>
              <w:top w:val="single" w:color="CCCCCC" w:sz="4"/>
              <w:left w:val="single" w:color="CCCCCC" w:sz="4"/>
              <w:bottom w:val="single" w:color="CCCCCC" w:sz="4"/>
              <w:right w:val="single" w:color="CCCCCC" w:sz="4"/>
            </w:tcBorders>
            <w:shd w:fill="FEF3E2" w:val="clear"/>
            <w:tcMar>
              <w:top w:type="dxa" w:w="80"/>
              <w:left w:type="dxa" w:w="120"/>
              <w:bottom w:type="dxa" w:w="80"/>
              <w:right w:type="dxa" w:w="120"/>
            </w:tcMar>
            <w:vAlign w:val="center"/>
          </w:tcPr>
          <w:p>
            <w:pPr>
              <w:jc w:val="center"/>
            </w:pPr>
            <w:r>
              <w:rPr>
                <w:rFonts w:ascii="Arial" w:cs="Arial" w:eastAsia="Arial" w:hAnsi="Arial"/>
                <w:b/>
                <w:bCs/>
                <w:color w:val="D35400"/>
                <w:sz w:val="17"/>
                <w:szCs w:val="17"/>
              </w:rPr>
              <w:t xml:space="preserve">HIGH</w:t>
            </w:r>
          </w:p>
        </w:tc>
        <w:tc>
          <w:tcPr>
            <w:tcW w:type="dxa" w:w="8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Compliance Analyst</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Implement vendor risk management program; conduct annual security assessments</w:t>
            </w:r>
          </w:p>
        </w:tc>
        <w:tc>
          <w:tcPr>
            <w:tcW w:type="dxa" w:w="8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Open – Due 60 days</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7"/>
                <w:szCs w:val="17"/>
              </w:rPr>
              <w:t xml:space="preserve">R-07</w:t>
            </w:r>
          </w:p>
        </w:tc>
        <w:tc>
          <w:tcPr>
            <w:tcW w:type="dxa" w:w="1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Email System (M365)</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Phishing / Business Email Compromise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No DMARC/DKIM enforcement; limited security awareness training</w:t>
            </w:r>
          </w:p>
        </w:tc>
        <w:tc>
          <w:tcPr>
            <w:tcW w:type="dxa" w:w="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7"/>
                <w:szCs w:val="17"/>
              </w:rPr>
              <w:t xml:space="preserve">4</w:t>
            </w:r>
          </w:p>
        </w:tc>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7"/>
                <w:szCs w:val="17"/>
              </w:rPr>
              <w:t xml:space="preserve">3</w:t>
            </w:r>
          </w:p>
        </w:tc>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7"/>
                <w:szCs w:val="17"/>
              </w:rPr>
              <w:t xml:space="preserve">12</w:t>
            </w:r>
          </w:p>
        </w:tc>
        <w:tc>
          <w:tcPr>
            <w:tcW w:type="dxa" w:w="680"/>
            <w:tcBorders>
              <w:top w:val="single" w:color="CCCCCC" w:sz="4"/>
              <w:left w:val="single" w:color="CCCCCC" w:sz="4"/>
              <w:bottom w:val="single" w:color="CCCCCC" w:sz="4"/>
              <w:right w:val="single" w:color="CCCCCC" w:sz="4"/>
            </w:tcBorders>
            <w:shd w:fill="FEF3E2" w:val="clear"/>
            <w:tcMar>
              <w:top w:type="dxa" w:w="80"/>
              <w:left w:type="dxa" w:w="120"/>
              <w:bottom w:type="dxa" w:w="80"/>
              <w:right w:type="dxa" w:w="120"/>
            </w:tcMar>
            <w:vAlign w:val="center"/>
          </w:tcPr>
          <w:p>
            <w:pPr>
              <w:jc w:val="center"/>
            </w:pPr>
            <w:r>
              <w:rPr>
                <w:rFonts w:ascii="Arial" w:cs="Arial" w:eastAsia="Arial" w:hAnsi="Arial"/>
                <w:b/>
                <w:bCs/>
                <w:color w:val="D35400"/>
                <w:sz w:val="17"/>
                <w:szCs w:val="17"/>
              </w:rPr>
              <w:t xml:space="preserve">HIGH</w:t>
            </w:r>
          </w:p>
        </w:tc>
        <w:tc>
          <w:tcPr>
            <w:tcW w:type="dxa" w:w="8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IT Security Lead</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Enforce DMARC/DKIM/SPF; conduct quarterly phishing simulations; mandatory SAT</w:t>
            </w:r>
          </w:p>
        </w:tc>
        <w:tc>
          <w:tcPr>
            <w:tcW w:type="dxa" w:w="8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In Progress – Due 60 days</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7"/>
                <w:szCs w:val="17"/>
              </w:rPr>
              <w:t xml:space="preserve">R-08</w:t>
            </w:r>
          </w:p>
        </w:tc>
        <w:tc>
          <w:tcPr>
            <w:tcW w:type="dxa" w:w="1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Network Infrastructure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Lateral Movement / Internal Threat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Flat network; no micro-segmentation between departments</w:t>
            </w:r>
          </w:p>
        </w:tc>
        <w:tc>
          <w:tcPr>
            <w:tcW w:type="dxa" w:w="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7"/>
                <w:szCs w:val="17"/>
              </w:rPr>
              <w:t xml:space="preserve">3</w:t>
            </w:r>
          </w:p>
        </w:tc>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7"/>
                <w:szCs w:val="17"/>
              </w:rPr>
              <w:t xml:space="preserve">3</w:t>
            </w:r>
          </w:p>
        </w:tc>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7"/>
                <w:szCs w:val="17"/>
              </w:rPr>
              <w:t xml:space="preserve">9</w:t>
            </w:r>
          </w:p>
        </w:tc>
        <w:tc>
          <w:tcPr>
            <w:tcW w:type="dxa" w:w="680"/>
            <w:tcBorders>
              <w:top w:val="single" w:color="CCCCCC" w:sz="4"/>
              <w:left w:val="single" w:color="CCCCCC" w:sz="4"/>
              <w:bottom w:val="single" w:color="CCCCCC" w:sz="4"/>
              <w:right w:val="single" w:color="CCCCCC" w:sz="4"/>
            </w:tcBorders>
            <w:shd w:fill="FEFBD8" w:val="clear"/>
            <w:tcMar>
              <w:top w:type="dxa" w:w="80"/>
              <w:left w:type="dxa" w:w="120"/>
              <w:bottom w:type="dxa" w:w="80"/>
              <w:right w:type="dxa" w:w="120"/>
            </w:tcMar>
            <w:vAlign w:val="center"/>
          </w:tcPr>
          <w:p>
            <w:pPr>
              <w:jc w:val="center"/>
            </w:pPr>
            <w:r>
              <w:rPr>
                <w:rFonts w:ascii="Arial" w:cs="Arial" w:eastAsia="Arial" w:hAnsi="Arial"/>
                <w:b/>
                <w:bCs/>
                <w:color w:val="B7950B"/>
                <w:sz w:val="17"/>
                <w:szCs w:val="17"/>
              </w:rPr>
              <w:t xml:space="preserve">MEDIUM</w:t>
            </w:r>
          </w:p>
        </w:tc>
        <w:tc>
          <w:tcPr>
            <w:tcW w:type="dxa" w:w="8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Network Engineer</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Implement VLAN segmentation; deploy internal IDS; review firewall rules quarterly</w:t>
            </w:r>
          </w:p>
        </w:tc>
        <w:tc>
          <w:tcPr>
            <w:tcW w:type="dxa" w:w="8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Planned – Due 90 days</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7"/>
                <w:szCs w:val="17"/>
              </w:rPr>
              <w:t xml:space="preserve">R-09</w:t>
            </w:r>
          </w:p>
        </w:tc>
        <w:tc>
          <w:tcPr>
            <w:tcW w:type="dxa" w:w="1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Security Logging / SIEM</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Undetected Intrusion</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Incomplete log coverage; no 24/7 alerting for critical events</w:t>
            </w:r>
          </w:p>
        </w:tc>
        <w:tc>
          <w:tcPr>
            <w:tcW w:type="dxa" w:w="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7"/>
                <w:szCs w:val="17"/>
              </w:rPr>
              <w:t xml:space="preserve">3</w:t>
            </w:r>
          </w:p>
        </w:tc>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7"/>
                <w:szCs w:val="17"/>
              </w:rPr>
              <w:t xml:space="preserve">3</w:t>
            </w:r>
          </w:p>
        </w:tc>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7"/>
                <w:szCs w:val="17"/>
              </w:rPr>
              <w:t xml:space="preserve">9</w:t>
            </w:r>
          </w:p>
        </w:tc>
        <w:tc>
          <w:tcPr>
            <w:tcW w:type="dxa" w:w="680"/>
            <w:tcBorders>
              <w:top w:val="single" w:color="CCCCCC" w:sz="4"/>
              <w:left w:val="single" w:color="CCCCCC" w:sz="4"/>
              <w:bottom w:val="single" w:color="CCCCCC" w:sz="4"/>
              <w:right w:val="single" w:color="CCCCCC" w:sz="4"/>
            </w:tcBorders>
            <w:shd w:fill="FEFBD8" w:val="clear"/>
            <w:tcMar>
              <w:top w:type="dxa" w:w="80"/>
              <w:left w:type="dxa" w:w="120"/>
              <w:bottom w:type="dxa" w:w="80"/>
              <w:right w:type="dxa" w:w="120"/>
            </w:tcMar>
            <w:vAlign w:val="center"/>
          </w:tcPr>
          <w:p>
            <w:pPr>
              <w:jc w:val="center"/>
            </w:pPr>
            <w:r>
              <w:rPr>
                <w:rFonts w:ascii="Arial" w:cs="Arial" w:eastAsia="Arial" w:hAnsi="Arial"/>
                <w:b/>
                <w:bCs/>
                <w:color w:val="B7950B"/>
                <w:sz w:val="17"/>
                <w:szCs w:val="17"/>
              </w:rPr>
              <w:t xml:space="preserve">MEDIUM</w:t>
            </w:r>
          </w:p>
        </w:tc>
        <w:tc>
          <w:tcPr>
            <w:tcW w:type="dxa" w:w="8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IT Security Lead</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Expand SIEM log sources; configure critical event alerting; review alert thresholds</w:t>
            </w:r>
          </w:p>
        </w:tc>
        <w:tc>
          <w:tcPr>
            <w:tcW w:type="dxa" w:w="8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Planned – Due 90 days</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7"/>
                <w:szCs w:val="17"/>
              </w:rPr>
              <w:t xml:space="preserve">R-10</w:t>
            </w:r>
          </w:p>
        </w:tc>
        <w:tc>
          <w:tcPr>
            <w:tcW w:type="dxa" w:w="1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Physical Office Access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Unauthorized Physical Access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Visitor log not maintained consistently; tailgating observed</w:t>
            </w:r>
          </w:p>
        </w:tc>
        <w:tc>
          <w:tcPr>
            <w:tcW w:type="dxa" w:w="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7"/>
                <w:szCs w:val="17"/>
              </w:rPr>
              <w:t xml:space="preserve">2</w:t>
            </w:r>
          </w:p>
        </w:tc>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7"/>
                <w:szCs w:val="17"/>
              </w:rPr>
              <w:t xml:space="preserve">2</w:t>
            </w:r>
          </w:p>
        </w:tc>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7"/>
                <w:szCs w:val="17"/>
              </w:rPr>
              <w:t xml:space="preserve">4</w:t>
            </w:r>
          </w:p>
        </w:tc>
        <w:tc>
          <w:tcPr>
            <w:tcW w:type="dxa" w:w="680"/>
            <w:tcBorders>
              <w:top w:val="single" w:color="CCCCCC" w:sz="4"/>
              <w:left w:val="single" w:color="CCCCCC" w:sz="4"/>
              <w:bottom w:val="single" w:color="CCCCCC" w:sz="4"/>
              <w:right w:val="single" w:color="CCCCCC" w:sz="4"/>
            </w:tcBorders>
            <w:shd w:fill="E9F7EF" w:val="clear"/>
            <w:tcMar>
              <w:top w:type="dxa" w:w="80"/>
              <w:left w:type="dxa" w:w="120"/>
              <w:bottom w:type="dxa" w:w="80"/>
              <w:right w:type="dxa" w:w="120"/>
            </w:tcMar>
            <w:vAlign w:val="center"/>
          </w:tcPr>
          <w:p>
            <w:pPr>
              <w:jc w:val="center"/>
            </w:pPr>
            <w:r>
              <w:rPr>
                <w:rFonts w:ascii="Arial" w:cs="Arial" w:eastAsia="Arial" w:hAnsi="Arial"/>
                <w:b/>
                <w:bCs/>
                <w:color w:val="1E8449"/>
                <w:sz w:val="17"/>
                <w:szCs w:val="17"/>
              </w:rPr>
              <w:t xml:space="preserve">LOW</w:t>
            </w:r>
          </w:p>
        </w:tc>
        <w:tc>
          <w:tcPr>
            <w:tcW w:type="dxa" w:w="8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Facilities Manager</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Implement electronic visitor log; conduct physical security awareness training</w:t>
            </w:r>
          </w:p>
        </w:tc>
        <w:tc>
          <w:tcPr>
            <w:tcW w:type="dxa" w:w="8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Monitor</w:t>
            </w:r>
          </w:p>
        </w:tc>
      </w:tr>
    </w:tbl>
    <w:p>
      <w:pPr>
        <w:spacing w:before="80" w:after="80"/>
      </w:pPr>
      <w:r>
        <w:t xml:space="preserve"/>
      </w:r>
    </w:p>
    <w:p>
      <w:r>
        <w:br w:type="page"/>
      </w:r>
    </w:p>
    <w:p>
      <w:pPr>
        <w:pBdr>
          <w:bottom w:val="single" w:color="1B2A4A" w:sz="8" w:space="2"/>
        </w:pBdr>
        <w:spacing w:before="320" w:after="100"/>
      </w:pPr>
      <w:r>
        <w:rPr>
          <w:rFonts w:ascii="Arial" w:cs="Arial" w:eastAsia="Arial" w:hAnsi="Arial"/>
          <w:b/>
          <w:bCs/>
          <w:color w:val="1B2A4A"/>
          <w:sz w:val="24"/>
          <w:szCs w:val="24"/>
        </w:rPr>
        <w:t xml:space="preserve">5. NIST CSF CONTROL GAP ANALYSIS</w:t>
      </w:r>
    </w:p>
    <w:p>
      <w:pPr>
        <w:spacing w:before="60" w:after="60"/>
      </w:pPr>
      <w:r>
        <w:rPr>
          <w:rFonts w:ascii="Arial" w:cs="Arial" w:eastAsia="Arial" w:hAnsi="Arial"/>
          <w:b w:val="false"/>
          <w:bCs w:val="false"/>
          <w:i w:val="false"/>
          <w:iCs w:val="false"/>
          <w:color w:val="222222"/>
          <w:sz w:val="19"/>
          <w:szCs w:val="19"/>
        </w:rPr>
        <w:t xml:space="preserve">The following table maps identified risks to NIST CSF core functions and subcategories, identifying current control gaps and recommended improvements.</w:t>
      </w:r>
    </w:p>
    <w:p>
      <w:pPr>
        <w:spacing w:before="80" w:after="80"/>
      </w:pPr>
      <w:r>
        <w:t xml:space="preserve"/>
      </w:r>
    </w:p>
    <w:tbl>
      <w:tblPr>
        <w:tblW w:type="dxa" w:w="13560"/>
        <w:tblBorders>
          <w:top w:val="single" w:color="auto" w:sz="4"/>
          <w:left w:val="single" w:color="auto" w:sz="4"/>
          <w:bottom w:val="single" w:color="auto" w:sz="4"/>
          <w:right w:val="single" w:color="auto" w:sz="4"/>
          <w:insideH w:val="single" w:color="auto" w:sz="4"/>
          <w:insideV w:val="single" w:color="auto" w:sz="4"/>
        </w:tblBorders>
      </w:tblPr>
      <w:tblGrid>
        <w:gridCol w:w="720"/>
        <w:gridCol w:w="1440"/>
        <w:gridCol w:w="2000"/>
        <w:gridCol w:w="2000"/>
        <w:gridCol w:w="2000"/>
        <w:gridCol w:w="1400"/>
      </w:tblGrid>
      <w:tr>
        <w:tc>
          <w:tcPr>
            <w:tcW w:type="dxa" w:w="720"/>
            <w:tcBorders>
              <w:top w:val="single" w:color="AAAAAA" w:sz="4"/>
              <w:left w:val="single" w:color="AAAAAA" w:sz="4"/>
              <w:bottom w:val="single" w:color="AAAAAA" w:sz="4"/>
              <w:right w:val="single" w:color="AAAAAA" w:sz="4"/>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Risk ID</w:t>
            </w:r>
          </w:p>
        </w:tc>
        <w:tc>
          <w:tcPr>
            <w:tcW w:type="dxa" w:w="1440"/>
            <w:tcBorders>
              <w:top w:val="single" w:color="AAAAAA" w:sz="4"/>
              <w:left w:val="single" w:color="AAAAAA" w:sz="4"/>
              <w:bottom w:val="single" w:color="AAAAAA" w:sz="4"/>
              <w:right w:val="single" w:color="AAAAAA" w:sz="4"/>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NIST CSF Function</w:t>
            </w:r>
          </w:p>
        </w:tc>
        <w:tc>
          <w:tcPr>
            <w:tcW w:type="dxa" w:w="2000"/>
            <w:tcBorders>
              <w:top w:val="single" w:color="AAAAAA" w:sz="4"/>
              <w:left w:val="single" w:color="AAAAAA" w:sz="4"/>
              <w:bottom w:val="single" w:color="AAAAAA" w:sz="4"/>
              <w:right w:val="single" w:color="AAAAAA" w:sz="4"/>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Subcategory</w:t>
            </w:r>
          </w:p>
        </w:tc>
        <w:tc>
          <w:tcPr>
            <w:tcW w:type="dxa" w:w="2000"/>
            <w:tcBorders>
              <w:top w:val="single" w:color="AAAAAA" w:sz="4"/>
              <w:left w:val="single" w:color="AAAAAA" w:sz="4"/>
              <w:bottom w:val="single" w:color="AAAAAA" w:sz="4"/>
              <w:right w:val="single" w:color="AAAAAA" w:sz="4"/>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Current State</w:t>
            </w:r>
          </w:p>
        </w:tc>
        <w:tc>
          <w:tcPr>
            <w:tcW w:type="dxa" w:w="2000"/>
            <w:tcBorders>
              <w:top w:val="single" w:color="AAAAAA" w:sz="4"/>
              <w:left w:val="single" w:color="AAAAAA" w:sz="4"/>
              <w:bottom w:val="single" w:color="AAAAAA" w:sz="4"/>
              <w:right w:val="single" w:color="AAAAAA" w:sz="4"/>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Desired State</w:t>
            </w:r>
          </w:p>
        </w:tc>
        <w:tc>
          <w:tcPr>
            <w:tcW w:type="dxa" w:w="1400"/>
            <w:tcBorders>
              <w:top w:val="single" w:color="AAAAAA" w:sz="4"/>
              <w:left w:val="single" w:color="AAAAAA" w:sz="4"/>
              <w:bottom w:val="single" w:color="AAAAAA" w:sz="4"/>
              <w:right w:val="single" w:color="AAAAAA" w:sz="4"/>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Gap</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R-01</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PROTECT (PR)</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PR.DS-1: Data-at-rest protection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No encryption enforced on PII database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AES-256 encryption on all data at rest</w:t>
            </w:r>
          </w:p>
        </w:tc>
        <w:tc>
          <w:tcPr>
            <w:tcW w:type="dxa" w:w="1400"/>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HIGH GAP</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R-02</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PROTECT (PR)</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PR.AC-4: Access permissions managed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No PAM; excessive admin privileges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PAM solution deployed; least privilege enforced</w:t>
            </w:r>
          </w:p>
        </w:tc>
        <w:tc>
          <w:tcPr>
            <w:tcW w:type="dxa" w:w="1400"/>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HIGH GAP</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R-03</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PROTECT (PR)</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PR.AC-7: Users authenticated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MFA not enforced for all remote users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MFA enforced for 100% of remote access</w:t>
            </w:r>
          </w:p>
        </w:tc>
        <w:tc>
          <w:tcPr>
            <w:tcW w:type="dxa" w:w="1400"/>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HIGH GAP</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R-04</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PROTECT (PR)</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PR.IP-12: Vulnerability management plan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Inconsistent patching; partial EDR coverage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100% EDR; monthly patching enforced</w:t>
            </w:r>
          </w:p>
        </w:tc>
        <w:tc>
          <w:tcPr>
            <w:tcW w:type="dxa" w:w="1400"/>
            <w:tcBorders>
              <w:top w:val="single" w:color="CCCCCC" w:sz="4"/>
              <w:left w:val="single" w:color="CCCCCC" w:sz="4"/>
              <w:bottom w:val="single" w:color="CCCCCC" w:sz="4"/>
              <w:right w:val="single" w:color="CCCCCC" w:sz="4"/>
            </w:tcBorders>
            <w:shd w:fill="FEF3E2" w:val="clear"/>
            <w:tcMar>
              <w:top w:type="dxa" w:w="80"/>
              <w:left w:type="dxa" w:w="120"/>
              <w:bottom w:type="dxa" w:w="80"/>
              <w:right w:type="dxa" w:w="120"/>
            </w:tcMar>
            <w:vAlign w:val="center"/>
          </w:tcPr>
          <w:p>
            <w:pPr>
              <w:jc w:val="center"/>
            </w:pPr>
            <w:r>
              <w:rPr>
                <w:rFonts w:ascii="Arial" w:cs="Arial" w:eastAsia="Arial" w:hAnsi="Arial"/>
                <w:b/>
                <w:bCs/>
                <w:color w:val="D35400"/>
                <w:sz w:val="18"/>
                <w:szCs w:val="18"/>
              </w:rPr>
              <w:t xml:space="preserve">MEDIUM GAP</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R-05</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IDENTIFY (ID)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ID.AM-3: Organizational communication mapped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No CSPM; S3 buckets misconfigured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CSPM deployed; configs reviewed quarterly</w:t>
            </w:r>
          </w:p>
        </w:tc>
        <w:tc>
          <w:tcPr>
            <w:tcW w:type="dxa" w:w="1400"/>
            <w:tcBorders>
              <w:top w:val="single" w:color="CCCCCC" w:sz="4"/>
              <w:left w:val="single" w:color="CCCCCC" w:sz="4"/>
              <w:bottom w:val="single" w:color="CCCCCC" w:sz="4"/>
              <w:right w:val="single" w:color="CCCCCC" w:sz="4"/>
            </w:tcBorders>
            <w:shd w:fill="FEF3E2" w:val="clear"/>
            <w:tcMar>
              <w:top w:type="dxa" w:w="80"/>
              <w:left w:type="dxa" w:w="120"/>
              <w:bottom w:type="dxa" w:w="80"/>
              <w:right w:type="dxa" w:w="120"/>
            </w:tcMar>
            <w:vAlign w:val="center"/>
          </w:tcPr>
          <w:p>
            <w:pPr>
              <w:jc w:val="center"/>
            </w:pPr>
            <w:r>
              <w:rPr>
                <w:rFonts w:ascii="Arial" w:cs="Arial" w:eastAsia="Arial" w:hAnsi="Arial"/>
                <w:b/>
                <w:bCs/>
                <w:color w:val="D35400"/>
                <w:sz w:val="18"/>
                <w:szCs w:val="18"/>
              </w:rPr>
              <w:t xml:space="preserve">MEDIUM GAP</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R-06</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IDENTIFY (ID)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ID.SC-2: Suppliers assessed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No vendor risk assessments conducted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Annual vendor assessments; TPRM program</w:t>
            </w:r>
          </w:p>
        </w:tc>
        <w:tc>
          <w:tcPr>
            <w:tcW w:type="dxa" w:w="1400"/>
            <w:tcBorders>
              <w:top w:val="single" w:color="CCCCCC" w:sz="4"/>
              <w:left w:val="single" w:color="CCCCCC" w:sz="4"/>
              <w:bottom w:val="single" w:color="CCCCCC" w:sz="4"/>
              <w:right w:val="single" w:color="CCCCCC" w:sz="4"/>
            </w:tcBorders>
            <w:shd w:fill="FEF3E2" w:val="clear"/>
            <w:tcMar>
              <w:top w:type="dxa" w:w="80"/>
              <w:left w:type="dxa" w:w="120"/>
              <w:bottom w:type="dxa" w:w="80"/>
              <w:right w:type="dxa" w:w="120"/>
            </w:tcMar>
            <w:vAlign w:val="center"/>
          </w:tcPr>
          <w:p>
            <w:pPr>
              <w:jc w:val="center"/>
            </w:pPr>
            <w:r>
              <w:rPr>
                <w:rFonts w:ascii="Arial" w:cs="Arial" w:eastAsia="Arial" w:hAnsi="Arial"/>
                <w:b/>
                <w:bCs/>
                <w:color w:val="D35400"/>
                <w:sz w:val="18"/>
                <w:szCs w:val="18"/>
              </w:rPr>
              <w:t xml:space="preserve">MEDIUM GAP</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R-07</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PROTECT (PR)</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PR.AT-1: All users informed and trained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No DMARC; limited security awareness training</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DMARC enforced; quarterly SAT for all staff</w:t>
            </w:r>
          </w:p>
        </w:tc>
        <w:tc>
          <w:tcPr>
            <w:tcW w:type="dxa" w:w="1400"/>
            <w:tcBorders>
              <w:top w:val="single" w:color="CCCCCC" w:sz="4"/>
              <w:left w:val="single" w:color="CCCCCC" w:sz="4"/>
              <w:bottom w:val="single" w:color="CCCCCC" w:sz="4"/>
              <w:right w:val="single" w:color="CCCCCC" w:sz="4"/>
            </w:tcBorders>
            <w:shd w:fill="FEF3E2" w:val="clear"/>
            <w:tcMar>
              <w:top w:type="dxa" w:w="80"/>
              <w:left w:type="dxa" w:w="120"/>
              <w:bottom w:type="dxa" w:w="80"/>
              <w:right w:type="dxa" w:w="120"/>
            </w:tcMar>
            <w:vAlign w:val="center"/>
          </w:tcPr>
          <w:p>
            <w:pPr>
              <w:jc w:val="center"/>
            </w:pPr>
            <w:r>
              <w:rPr>
                <w:rFonts w:ascii="Arial" w:cs="Arial" w:eastAsia="Arial" w:hAnsi="Arial"/>
                <w:b/>
                <w:bCs/>
                <w:color w:val="D35400"/>
                <w:sz w:val="18"/>
                <w:szCs w:val="18"/>
              </w:rPr>
              <w:t xml:space="preserve">MEDIUM GAP</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R-08</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PROTECT (PR)</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PR.AC-5: Network integrity protected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Flat network; no segmentation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VLAN segmentation; internal IDS deployed</w:t>
            </w:r>
          </w:p>
        </w:tc>
        <w:tc>
          <w:tcPr>
            <w:tcW w:type="dxa" w:w="1400"/>
            <w:tcBorders>
              <w:top w:val="single" w:color="CCCCCC" w:sz="4"/>
              <w:left w:val="single" w:color="CCCCCC" w:sz="4"/>
              <w:bottom w:val="single" w:color="CCCCCC" w:sz="4"/>
              <w:right w:val="single" w:color="CCCCCC" w:sz="4"/>
            </w:tcBorders>
            <w:shd w:fill="FEFBD8" w:val="clear"/>
            <w:tcMar>
              <w:top w:type="dxa" w:w="80"/>
              <w:left w:type="dxa" w:w="120"/>
              <w:bottom w:type="dxa" w:w="80"/>
              <w:right w:type="dxa" w:w="120"/>
            </w:tcMar>
            <w:vAlign w:val="center"/>
          </w:tcPr>
          <w:p>
            <w:pPr>
              <w:jc w:val="center"/>
            </w:pPr>
            <w:r>
              <w:rPr>
                <w:rFonts w:ascii="Arial" w:cs="Arial" w:eastAsia="Arial" w:hAnsi="Arial"/>
                <w:b/>
                <w:bCs/>
                <w:color w:val="B7950B"/>
                <w:sz w:val="18"/>
                <w:szCs w:val="18"/>
              </w:rPr>
              <w:t xml:space="preserve">LOW GAP</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R-09</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DETECT (DE)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DE.CM-1: Network monitored for events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Incomplete SIEM coverage; no 24/7 alerting</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Full SIEM coverage; automated critical alerts</w:t>
            </w:r>
          </w:p>
        </w:tc>
        <w:tc>
          <w:tcPr>
            <w:tcW w:type="dxa" w:w="1400"/>
            <w:tcBorders>
              <w:top w:val="single" w:color="CCCCCC" w:sz="4"/>
              <w:left w:val="single" w:color="CCCCCC" w:sz="4"/>
              <w:bottom w:val="single" w:color="CCCCCC" w:sz="4"/>
              <w:right w:val="single" w:color="CCCCCC" w:sz="4"/>
            </w:tcBorders>
            <w:shd w:fill="FEFBD8" w:val="clear"/>
            <w:tcMar>
              <w:top w:type="dxa" w:w="80"/>
              <w:left w:type="dxa" w:w="120"/>
              <w:bottom w:type="dxa" w:w="80"/>
              <w:right w:type="dxa" w:w="120"/>
            </w:tcMar>
            <w:vAlign w:val="center"/>
          </w:tcPr>
          <w:p>
            <w:pPr>
              <w:jc w:val="center"/>
            </w:pPr>
            <w:r>
              <w:rPr>
                <w:rFonts w:ascii="Arial" w:cs="Arial" w:eastAsia="Arial" w:hAnsi="Arial"/>
                <w:b/>
                <w:bCs/>
                <w:color w:val="B7950B"/>
                <w:sz w:val="18"/>
                <w:szCs w:val="18"/>
              </w:rPr>
              <w:t xml:space="preserve">LOW GAP</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R-10</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PROTECT (PR)</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PR.AC-2: Physical access managed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Visitor log inconsistently maintained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Electronic visitor log; physical SAT</w:t>
            </w:r>
          </w:p>
        </w:tc>
        <w:tc>
          <w:tcPr>
            <w:tcW w:type="dxa" w:w="1400"/>
            <w:tcBorders>
              <w:top w:val="single" w:color="CCCCCC" w:sz="4"/>
              <w:left w:val="single" w:color="CCCCCC" w:sz="4"/>
              <w:bottom w:val="single" w:color="CCCCCC" w:sz="4"/>
              <w:right w:val="single" w:color="CCCCCC" w:sz="4"/>
            </w:tcBorders>
            <w:shd w:fill="E9F7EF" w:val="clear"/>
            <w:tcMar>
              <w:top w:type="dxa" w:w="80"/>
              <w:left w:type="dxa" w:w="120"/>
              <w:bottom w:type="dxa" w:w="80"/>
              <w:right w:type="dxa" w:w="120"/>
            </w:tcMar>
            <w:vAlign w:val="center"/>
          </w:tcPr>
          <w:p>
            <w:pPr>
              <w:jc w:val="center"/>
            </w:pPr>
            <w:r>
              <w:rPr>
                <w:rFonts w:ascii="Arial" w:cs="Arial" w:eastAsia="Arial" w:hAnsi="Arial"/>
                <w:b/>
                <w:bCs/>
                <w:color w:val="1E8449"/>
                <w:sz w:val="18"/>
                <w:szCs w:val="18"/>
              </w:rPr>
              <w:t xml:space="preserve">LOW GAP</w:t>
            </w:r>
          </w:p>
        </w:tc>
      </w:tr>
    </w:tbl>
    <w:p>
      <w:pPr>
        <w:spacing w:before="80" w:after="80"/>
      </w:pPr>
      <w:r>
        <w:t xml:space="preserve"/>
      </w:r>
    </w:p>
    <w:p>
      <w:r>
        <w:br w:type="page"/>
      </w:r>
    </w:p>
    <w:p>
      <w:pPr>
        <w:pBdr>
          <w:bottom w:val="single" w:color="1B2A4A" w:sz="8" w:space="2"/>
        </w:pBdr>
        <w:spacing w:before="320" w:after="100"/>
      </w:pPr>
      <w:r>
        <w:rPr>
          <w:rFonts w:ascii="Arial" w:cs="Arial" w:eastAsia="Arial" w:hAnsi="Arial"/>
          <w:b/>
          <w:bCs/>
          <w:color w:val="1B2A4A"/>
          <w:sz w:val="24"/>
          <w:szCs w:val="24"/>
        </w:rPr>
        <w:t xml:space="preserve">6. RISK TREATMENT PLAN &amp; RECOMMENDATIONS</w:t>
      </w:r>
    </w:p>
    <w:p>
      <w:pPr>
        <w:spacing w:before="60" w:after="60"/>
      </w:pPr>
      <w:r>
        <w:rPr>
          <w:rFonts w:ascii="Arial" w:cs="Arial" w:eastAsia="Arial" w:hAnsi="Arial"/>
          <w:b w:val="false"/>
          <w:bCs w:val="false"/>
          <w:i w:val="false"/>
          <w:iCs w:val="false"/>
          <w:color w:val="222222"/>
          <w:sz w:val="19"/>
          <w:szCs w:val="19"/>
        </w:rPr>
        <w:t xml:space="preserve">Based on the risk register, the following treatment plan prioritizes remediation actions by risk rating. All critical risks require immediate executive attention and resource allocation.</w:t>
      </w:r>
    </w:p>
    <w:p>
      <w:pPr>
        <w:spacing w:before="80" w:after="80"/>
      </w:pPr>
      <w:r>
        <w:t xml:space="preserve"/>
      </w:r>
    </w:p>
    <w:p>
      <w:pPr>
        <w:spacing w:before="200" w:after="80"/>
      </w:pPr>
      <w:r>
        <w:rPr>
          <w:rFonts w:ascii="Arial" w:cs="Arial" w:eastAsia="Arial" w:hAnsi="Arial"/>
          <w:b/>
          <w:bCs/>
          <w:color w:val="2E5E9E"/>
          <w:sz w:val="21"/>
          <w:szCs w:val="21"/>
        </w:rPr>
        <w:t xml:space="preserve">6.1 Immediate Actions (Critical – Within 30 Days)</w:t>
      </w:r>
    </w:p>
    <w:p>
      <w:pPr>
        <w:pStyle w:val="ListParagraph"/>
        <w:numPr>
          <w:ilvl w:val="0"/>
          <w:numId w:val="2"/>
        </w:numPr>
        <w:spacing w:before="40" w:after="40"/>
      </w:pPr>
      <w:r>
        <w:rPr>
          <w:rFonts w:ascii="Arial" w:cs="Arial" w:eastAsia="Arial" w:hAnsi="Arial"/>
          <w:color w:val="222222"/>
          <w:sz w:val="19"/>
          <w:szCs w:val="19"/>
        </w:rPr>
        <w:t xml:space="preserve">R-01: Engage database administrator to implement AES-256 encryption on all PII databases. Establish monthly backup testing schedule and document results for SOC 2 evidence.</w:t>
      </w:r>
    </w:p>
    <w:p>
      <w:pPr>
        <w:pStyle w:val="ListParagraph"/>
        <w:numPr>
          <w:ilvl w:val="0"/>
          <w:numId w:val="2"/>
        </w:numPr>
        <w:spacing w:before="40" w:after="40"/>
      </w:pPr>
      <w:r>
        <w:rPr>
          <w:rFonts w:ascii="Arial" w:cs="Arial" w:eastAsia="Arial" w:hAnsi="Arial"/>
          <w:color w:val="222222"/>
          <w:sz w:val="19"/>
          <w:szCs w:val="19"/>
        </w:rPr>
        <w:t xml:space="preserve">R-02: Procure and deploy a Privileged Access Management (PAM) solution. Conduct an immediate access review to identify and remove excessive admin privileges across all systems.</w:t>
      </w:r>
    </w:p>
    <w:p>
      <w:pPr>
        <w:pStyle w:val="ListParagraph"/>
        <w:numPr>
          <w:ilvl w:val="0"/>
          <w:numId w:val="2"/>
        </w:numPr>
        <w:spacing w:before="40" w:after="40"/>
      </w:pPr>
      <w:r>
        <w:rPr>
          <w:rFonts w:ascii="Arial" w:cs="Arial" w:eastAsia="Arial" w:hAnsi="Arial"/>
          <w:color w:val="222222"/>
          <w:sz w:val="19"/>
          <w:szCs w:val="19"/>
        </w:rPr>
        <w:t xml:space="preserve">R-03: Enforce MFA across 100% of remote access points including VPN, M365, and cloud consoles. Exceptions require documented business justification and CISO approval.</w:t>
      </w:r>
    </w:p>
    <w:p>
      <w:pPr>
        <w:spacing w:before="80" w:after="80"/>
      </w:pPr>
      <w:r>
        <w:t xml:space="preserve"/>
      </w:r>
    </w:p>
    <w:p>
      <w:pPr>
        <w:spacing w:before="200" w:after="80"/>
      </w:pPr>
      <w:r>
        <w:rPr>
          <w:rFonts w:ascii="Arial" w:cs="Arial" w:eastAsia="Arial" w:hAnsi="Arial"/>
          <w:b/>
          <w:bCs/>
          <w:color w:val="2E5E9E"/>
          <w:sz w:val="21"/>
          <w:szCs w:val="21"/>
        </w:rPr>
        <w:t xml:space="preserve">6.2 Short-Term Actions (High – Within 60 Days)</w:t>
      </w:r>
    </w:p>
    <w:p>
      <w:pPr>
        <w:pStyle w:val="ListParagraph"/>
        <w:numPr>
          <w:ilvl w:val="0"/>
          <w:numId w:val="2"/>
        </w:numPr>
        <w:spacing w:before="40" w:after="40"/>
      </w:pPr>
      <w:r>
        <w:rPr>
          <w:rFonts w:ascii="Arial" w:cs="Arial" w:eastAsia="Arial" w:hAnsi="Arial"/>
          <w:color w:val="222222"/>
          <w:sz w:val="19"/>
          <w:szCs w:val="19"/>
        </w:rPr>
        <w:t xml:space="preserve">R-04: Deploy EDR agent to remaining 20% of unprotected endpoints via Intune. Establish enforced monthly patch compliance reporting with exceptions tracked in risk register.</w:t>
      </w:r>
    </w:p>
    <w:p>
      <w:pPr>
        <w:pStyle w:val="ListParagraph"/>
        <w:numPr>
          <w:ilvl w:val="0"/>
          <w:numId w:val="2"/>
        </w:numPr>
        <w:spacing w:before="40" w:after="40"/>
      </w:pPr>
      <w:r>
        <w:rPr>
          <w:rFonts w:ascii="Arial" w:cs="Arial" w:eastAsia="Arial" w:hAnsi="Arial"/>
          <w:color w:val="222222"/>
          <w:sz w:val="19"/>
          <w:szCs w:val="19"/>
        </w:rPr>
        <w:t xml:space="preserve">R-05: Enable S3 Block Public Access organization-wide in AWS. Deploy Cloud Security Posture Management (CSPM) tooling and establish quarterly configuration review process.</w:t>
      </w:r>
    </w:p>
    <w:p>
      <w:pPr>
        <w:pStyle w:val="ListParagraph"/>
        <w:numPr>
          <w:ilvl w:val="0"/>
          <w:numId w:val="2"/>
        </w:numPr>
        <w:spacing w:before="40" w:after="40"/>
      </w:pPr>
      <w:r>
        <w:rPr>
          <w:rFonts w:ascii="Arial" w:cs="Arial" w:eastAsia="Arial" w:hAnsi="Arial"/>
          <w:color w:val="222222"/>
          <w:sz w:val="19"/>
          <w:szCs w:val="19"/>
        </w:rPr>
        <w:t xml:space="preserve">R-06: Develop and implement a Third-Party Risk Management (TPRM) program. Conduct initial security assessments of top 10 vendors by data access level.</w:t>
      </w:r>
    </w:p>
    <w:p>
      <w:pPr>
        <w:pStyle w:val="ListParagraph"/>
        <w:numPr>
          <w:ilvl w:val="0"/>
          <w:numId w:val="2"/>
        </w:numPr>
        <w:spacing w:before="40" w:after="40"/>
      </w:pPr>
      <w:r>
        <w:rPr>
          <w:rFonts w:ascii="Arial" w:cs="Arial" w:eastAsia="Arial" w:hAnsi="Arial"/>
          <w:color w:val="222222"/>
          <w:sz w:val="19"/>
          <w:szCs w:val="19"/>
        </w:rPr>
        <w:t xml:space="preserve">R-07: Enforce DMARC, DKIM, and SPF for all company email domains. Launch mandatory security awareness training and quarterly phishing simulation program.</w:t>
      </w:r>
    </w:p>
    <w:p>
      <w:pPr>
        <w:spacing w:before="80" w:after="80"/>
      </w:pPr>
      <w:r>
        <w:t xml:space="preserve"/>
      </w:r>
    </w:p>
    <w:p>
      <w:pPr>
        <w:spacing w:before="200" w:after="80"/>
      </w:pPr>
      <w:r>
        <w:rPr>
          <w:rFonts w:ascii="Arial" w:cs="Arial" w:eastAsia="Arial" w:hAnsi="Arial"/>
          <w:b/>
          <w:bCs/>
          <w:color w:val="2E5E9E"/>
          <w:sz w:val="21"/>
          <w:szCs w:val="21"/>
        </w:rPr>
        <w:t xml:space="preserve">6.3 Medium-Term Actions (Medium – Within 90 Days)</w:t>
      </w:r>
    </w:p>
    <w:p>
      <w:pPr>
        <w:pStyle w:val="ListParagraph"/>
        <w:numPr>
          <w:ilvl w:val="0"/>
          <w:numId w:val="2"/>
        </w:numPr>
        <w:spacing w:before="40" w:after="40"/>
      </w:pPr>
      <w:r>
        <w:rPr>
          <w:rFonts w:ascii="Arial" w:cs="Arial" w:eastAsia="Arial" w:hAnsi="Arial"/>
          <w:color w:val="222222"/>
          <w:sz w:val="19"/>
          <w:szCs w:val="19"/>
        </w:rPr>
        <w:t xml:space="preserve">R-08: Design and implement network segmentation using VLANs to isolate critical systems. Deploy internal intrusion detection and establish firewall rule review process.</w:t>
      </w:r>
    </w:p>
    <w:p>
      <w:pPr>
        <w:pStyle w:val="ListParagraph"/>
        <w:numPr>
          <w:ilvl w:val="0"/>
          <w:numId w:val="2"/>
        </w:numPr>
        <w:spacing w:before="40" w:after="40"/>
      </w:pPr>
      <w:r>
        <w:rPr>
          <w:rFonts w:ascii="Arial" w:cs="Arial" w:eastAsia="Arial" w:hAnsi="Arial"/>
          <w:color w:val="222222"/>
          <w:sz w:val="19"/>
          <w:szCs w:val="19"/>
        </w:rPr>
        <w:t xml:space="preserve">R-09: Expand SIEM log source coverage to include all critical systems. Configure automated alerting for high-priority events and establish 24/7 on-call escalation procedures.</w:t>
      </w:r>
    </w:p>
    <w:p>
      <w:pPr>
        <w:spacing w:before="80" w:after="80"/>
      </w:pPr>
      <w:r>
        <w:t xml:space="preserve"/>
      </w:r>
    </w:p>
    <w:p>
      <w:pPr>
        <w:spacing w:before="200" w:after="80"/>
      </w:pPr>
      <w:r>
        <w:rPr>
          <w:rFonts w:ascii="Arial" w:cs="Arial" w:eastAsia="Arial" w:hAnsi="Arial"/>
          <w:b/>
          <w:bCs/>
          <w:color w:val="2E5E9E"/>
          <w:sz w:val="21"/>
          <w:szCs w:val="21"/>
        </w:rPr>
        <w:t xml:space="preserve">6.4 Ongoing Monitoring (Low)</w:t>
      </w:r>
    </w:p>
    <w:p>
      <w:pPr>
        <w:pStyle w:val="ListParagraph"/>
        <w:numPr>
          <w:ilvl w:val="0"/>
          <w:numId w:val="2"/>
        </w:numPr>
        <w:spacing w:before="40" w:after="40"/>
      </w:pPr>
      <w:r>
        <w:rPr>
          <w:rFonts w:ascii="Arial" w:cs="Arial" w:eastAsia="Arial" w:hAnsi="Arial"/>
          <w:color w:val="222222"/>
          <w:sz w:val="19"/>
          <w:szCs w:val="19"/>
        </w:rPr>
        <w:t xml:space="preserve">R-10: Implement electronic visitor management system. Add physical security to annual security awareness training curriculum.</w:t>
      </w:r>
    </w:p>
    <w:p>
      <w:pPr>
        <w:spacing w:before="80" w:after="80"/>
      </w:pPr>
      <w:r>
        <w:t xml:space="preserve"/>
      </w:r>
    </w:p>
    <w:p>
      <w:pPr>
        <w:pBdr>
          <w:bottom w:val="single" w:color="1B2A4A" w:sz="8" w:space="2"/>
        </w:pBdr>
        <w:spacing w:before="320" w:after="100"/>
      </w:pPr>
      <w:r>
        <w:rPr>
          <w:rFonts w:ascii="Arial" w:cs="Arial" w:eastAsia="Arial" w:hAnsi="Arial"/>
          <w:b/>
          <w:bCs/>
          <w:color w:val="1B2A4A"/>
          <w:sz w:val="24"/>
          <w:szCs w:val="24"/>
        </w:rPr>
        <w:t xml:space="preserve">7. RISK SUMMARY &amp; SIGN-OFF</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tblGrid>
      <w:tr>
        <w:tc>
          <w:tcPr>
            <w:tcW w:type="dxa" w:w="2000"/>
            <w:tcBorders>
              <w:top w:val="single" w:color="AAAAAA" w:sz="4"/>
              <w:left w:val="single" w:color="AAAAAA" w:sz="4"/>
              <w:bottom w:val="single" w:color="AAAAAA" w:sz="4"/>
              <w:right w:val="single" w:color="AAAAAA" w:sz="4"/>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Rating</w:t>
            </w:r>
          </w:p>
        </w:tc>
        <w:tc>
          <w:tcPr>
            <w:tcW w:type="dxa" w:w="1500"/>
            <w:tcBorders>
              <w:top w:val="single" w:color="AAAAAA" w:sz="4"/>
              <w:left w:val="single" w:color="AAAAAA" w:sz="4"/>
              <w:bottom w:val="single" w:color="AAAAAA" w:sz="4"/>
              <w:right w:val="single" w:color="AAAAAA" w:sz="4"/>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Count</w:t>
            </w:r>
          </w:p>
        </w:tc>
        <w:tc>
          <w:tcPr>
            <w:tcW w:type="dxa" w:w="1500"/>
            <w:tcBorders>
              <w:top w:val="single" w:color="AAAAAA" w:sz="4"/>
              <w:left w:val="single" w:color="AAAAAA" w:sz="4"/>
              <w:bottom w:val="single" w:color="AAAAAA" w:sz="4"/>
              <w:right w:val="single" w:color="AAAAAA" w:sz="4"/>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 of Total</w:t>
            </w:r>
          </w:p>
        </w:tc>
      </w:tr>
      <w:tr>
        <w:tc>
          <w:tcPr>
            <w:tcW w:type="dxa" w:w="2000"/>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center"/>
          </w:tcPr>
          <w:p>
            <w:pPr>
              <w:jc w:val="left"/>
            </w:pPr>
            <w:r>
              <w:rPr>
                <w:rFonts w:ascii="Arial" w:cs="Arial" w:eastAsia="Arial" w:hAnsi="Arial"/>
                <w:b/>
                <w:bCs/>
                <w:color w:val="C0392B"/>
                <w:sz w:val="18"/>
                <w:szCs w:val="18"/>
              </w:rPr>
              <w:t xml:space="preserve">Critical</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3</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30%</w:t>
            </w:r>
          </w:p>
        </w:tc>
      </w:tr>
      <w:tr>
        <w:tc>
          <w:tcPr>
            <w:tcW w:type="dxa" w:w="2000"/>
            <w:tcBorders>
              <w:top w:val="single" w:color="CCCCCC" w:sz="4"/>
              <w:left w:val="single" w:color="CCCCCC" w:sz="4"/>
              <w:bottom w:val="single" w:color="CCCCCC" w:sz="4"/>
              <w:right w:val="single" w:color="CCCCCC" w:sz="4"/>
            </w:tcBorders>
            <w:shd w:fill="FEF3E2" w:val="clear"/>
            <w:tcMar>
              <w:top w:type="dxa" w:w="80"/>
              <w:left w:type="dxa" w:w="120"/>
              <w:bottom w:type="dxa" w:w="80"/>
              <w:right w:type="dxa" w:w="120"/>
            </w:tcMar>
            <w:vAlign w:val="center"/>
          </w:tcPr>
          <w:p>
            <w:pPr>
              <w:jc w:val="left"/>
            </w:pPr>
            <w:r>
              <w:rPr>
                <w:rFonts w:ascii="Arial" w:cs="Arial" w:eastAsia="Arial" w:hAnsi="Arial"/>
                <w:b/>
                <w:bCs/>
                <w:color w:val="D35400"/>
                <w:sz w:val="18"/>
                <w:szCs w:val="18"/>
              </w:rPr>
              <w:t xml:space="preserve">High</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4</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40%</w:t>
            </w:r>
          </w:p>
        </w:tc>
      </w:tr>
      <w:tr>
        <w:tc>
          <w:tcPr>
            <w:tcW w:type="dxa" w:w="2000"/>
            <w:tcBorders>
              <w:top w:val="single" w:color="CCCCCC" w:sz="4"/>
              <w:left w:val="single" w:color="CCCCCC" w:sz="4"/>
              <w:bottom w:val="single" w:color="CCCCCC" w:sz="4"/>
              <w:right w:val="single" w:color="CCCCCC" w:sz="4"/>
            </w:tcBorders>
            <w:shd w:fill="FEFBD8" w:val="clear"/>
            <w:tcMar>
              <w:top w:type="dxa" w:w="80"/>
              <w:left w:type="dxa" w:w="120"/>
              <w:bottom w:type="dxa" w:w="80"/>
              <w:right w:type="dxa" w:w="120"/>
            </w:tcMar>
            <w:vAlign w:val="center"/>
          </w:tcPr>
          <w:p>
            <w:pPr>
              <w:jc w:val="left"/>
            </w:pPr>
            <w:r>
              <w:rPr>
                <w:rFonts w:ascii="Arial" w:cs="Arial" w:eastAsia="Arial" w:hAnsi="Arial"/>
                <w:b/>
                <w:bCs/>
                <w:color w:val="B7950B"/>
                <w:sz w:val="18"/>
                <w:szCs w:val="18"/>
              </w:rPr>
              <w:t xml:space="preserve">Medium</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2</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20%</w:t>
            </w:r>
          </w:p>
        </w:tc>
      </w:tr>
      <w:tr>
        <w:tc>
          <w:tcPr>
            <w:tcW w:type="dxa" w:w="2000"/>
            <w:tcBorders>
              <w:top w:val="single" w:color="CCCCCC" w:sz="4"/>
              <w:left w:val="single" w:color="CCCCCC" w:sz="4"/>
              <w:bottom w:val="single" w:color="CCCCCC" w:sz="4"/>
              <w:right w:val="single" w:color="CCCCCC" w:sz="4"/>
            </w:tcBorders>
            <w:shd w:fill="E9F7EF" w:val="clear"/>
            <w:tcMar>
              <w:top w:type="dxa" w:w="80"/>
              <w:left w:type="dxa" w:w="120"/>
              <w:bottom w:type="dxa" w:w="80"/>
              <w:right w:type="dxa" w:w="120"/>
            </w:tcMar>
            <w:vAlign w:val="center"/>
          </w:tcPr>
          <w:p>
            <w:pPr>
              <w:jc w:val="left"/>
            </w:pPr>
            <w:r>
              <w:rPr>
                <w:rFonts w:ascii="Arial" w:cs="Arial" w:eastAsia="Arial" w:hAnsi="Arial"/>
                <w:b/>
                <w:bCs/>
                <w:color w:val="1E8449"/>
                <w:sz w:val="18"/>
                <w:szCs w:val="18"/>
              </w:rPr>
              <w:t xml:space="preserve">Low</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1</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10%</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Total</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10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100%</w:t>
            </w:r>
          </w:p>
        </w:tc>
      </w:tr>
    </w:tbl>
    <w:p>
      <w:pPr>
        <w:spacing w:before="80" w:after="80"/>
      </w:pPr>
      <w:r>
        <w:t xml:space="preserve"/>
      </w:r>
    </w:p>
    <w:p>
      <w:pPr>
        <w:spacing w:before="60" w:after="60"/>
      </w:pPr>
      <w:r>
        <w:rPr>
          <w:rFonts w:ascii="Arial" w:cs="Arial" w:eastAsia="Arial" w:hAnsi="Arial"/>
          <w:b w:val="false"/>
          <w:bCs w:val="false"/>
          <w:i w:val="false"/>
          <w:iCs w:val="false"/>
          <w:color w:val="222222"/>
          <w:sz w:val="19"/>
          <w:szCs w:val="19"/>
        </w:rPr>
        <w:t xml:space="preserve">This risk assessment was prepared in accordance with NIST CSF v1.1 and reflects the current security posture of Acme Technologies, Inc. as of the assessment date. Risk owners are responsible for implementing recommended treatments within the specified timelines and reporting status updates to the GRC function monthly.</w:t>
      </w:r>
    </w:p>
    <w:p>
      <w:pPr>
        <w:spacing w:before="80" w:after="80"/>
      </w:pPr>
      <w:r>
        <w:t xml:space="preserve"/>
      </w:r>
    </w:p>
    <w:p>
      <w:pPr>
        <w:spacing w:before="60" w:after="60"/>
      </w:pPr>
      <w:r>
        <w:rPr>
          <w:rFonts w:ascii="Arial" w:cs="Arial" w:eastAsia="Arial" w:hAnsi="Arial"/>
          <w:b w:val="false"/>
          <w:bCs w:val="false"/>
          <w:i/>
          <w:iCs/>
          <w:color w:val="555555"/>
          <w:sz w:val="19"/>
          <w:szCs w:val="19"/>
        </w:rPr>
        <w:t xml:space="preserve">Next scheduled review: June 2026  |  Assessment prepared by: Kunj Patel, GRC Analyst  |  Approved by: Dunn Smith, CISO</w:t>
      </w:r>
    </w:p>
    <w:sectPr>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abstractNum w:abstractNumId="3" w15:restartNumberingAfterBreak="0">
    <w:multiLevelType w:val="hybridMultilevel"/>
    <w:lvl w:ilvl="0" w15:tentative="1">
      <w:start w:val="1"/>
      <w:numFmt w:val="decimal"/>
      <w:lvlText w:val="%1."/>
      <w:lvlJc w:val="left"/>
      <w:pPr>
        <w:ind w:left="4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2026-03-13T18:42:40.635Z</dcterms:created>
  <dcterms:modified xsi:type="dcterms:W3CDTF">2026-03-13T18:42:40.636Z</dcterms:modified>
</cp:coreProperties>
</file>

<file path=docProps/custom.xml><?xml version="1.0" encoding="utf-8"?>
<Properties xmlns="http://schemas.openxmlformats.org/officeDocument/2006/custom-properties" xmlns:vt="http://schemas.openxmlformats.org/officeDocument/2006/docPropsVTypes"/>
</file>