
<file path=[Content_Types].xml><?xml version="1.0" encoding="utf-8"?>
<Types xmlns="http://schemas.openxmlformats.org/package/2006/content-types">
  <Default Extension="xml" ContentType="application/xml"/>
  <Default Extension="docx" ContentType="application/vnd.openxmlformats-officedocument.wordprocessingml.document"/>
  <Default Extension="xlsx" ContentType="application/vnd.openxmlformats-officedocument.spreadsheetml.sheet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7"/>
        <w:tblpPr w:leftFromText="180" w:rightFromText="180" w:vertAnchor="page" w:horzAnchor="margin" w:tblpY="2073"/>
        <w:tblW w:w="5004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249"/>
        <w:gridCol w:w="4979"/>
      </w:tblGrid>
      <w:tr w14:paraId="7A4C7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423" w:type="pct"/>
          </w:tcPr>
          <w:p w14:paraId="1CDBE2F3">
            <w:pPr>
              <w:pStyle w:val="58"/>
              <w:jc w:val="left"/>
              <w:rPr>
                <w:lang w:eastAsia="en-US"/>
              </w:rPr>
            </w:pPr>
            <w:bookmarkStart w:id="101" w:name="_GoBack"/>
            <w:bookmarkEnd w:id="101"/>
            <w:bookmarkStart w:id="0" w:name="_Hlk80723611"/>
            <w:r>
              <w:rPr>
                <w:lang w:eastAsia="en-US"/>
              </w:rPr>
              <w:t>СОГЛАСОВАНО</w:t>
            </w:r>
          </w:p>
        </w:tc>
        <w:tc>
          <w:tcPr>
            <w:tcW w:w="123" w:type="pct"/>
          </w:tcPr>
          <w:p w14:paraId="3A9E4B76">
            <w:pPr>
              <w:spacing w:line="276" w:lineRule="auto"/>
              <w:ind w:firstLine="567"/>
              <w:jc w:val="center"/>
              <w:rPr>
                <w:rFonts w:cs="Arial"/>
                <w:szCs w:val="22"/>
                <w:lang w:eastAsia="en-US"/>
              </w:rPr>
            </w:pPr>
          </w:p>
        </w:tc>
        <w:tc>
          <w:tcPr>
            <w:tcW w:w="2454" w:type="pct"/>
          </w:tcPr>
          <w:p w14:paraId="538D99A7">
            <w:pPr>
              <w:spacing w:line="276" w:lineRule="auto"/>
              <w:jc w:val="right"/>
              <w:rPr>
                <w:rFonts w:cs="Arial"/>
                <w:b/>
                <w:szCs w:val="22"/>
                <w:lang w:eastAsia="en-US"/>
              </w:rPr>
            </w:pPr>
            <w:r>
              <w:rPr>
                <w:rFonts w:cs="Arial"/>
                <w:b/>
                <w:szCs w:val="22"/>
                <w:lang w:eastAsia="en-US"/>
              </w:rPr>
              <w:t>УТВЕРЖДЕНО</w:t>
            </w:r>
          </w:p>
        </w:tc>
      </w:tr>
      <w:tr w14:paraId="19B86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2423" w:type="pct"/>
            <w:vAlign w:val="bottom"/>
          </w:tcPr>
          <w:p w14:paraId="63CBBC4F">
            <w:pPr>
              <w:spacing w:line="276" w:lineRule="auto"/>
              <w:rPr>
                <w:rFonts w:cs="Arial"/>
                <w:szCs w:val="22"/>
                <w:lang w:eastAsia="en-US"/>
              </w:rPr>
            </w:pPr>
            <w:r>
              <w:rPr>
                <w:rFonts w:cs="Arial"/>
                <w:szCs w:val="22"/>
                <w:lang w:eastAsia="en-US"/>
              </w:rPr>
              <w:t>Генеральный директор</w:t>
            </w:r>
          </w:p>
          <w:p w14:paraId="1A040B3A">
            <w:pPr>
              <w:spacing w:line="276" w:lineRule="auto"/>
              <w:rPr>
                <w:rFonts w:cs="Arial"/>
                <w:szCs w:val="22"/>
                <w:lang w:eastAsia="en-US"/>
              </w:rPr>
            </w:pPr>
            <w:r>
              <w:rPr>
                <w:rFonts w:cs="Arial"/>
                <w:szCs w:val="22"/>
                <w:lang w:eastAsia="en-US"/>
              </w:rPr>
              <w:t>ООО «Градум»</w:t>
            </w:r>
          </w:p>
        </w:tc>
        <w:tc>
          <w:tcPr>
            <w:tcW w:w="123" w:type="pct"/>
            <w:vAlign w:val="bottom"/>
          </w:tcPr>
          <w:p w14:paraId="282F7275">
            <w:pPr>
              <w:tabs>
                <w:tab w:val="left" w:pos="312"/>
              </w:tabs>
              <w:spacing w:line="276" w:lineRule="auto"/>
              <w:ind w:firstLine="567"/>
              <w:jc w:val="center"/>
              <w:rPr>
                <w:rFonts w:cs="Arial"/>
                <w:szCs w:val="22"/>
                <w:lang w:eastAsia="en-US"/>
              </w:rPr>
            </w:pPr>
          </w:p>
        </w:tc>
        <w:tc>
          <w:tcPr>
            <w:tcW w:w="2454" w:type="pct"/>
            <w:vAlign w:val="center"/>
          </w:tcPr>
          <w:p w14:paraId="3F46C9CC">
            <w:pPr>
              <w:spacing w:line="276" w:lineRule="auto"/>
              <w:ind w:firstLine="567"/>
              <w:jc w:val="right"/>
              <w:rPr>
                <w:rFonts w:cs="Arial"/>
                <w:szCs w:val="22"/>
                <w:lang w:eastAsia="en-US"/>
              </w:rPr>
            </w:pPr>
            <w:r>
              <w:rPr>
                <w:rFonts w:cs="Arial"/>
                <w:szCs w:val="22"/>
                <w:lang w:eastAsia="en-US"/>
              </w:rPr>
              <w:t>____________________________________</w:t>
            </w:r>
          </w:p>
        </w:tc>
      </w:tr>
      <w:tr w14:paraId="50BDD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2423" w:type="pct"/>
            <w:vAlign w:val="bottom"/>
          </w:tcPr>
          <w:p w14:paraId="5195E5AF">
            <w:pPr>
              <w:spacing w:line="276" w:lineRule="auto"/>
              <w:rPr>
                <w:rFonts w:cs="Arial"/>
                <w:szCs w:val="22"/>
                <w:lang w:eastAsia="en-US"/>
              </w:rPr>
            </w:pPr>
          </w:p>
          <w:p w14:paraId="7E99526C">
            <w:pPr>
              <w:spacing w:line="276" w:lineRule="auto"/>
              <w:rPr>
                <w:rFonts w:cs="Arial"/>
                <w:szCs w:val="22"/>
                <w:lang w:eastAsia="en-US"/>
              </w:rPr>
            </w:pPr>
            <w:r>
              <w:rPr>
                <w:rFonts w:cs="Arial"/>
                <w:szCs w:val="22"/>
                <w:lang w:eastAsia="en-US"/>
              </w:rPr>
              <w:t xml:space="preserve">_________________ / </w:t>
            </w:r>
            <w:r>
              <w:t>Демченко Н. А.</w:t>
            </w:r>
          </w:p>
        </w:tc>
        <w:tc>
          <w:tcPr>
            <w:tcW w:w="123" w:type="pct"/>
            <w:vAlign w:val="bottom"/>
          </w:tcPr>
          <w:p w14:paraId="5AFBEFFF">
            <w:pPr>
              <w:spacing w:line="276" w:lineRule="auto"/>
              <w:ind w:firstLine="567"/>
              <w:rPr>
                <w:rFonts w:cs="Arial"/>
                <w:szCs w:val="22"/>
                <w:lang w:eastAsia="en-US"/>
              </w:rPr>
            </w:pPr>
          </w:p>
        </w:tc>
        <w:tc>
          <w:tcPr>
            <w:tcW w:w="2454" w:type="pct"/>
            <w:vAlign w:val="bottom"/>
          </w:tcPr>
          <w:p w14:paraId="19D903D9">
            <w:pPr>
              <w:spacing w:line="276" w:lineRule="auto"/>
              <w:rPr>
                <w:rFonts w:cs="Arial"/>
                <w:szCs w:val="22"/>
                <w:lang w:eastAsia="en-US"/>
              </w:rPr>
            </w:pPr>
          </w:p>
          <w:p w14:paraId="0E32DFBC">
            <w:pPr>
              <w:spacing w:line="276" w:lineRule="auto"/>
              <w:ind w:firstLine="567"/>
              <w:jc w:val="right"/>
              <w:rPr>
                <w:rFonts w:cs="Arial"/>
                <w:szCs w:val="22"/>
                <w:lang w:eastAsia="en-US"/>
              </w:rPr>
            </w:pPr>
            <w:r>
              <w:rPr>
                <w:rFonts w:cs="Arial"/>
                <w:szCs w:val="22"/>
                <w:lang w:eastAsia="en-US"/>
              </w:rPr>
              <w:t xml:space="preserve">__________________ / </w:t>
            </w:r>
            <w:r>
              <w:t xml:space="preserve"> </w:t>
            </w:r>
            <w:r>
              <w:rPr>
                <w:rStyle w:val="56"/>
              </w:rPr>
              <w:t>_______________</w:t>
            </w:r>
          </w:p>
        </w:tc>
      </w:tr>
      <w:tr w14:paraId="547913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2423" w:type="pct"/>
          </w:tcPr>
          <w:p w14:paraId="1DFF8B22">
            <w:pPr>
              <w:spacing w:line="276" w:lineRule="auto"/>
              <w:rPr>
                <w:rFonts w:cs="Arial"/>
                <w:szCs w:val="22"/>
                <w:lang w:eastAsia="en-US"/>
              </w:rPr>
            </w:pPr>
          </w:p>
        </w:tc>
        <w:tc>
          <w:tcPr>
            <w:tcW w:w="123" w:type="pct"/>
          </w:tcPr>
          <w:p w14:paraId="6F8952D8">
            <w:pPr>
              <w:spacing w:line="276" w:lineRule="auto"/>
              <w:ind w:firstLine="567"/>
              <w:jc w:val="center"/>
              <w:rPr>
                <w:rFonts w:cs="Arial"/>
                <w:szCs w:val="22"/>
                <w:lang w:eastAsia="en-US"/>
              </w:rPr>
            </w:pPr>
          </w:p>
        </w:tc>
        <w:tc>
          <w:tcPr>
            <w:tcW w:w="2454" w:type="pct"/>
          </w:tcPr>
          <w:p w14:paraId="023C0ADB">
            <w:pPr>
              <w:spacing w:line="276" w:lineRule="auto"/>
              <w:ind w:firstLine="567"/>
              <w:jc w:val="right"/>
              <w:rPr>
                <w:rFonts w:cs="Arial"/>
                <w:szCs w:val="22"/>
                <w:lang w:eastAsia="en-US"/>
              </w:rPr>
            </w:pPr>
          </w:p>
        </w:tc>
      </w:tr>
      <w:tr w14:paraId="23E9B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423" w:type="pct"/>
            <w:vAlign w:val="bottom"/>
          </w:tcPr>
          <w:p w14:paraId="43F5B74F">
            <w:pPr>
              <w:spacing w:line="276" w:lineRule="auto"/>
              <w:rPr>
                <w:rFonts w:cs="Arial"/>
                <w:szCs w:val="22"/>
                <w:lang w:eastAsia="en-US"/>
              </w:rPr>
            </w:pPr>
            <w:r>
              <w:rPr>
                <w:rFonts w:cs="Arial"/>
                <w:szCs w:val="22"/>
                <w:lang w:eastAsia="en-US"/>
              </w:rPr>
              <w:t>«____» октября 2025 г.</w:t>
            </w:r>
          </w:p>
        </w:tc>
        <w:tc>
          <w:tcPr>
            <w:tcW w:w="123" w:type="pct"/>
            <w:vAlign w:val="bottom"/>
          </w:tcPr>
          <w:p w14:paraId="44863727">
            <w:pPr>
              <w:spacing w:line="276" w:lineRule="auto"/>
              <w:ind w:firstLine="567"/>
              <w:rPr>
                <w:rFonts w:cs="Arial"/>
                <w:szCs w:val="22"/>
                <w:lang w:eastAsia="en-US"/>
              </w:rPr>
            </w:pPr>
          </w:p>
        </w:tc>
        <w:tc>
          <w:tcPr>
            <w:tcW w:w="2454" w:type="pct"/>
            <w:vAlign w:val="bottom"/>
          </w:tcPr>
          <w:p w14:paraId="6BFEAAC2">
            <w:pPr>
              <w:spacing w:line="276" w:lineRule="auto"/>
              <w:ind w:firstLine="567"/>
              <w:jc w:val="right"/>
              <w:rPr>
                <w:rFonts w:cs="Arial"/>
                <w:szCs w:val="22"/>
                <w:lang w:eastAsia="en-US"/>
              </w:rPr>
            </w:pPr>
            <w:r>
              <w:rPr>
                <w:rFonts w:cs="Arial"/>
                <w:szCs w:val="22"/>
                <w:lang w:eastAsia="en-US"/>
              </w:rPr>
              <w:t>«____» октября 2025 г.</w:t>
            </w:r>
          </w:p>
        </w:tc>
      </w:tr>
      <w:bookmarkEnd w:id="0"/>
    </w:tbl>
    <w:p w14:paraId="58C274B9">
      <w:pPr>
        <w:suppressAutoHyphens/>
        <w:spacing w:line="276" w:lineRule="auto"/>
        <w:jc w:val="center"/>
        <w:rPr>
          <w:rFonts w:eastAsia="Calibri" w:cs="Arial"/>
          <w:szCs w:val="22"/>
          <w:lang w:eastAsia="en-US"/>
        </w:rPr>
      </w:pPr>
    </w:p>
    <w:p w14:paraId="3704C68F">
      <w:pPr>
        <w:spacing w:line="276" w:lineRule="auto"/>
        <w:jc w:val="center"/>
        <w:rPr>
          <w:rFonts w:eastAsia="Calibri" w:cs="Arial"/>
          <w:lang w:eastAsia="en-US"/>
        </w:rPr>
      </w:pPr>
    </w:p>
    <w:p w14:paraId="75CC30F2">
      <w:pPr>
        <w:spacing w:line="276" w:lineRule="auto"/>
        <w:jc w:val="center"/>
        <w:rPr>
          <w:rFonts w:eastAsia="Calibri" w:cs="Arial"/>
          <w:lang w:eastAsia="en-US"/>
        </w:rPr>
      </w:pPr>
    </w:p>
    <w:p w14:paraId="5A2C84EC">
      <w:pPr>
        <w:spacing w:line="276" w:lineRule="auto"/>
        <w:jc w:val="center"/>
        <w:rPr>
          <w:rFonts w:eastAsia="Calibri" w:cs="Arial"/>
          <w:lang w:eastAsia="en-US"/>
        </w:rPr>
      </w:pPr>
    </w:p>
    <w:p w14:paraId="4D421E43">
      <w:pPr>
        <w:spacing w:line="276" w:lineRule="auto"/>
        <w:jc w:val="center"/>
        <w:rPr>
          <w:rFonts w:eastAsia="Calibri" w:cs="Arial"/>
          <w:lang w:eastAsia="en-US"/>
        </w:rPr>
      </w:pPr>
    </w:p>
    <w:p w14:paraId="30678847">
      <w:pPr>
        <w:spacing w:line="276" w:lineRule="auto"/>
        <w:jc w:val="center"/>
        <w:rPr>
          <w:rFonts w:cs="Arial"/>
          <w:color w:val="000000"/>
          <w:sz w:val="52"/>
          <w:szCs w:val="52"/>
        </w:rPr>
      </w:pPr>
      <w:r>
        <w:rPr>
          <w:rFonts w:cs="Arial"/>
          <w:color w:val="000000"/>
          <w:sz w:val="52"/>
          <w:szCs w:val="52"/>
        </w:rPr>
        <w:t>Методика нормализации справочника номенклатуры ООО «Горнорудный Майнинг»</w:t>
      </w:r>
    </w:p>
    <w:p w14:paraId="3E61801D">
      <w:pPr>
        <w:jc w:val="center"/>
      </w:pPr>
    </w:p>
    <w:p w14:paraId="3D7CB320">
      <w:pPr>
        <w:spacing w:line="276" w:lineRule="auto"/>
        <w:jc w:val="center"/>
        <w:rPr>
          <w:rFonts w:eastAsia="Calibri" w:cs="Arial"/>
          <w:lang w:eastAsia="en-US"/>
        </w:rPr>
      </w:pPr>
    </w:p>
    <w:p w14:paraId="5461B8F3">
      <w:pPr>
        <w:spacing w:line="276" w:lineRule="auto"/>
        <w:jc w:val="center"/>
        <w:rPr>
          <w:rFonts w:eastAsia="Calibri" w:cs="Arial"/>
          <w:lang w:eastAsia="en-US"/>
        </w:rPr>
      </w:pPr>
      <w:r>
        <w:rPr>
          <w:rFonts w:eastAsia="Calibri" w:cs="Arial"/>
          <w:lang w:eastAsia="en-US"/>
        </w:rPr>
        <w:t>Версия 1.0</w:t>
      </w:r>
    </w:p>
    <w:p w14:paraId="754CE871">
      <w:pPr>
        <w:spacing w:line="276" w:lineRule="auto"/>
        <w:jc w:val="center"/>
        <w:rPr>
          <w:rFonts w:eastAsia="Calibri" w:cs="Arial"/>
          <w:lang w:eastAsia="en-US"/>
        </w:rPr>
      </w:pPr>
    </w:p>
    <w:p w14:paraId="4401349E">
      <w:pPr>
        <w:spacing w:line="276" w:lineRule="auto"/>
        <w:jc w:val="center"/>
        <w:rPr>
          <w:rFonts w:eastAsia="Calibri" w:cs="Arial"/>
          <w:lang w:eastAsia="en-US"/>
        </w:rPr>
      </w:pPr>
    </w:p>
    <w:p w14:paraId="7D4C7247">
      <w:pPr>
        <w:spacing w:line="276" w:lineRule="auto"/>
        <w:jc w:val="center"/>
        <w:rPr>
          <w:rFonts w:eastAsia="Calibri" w:cs="Arial"/>
          <w:lang w:eastAsia="en-US"/>
        </w:rPr>
      </w:pPr>
    </w:p>
    <w:p w14:paraId="78C908AC">
      <w:pPr>
        <w:spacing w:line="276" w:lineRule="auto"/>
        <w:jc w:val="center"/>
        <w:rPr>
          <w:rFonts w:eastAsia="Calibri" w:cs="Arial"/>
          <w:lang w:eastAsia="en-US"/>
        </w:rPr>
      </w:pPr>
    </w:p>
    <w:p w14:paraId="535EAA7D">
      <w:pPr>
        <w:spacing w:line="276" w:lineRule="auto"/>
        <w:jc w:val="center"/>
        <w:rPr>
          <w:rFonts w:eastAsia="Calibri" w:cs="Arial"/>
          <w:szCs w:val="22"/>
          <w:lang w:eastAsia="en-US"/>
        </w:rPr>
      </w:pPr>
    </w:p>
    <w:p w14:paraId="1B95E4FD">
      <w:pPr>
        <w:spacing w:line="276" w:lineRule="auto"/>
        <w:jc w:val="center"/>
        <w:rPr>
          <w:rFonts w:eastAsia="Calibri" w:cs="Arial"/>
          <w:szCs w:val="22"/>
          <w:lang w:eastAsia="en-US"/>
        </w:rPr>
      </w:pPr>
    </w:p>
    <w:tbl>
      <w:tblPr>
        <w:tblStyle w:val="7"/>
        <w:tblW w:w="3969" w:type="dxa"/>
        <w:tblInd w:w="509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</w:tblGrid>
      <w:tr w14:paraId="66C28E9A">
        <w:trPr>
          <w:trHeight w:val="284" w:hRule="atLeast"/>
        </w:trPr>
        <w:tc>
          <w:tcPr>
            <w:tcW w:w="3969" w:type="dxa"/>
          </w:tcPr>
          <w:p w14:paraId="265A06C6">
            <w:pPr>
              <w:pStyle w:val="59"/>
              <w:spacing w:line="276" w:lineRule="auto"/>
              <w:jc w:val="right"/>
              <w:rPr>
                <w:rStyle w:val="56"/>
              </w:rPr>
            </w:pPr>
            <w:r>
              <w:rPr>
                <w:rStyle w:val="56"/>
              </w:rPr>
              <w:t>Основание разработки:</w:t>
            </w:r>
          </w:p>
        </w:tc>
      </w:tr>
      <w:tr w14:paraId="13F9F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969" w:type="dxa"/>
            <w:vAlign w:val="bottom"/>
          </w:tcPr>
          <w:p w14:paraId="50E59E62">
            <w:pPr>
              <w:pStyle w:val="59"/>
              <w:spacing w:line="276" w:lineRule="auto"/>
              <w:jc w:val="right"/>
              <w:rPr>
                <w:rStyle w:val="56"/>
              </w:rPr>
            </w:pPr>
            <w:r>
              <w:rPr>
                <w:rStyle w:val="56"/>
              </w:rPr>
              <w:t xml:space="preserve">  Договор №_________ от ___.___.2025 г.</w:t>
            </w:r>
          </w:p>
        </w:tc>
      </w:tr>
      <w:tr w14:paraId="571C0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969" w:type="dxa"/>
            <w:vAlign w:val="bottom"/>
          </w:tcPr>
          <w:p w14:paraId="77F041DF">
            <w:pPr>
              <w:pStyle w:val="57"/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</w:t>
            </w:r>
          </w:p>
        </w:tc>
      </w:tr>
    </w:tbl>
    <w:p w14:paraId="6A656CDD">
      <w:pPr>
        <w:spacing w:line="276" w:lineRule="auto"/>
        <w:jc w:val="center"/>
      </w:pPr>
    </w:p>
    <w:p w14:paraId="500E39BE">
      <w:pPr>
        <w:spacing w:line="276" w:lineRule="auto"/>
        <w:jc w:val="center"/>
      </w:pPr>
    </w:p>
    <w:tbl>
      <w:tblPr>
        <w:tblStyle w:val="7"/>
        <w:tblW w:w="4536" w:type="dxa"/>
        <w:tblInd w:w="453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</w:tblGrid>
      <w:tr w14:paraId="7FF81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4536" w:type="dxa"/>
          </w:tcPr>
          <w:p w14:paraId="4CCA1799">
            <w:pPr>
              <w:pStyle w:val="58"/>
              <w:spacing w:line="276" w:lineRule="auto"/>
              <w:rPr>
                <w:rStyle w:val="56"/>
              </w:rPr>
            </w:pPr>
            <w:r>
              <w:rPr>
                <w:rStyle w:val="56"/>
              </w:rPr>
              <w:t>РАЗРАБОТАНО</w:t>
            </w:r>
          </w:p>
        </w:tc>
      </w:tr>
      <w:tr w14:paraId="2C823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4536" w:type="dxa"/>
            <w:vAlign w:val="bottom"/>
          </w:tcPr>
          <w:p w14:paraId="6CE8BF6E">
            <w:pPr>
              <w:pStyle w:val="57"/>
              <w:spacing w:line="276" w:lineRule="auto"/>
              <w:jc w:val="right"/>
              <w:rPr>
                <w:rStyle w:val="56"/>
              </w:rPr>
            </w:pPr>
            <w:r>
              <w:rPr>
                <w:rStyle w:val="56"/>
              </w:rPr>
              <w:t>Руководитель проекта</w:t>
            </w:r>
          </w:p>
          <w:p w14:paraId="3804D593">
            <w:pPr>
              <w:pStyle w:val="57"/>
              <w:spacing w:line="276" w:lineRule="auto"/>
              <w:jc w:val="right"/>
              <w:rPr>
                <w:rStyle w:val="56"/>
              </w:rPr>
            </w:pPr>
            <w:r>
              <w:rPr>
                <w:rStyle w:val="56"/>
              </w:rPr>
              <w:t>ООО «Градум»</w:t>
            </w:r>
          </w:p>
        </w:tc>
      </w:tr>
      <w:tr w14:paraId="6C5AB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4536" w:type="dxa"/>
            <w:vAlign w:val="bottom"/>
          </w:tcPr>
          <w:p w14:paraId="198DB4B8">
            <w:pPr>
              <w:pStyle w:val="57"/>
              <w:spacing w:line="276" w:lineRule="auto"/>
              <w:jc w:val="right"/>
              <w:rPr>
                <w:rStyle w:val="56"/>
              </w:rPr>
            </w:pPr>
            <w:r>
              <w:rPr>
                <w:rStyle w:val="56"/>
              </w:rPr>
              <w:t xml:space="preserve">____________________ Яковенко Е.В.               </w:t>
            </w:r>
          </w:p>
        </w:tc>
      </w:tr>
      <w:tr w14:paraId="79CCC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4536" w:type="dxa"/>
          </w:tcPr>
          <w:p w14:paraId="6F3906F5">
            <w:pPr>
              <w:pStyle w:val="57"/>
              <w:spacing w:line="276" w:lineRule="auto"/>
              <w:jc w:val="center"/>
              <w:rPr>
                <w:rStyle w:val="56"/>
                <w:sz w:val="16"/>
                <w:szCs w:val="16"/>
              </w:rPr>
            </w:pPr>
            <w:r>
              <w:rPr>
                <w:rStyle w:val="56"/>
                <w:sz w:val="16"/>
                <w:szCs w:val="16"/>
              </w:rPr>
              <w:t>подпись</w:t>
            </w:r>
          </w:p>
        </w:tc>
      </w:tr>
      <w:tr w14:paraId="35759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4536" w:type="dxa"/>
            <w:vAlign w:val="bottom"/>
          </w:tcPr>
          <w:p w14:paraId="4077228F">
            <w:pPr>
              <w:pStyle w:val="57"/>
              <w:spacing w:line="276" w:lineRule="auto"/>
              <w:jc w:val="right"/>
              <w:rPr>
                <w:rStyle w:val="56"/>
              </w:rPr>
            </w:pPr>
            <w:r>
              <w:rPr>
                <w:rStyle w:val="56"/>
              </w:rPr>
              <w:t>«____» октября 2025 г.</w:t>
            </w:r>
          </w:p>
        </w:tc>
      </w:tr>
    </w:tbl>
    <w:p w14:paraId="7BE69E66">
      <w:pPr>
        <w:spacing w:line="276" w:lineRule="auto"/>
        <w:jc w:val="center"/>
      </w:pPr>
    </w:p>
    <w:p w14:paraId="3A5F891B">
      <w:pPr>
        <w:spacing w:line="276" w:lineRule="auto"/>
        <w:jc w:val="center"/>
      </w:pPr>
    </w:p>
    <w:p w14:paraId="31EA4432">
      <w:pPr>
        <w:tabs>
          <w:tab w:val="left" w:pos="1038"/>
        </w:tabs>
        <w:spacing w:line="276" w:lineRule="auto"/>
        <w:rPr>
          <w:sz w:val="2"/>
          <w:szCs w:val="2"/>
        </w:rPr>
      </w:pPr>
      <w:r>
        <w:rPr>
          <w:sz w:val="2"/>
          <w:szCs w:val="2"/>
        </w:rPr>
        <w:tab/>
      </w:r>
    </w:p>
    <w:p w14:paraId="4AAF4372">
      <w:pPr>
        <w:spacing w:line="276" w:lineRule="auto"/>
        <w:jc w:val="center"/>
        <w:rPr>
          <w:rFonts w:eastAsiaTheme="minorHAnsi"/>
          <w:szCs w:val="22"/>
          <w:lang w:eastAsia="zh-CN" w:bidi="hi-IN"/>
        </w:rPr>
      </w:pPr>
    </w:p>
    <w:sdt>
      <w:sdtPr>
        <w:rPr>
          <w:rFonts w:ascii="Cambria" w:hAnsi="Cambria" w:eastAsia="Times New Roman" w:cs="Times New Roman"/>
          <w:color w:val="auto"/>
          <w:sz w:val="22"/>
          <w:szCs w:val="24"/>
        </w:rPr>
        <w:id w:val="-1136637631"/>
        <w:docPartObj>
          <w:docPartGallery w:val="Table of Contents"/>
          <w:docPartUnique/>
        </w:docPartObj>
      </w:sdtPr>
      <w:sdtEndPr>
        <w:rPr>
          <w:rFonts w:ascii="Cambria" w:hAnsi="Cambria" w:eastAsia="Times New Roman" w:cs="Times New Roman"/>
          <w:b/>
          <w:bCs/>
          <w:color w:val="auto"/>
          <w:sz w:val="22"/>
          <w:szCs w:val="24"/>
        </w:rPr>
      </w:sdtEndPr>
      <w:sdtContent>
        <w:p w14:paraId="1EE3AC7A">
          <w:pPr>
            <w:pStyle w:val="62"/>
            <w:jc w:val="center"/>
            <w:rPr>
              <w:rFonts w:ascii="Cambria" w:hAnsi="Cambria"/>
              <w:color w:val="auto"/>
            </w:rPr>
          </w:pPr>
          <w:bookmarkStart w:id="1" w:name="_Toc15910891"/>
          <w:bookmarkStart w:id="2" w:name="_Toc62055069"/>
          <w:bookmarkStart w:id="3" w:name="_Toc14088462"/>
          <w:bookmarkStart w:id="4" w:name="_Toc155707609"/>
          <w:r>
            <w:rPr>
              <w:rFonts w:ascii="Cambria" w:hAnsi="Cambria"/>
              <w:color w:val="auto"/>
            </w:rPr>
            <w:t>Содержание</w:t>
          </w:r>
        </w:p>
        <w:p w14:paraId="22680D50"/>
        <w:p w14:paraId="0A4F0373">
          <w:pPr>
            <w:pStyle w:val="21"/>
            <w:tabs>
              <w:tab w:val="left" w:pos="480"/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"_Toc211008653" </w:instrText>
          </w:r>
          <w:r>
            <w:fldChar w:fldCharType="separate"/>
          </w:r>
          <w:r>
            <w:rPr>
              <w:rStyle w:val="10"/>
            </w:rPr>
            <w:t>1.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  <w:tab/>
          </w:r>
          <w:r>
            <w:rPr>
              <w:rStyle w:val="10"/>
            </w:rPr>
            <w:t>ТЕРМИНЫ И ОПРЕДЕЛЕНИЯ</w:t>
          </w:r>
          <w:r>
            <w:tab/>
          </w:r>
          <w:r>
            <w:fldChar w:fldCharType="begin"/>
          </w:r>
          <w:r>
            <w:instrText xml:space="preserve"> PAGEREF _Toc211008653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44410BF">
          <w:pPr>
            <w:pStyle w:val="21"/>
            <w:tabs>
              <w:tab w:val="left" w:pos="480"/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"_Toc211008654" </w:instrText>
          </w:r>
          <w:r>
            <w:fldChar w:fldCharType="separate"/>
          </w:r>
          <w:r>
            <w:rPr>
              <w:rStyle w:val="10"/>
            </w:rPr>
            <w:t>2.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  <w:tab/>
          </w:r>
          <w:r>
            <w:rPr>
              <w:rStyle w:val="10"/>
            </w:rPr>
            <w:t>ОБОЗНАЧЕНИЯ И СОКРАЩЕНИЯ</w:t>
          </w:r>
          <w:r>
            <w:tab/>
          </w:r>
          <w:r>
            <w:fldChar w:fldCharType="begin"/>
          </w:r>
          <w:r>
            <w:instrText xml:space="preserve"> PAGEREF _Toc211008654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2432B2F">
          <w:pPr>
            <w:pStyle w:val="21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"_Toc211008655" </w:instrText>
          </w:r>
          <w:r>
            <w:fldChar w:fldCharType="separate"/>
          </w:r>
          <w:r>
            <w:rPr>
              <w:rStyle w:val="10"/>
            </w:rPr>
            <w:t>3. ОБЩИЕ СВЕДЕНИЯ</w:t>
          </w:r>
          <w:r>
            <w:tab/>
          </w:r>
          <w:r>
            <w:fldChar w:fldCharType="begin"/>
          </w:r>
          <w:r>
            <w:instrText xml:space="preserve"> PAGEREF _Toc211008655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5DC5B9A">
          <w:pPr>
            <w:pStyle w:val="24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"_Toc211008656" </w:instrText>
          </w:r>
          <w:r>
            <w:fldChar w:fldCharType="separate"/>
          </w:r>
          <w:r>
            <w:rPr>
              <w:rStyle w:val="10"/>
            </w:rPr>
            <w:t>3.1. Цели и задачи нормализации данных</w:t>
          </w:r>
          <w:r>
            <w:tab/>
          </w:r>
          <w:r>
            <w:fldChar w:fldCharType="begin"/>
          </w:r>
          <w:r>
            <w:instrText xml:space="preserve"> PAGEREF _Toc211008656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1B2FF41">
          <w:pPr>
            <w:pStyle w:val="24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"_Toc211008657" </w:instrText>
          </w:r>
          <w:r>
            <w:fldChar w:fldCharType="separate"/>
          </w:r>
          <w:r>
            <w:rPr>
              <w:rStyle w:val="10"/>
            </w:rPr>
            <w:t>3.2. Организационные границы нормализации</w:t>
          </w:r>
          <w:r>
            <w:tab/>
          </w:r>
          <w:r>
            <w:fldChar w:fldCharType="begin"/>
          </w:r>
          <w:r>
            <w:instrText xml:space="preserve"> PAGEREF _Toc211008657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AF7586D">
          <w:pPr>
            <w:pStyle w:val="24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"_Toc211008658" </w:instrText>
          </w:r>
          <w:r>
            <w:fldChar w:fldCharType="separate"/>
          </w:r>
          <w:r>
            <w:rPr>
              <w:rStyle w:val="10"/>
            </w:rPr>
            <w:t>3.3. Технические средства и инструменты нормализации</w:t>
          </w:r>
          <w:r>
            <w:tab/>
          </w:r>
          <w:r>
            <w:fldChar w:fldCharType="begin"/>
          </w:r>
          <w:r>
            <w:instrText xml:space="preserve"> PAGEREF _Toc211008658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E081214">
          <w:pPr>
            <w:pStyle w:val="24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"_Toc211008659" </w:instrText>
          </w:r>
          <w:r>
            <w:fldChar w:fldCharType="separate"/>
          </w:r>
          <w:r>
            <w:rPr>
              <w:rStyle w:val="10"/>
            </w:rPr>
            <w:t>3.4. Функциональный объем</w:t>
          </w:r>
          <w:r>
            <w:tab/>
          </w:r>
          <w:r>
            <w:fldChar w:fldCharType="begin"/>
          </w:r>
          <w:r>
            <w:instrText xml:space="preserve"> PAGEREF _Toc211008659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6AA8A38">
          <w:pPr>
            <w:pStyle w:val="24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"_Toc211008660" </w:instrText>
          </w:r>
          <w:r>
            <w:fldChar w:fldCharType="separate"/>
          </w:r>
          <w:r>
            <w:rPr>
              <w:rStyle w:val="10"/>
            </w:rPr>
            <w:t>3.5. Документальное основание для разработки</w:t>
          </w:r>
          <w:r>
            <w:tab/>
          </w:r>
          <w:r>
            <w:fldChar w:fldCharType="begin"/>
          </w:r>
          <w:r>
            <w:instrText xml:space="preserve"> PAGEREF _Toc211008660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785510D">
          <w:pPr>
            <w:pStyle w:val="21"/>
            <w:tabs>
              <w:tab w:val="left" w:pos="480"/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"_Toc211008661" </w:instrText>
          </w:r>
          <w:r>
            <w:fldChar w:fldCharType="separate"/>
          </w:r>
          <w:r>
            <w:rPr>
              <w:rStyle w:val="10"/>
            </w:rPr>
            <w:t>4.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  <w:tab/>
          </w:r>
          <w:r>
            <w:rPr>
              <w:rStyle w:val="10"/>
            </w:rPr>
            <w:t>ПРИНЦИПЫ НОРМАЛИЗАЦИИ ДАННЫХ</w:t>
          </w:r>
          <w:r>
            <w:tab/>
          </w:r>
          <w:r>
            <w:fldChar w:fldCharType="begin"/>
          </w:r>
          <w:r>
            <w:instrText xml:space="preserve"> PAGEREF _Toc211008661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08316DE">
          <w:pPr>
            <w:pStyle w:val="21"/>
            <w:tabs>
              <w:tab w:val="left" w:pos="480"/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"_Toc211008662" </w:instrText>
          </w:r>
          <w:r>
            <w:fldChar w:fldCharType="separate"/>
          </w:r>
          <w:r>
            <w:rPr>
              <w:rStyle w:val="10"/>
            </w:rPr>
            <w:t>5.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  <w:tab/>
          </w:r>
          <w:r>
            <w:rPr>
              <w:rStyle w:val="10"/>
            </w:rPr>
            <w:t>ПРАВИЛА УНИФИКАЦИИ НАИМЕНОВАНИЙ НОМЕНКЛАТУРЫ</w:t>
          </w:r>
          <w:r>
            <w:tab/>
          </w:r>
          <w:r>
            <w:fldChar w:fldCharType="begin"/>
          </w:r>
          <w:r>
            <w:instrText xml:space="preserve"> PAGEREF _Toc211008662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01136DC">
          <w:pPr>
            <w:pStyle w:val="24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"_Toc211008663" </w:instrText>
          </w:r>
          <w:r>
            <w:fldChar w:fldCharType="separate"/>
          </w:r>
          <w:r>
            <w:rPr>
              <w:rStyle w:val="10"/>
            </w:rPr>
            <w:t>5.1. Общие правила написания наименований номенклатурных позиций</w:t>
          </w:r>
          <w:r>
            <w:tab/>
          </w:r>
          <w:r>
            <w:fldChar w:fldCharType="begin"/>
          </w:r>
          <w:r>
            <w:instrText xml:space="preserve"> PAGEREF _Toc211008663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F728BA2">
          <w:pPr>
            <w:pStyle w:val="24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"_Toc211008664" </w:instrText>
          </w:r>
          <w:r>
            <w:fldChar w:fldCharType="separate"/>
          </w:r>
          <w:r>
            <w:rPr>
              <w:rStyle w:val="10"/>
            </w:rPr>
            <w:t>5.2. Правила заполнения реквизита наименование номенклатурной позиции</w:t>
          </w:r>
          <w:r>
            <w:tab/>
          </w:r>
          <w:r>
            <w:fldChar w:fldCharType="begin"/>
          </w:r>
          <w:r>
            <w:instrText xml:space="preserve"> PAGEREF _Toc211008664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863AD7A">
          <w:pPr>
            <w:pStyle w:val="24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"_Toc211008665" </w:instrText>
          </w:r>
          <w:r>
            <w:fldChar w:fldCharType="separate"/>
          </w:r>
          <w:r>
            <w:rPr>
              <w:rStyle w:val="10"/>
            </w:rPr>
            <w:t>5.3. Правила заполнения единиц измерения</w:t>
          </w:r>
          <w:r>
            <w:tab/>
          </w:r>
          <w:r>
            <w:fldChar w:fldCharType="begin"/>
          </w:r>
          <w:r>
            <w:instrText xml:space="preserve"> PAGEREF _Toc211008665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303032E">
          <w:pPr>
            <w:pStyle w:val="24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"_Toc211008666" </w:instrText>
          </w:r>
          <w:r>
            <w:fldChar w:fldCharType="separate"/>
          </w:r>
          <w:r>
            <w:rPr>
              <w:rStyle w:val="10"/>
            </w:rPr>
            <w:t>5.4. Правила заполнения размеров, габаритов и других атрибутов</w:t>
          </w:r>
          <w:r>
            <w:tab/>
          </w:r>
          <w:r>
            <w:fldChar w:fldCharType="begin"/>
          </w:r>
          <w:r>
            <w:instrText xml:space="preserve"> PAGEREF _Toc211008666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59DB7BB">
          <w:pPr>
            <w:pStyle w:val="21"/>
            <w:tabs>
              <w:tab w:val="left" w:pos="480"/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"_Toc211008667" </w:instrText>
          </w:r>
          <w:r>
            <w:fldChar w:fldCharType="separate"/>
          </w:r>
          <w:r>
            <w:rPr>
              <w:rStyle w:val="10"/>
            </w:rPr>
            <w:t>6.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  <w:tab/>
          </w:r>
          <w:r>
            <w:rPr>
              <w:rStyle w:val="10"/>
            </w:rPr>
            <w:t>ИСХОДНЫЕ ДАННЫЕ ДЛЯ НОРМАЛИЗАЦИИ</w:t>
          </w:r>
          <w:r>
            <w:tab/>
          </w:r>
          <w:r>
            <w:fldChar w:fldCharType="begin"/>
          </w:r>
          <w:r>
            <w:instrText xml:space="preserve"> PAGEREF _Toc211008667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E9E475D">
          <w:pPr>
            <w:pStyle w:val="21"/>
            <w:tabs>
              <w:tab w:val="left" w:pos="480"/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"_Toc211008668" </w:instrText>
          </w:r>
          <w:r>
            <w:fldChar w:fldCharType="separate"/>
          </w:r>
          <w:r>
            <w:rPr>
              <w:rStyle w:val="10"/>
            </w:rPr>
            <w:t>7.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  <w:tab/>
          </w:r>
          <w:r>
            <w:rPr>
              <w:rStyle w:val="10"/>
            </w:rPr>
            <w:t>ПРЕДВАРИТЕЛЬНЫЕ МЕРОПРИЯТИЯ</w:t>
          </w:r>
          <w:r>
            <w:tab/>
          </w:r>
          <w:r>
            <w:fldChar w:fldCharType="begin"/>
          </w:r>
          <w:r>
            <w:instrText xml:space="preserve"> PAGEREF _Toc211008668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924B118">
          <w:pPr>
            <w:pStyle w:val="24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"_Toc211008669" </w:instrText>
          </w:r>
          <w:r>
            <w:fldChar w:fldCharType="separate"/>
          </w:r>
          <w:r>
            <w:rPr>
              <w:rStyle w:val="10"/>
            </w:rPr>
            <w:t>7.1. Выгрузка и предварительный анализ данных</w:t>
          </w:r>
          <w:r>
            <w:tab/>
          </w:r>
          <w:r>
            <w:fldChar w:fldCharType="begin"/>
          </w:r>
          <w:r>
            <w:instrText xml:space="preserve"> PAGEREF _Toc211008669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FAADEA8">
          <w:pPr>
            <w:pStyle w:val="24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"_Toc211008670" </w:instrText>
          </w:r>
          <w:r>
            <w:fldChar w:fldCharType="separate"/>
          </w:r>
          <w:r>
            <w:rPr>
              <w:rStyle w:val="10"/>
            </w:rPr>
            <w:t>7.2. Реализация требований представителей Заказчика</w:t>
          </w:r>
          <w:r>
            <w:tab/>
          </w:r>
          <w:r>
            <w:fldChar w:fldCharType="begin"/>
          </w:r>
          <w:r>
            <w:instrText xml:space="preserve"> PAGEREF _Toc211008670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92C8D1A">
          <w:pPr>
            <w:pStyle w:val="24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"_Toc211008671" </w:instrText>
          </w:r>
          <w:r>
            <w:fldChar w:fldCharType="separate"/>
          </w:r>
          <w:r>
            <w:rPr>
              <w:rStyle w:val="10"/>
            </w:rPr>
            <w:t>7.3. Методологические вопросы, влияющие на результаты нормализации</w:t>
          </w:r>
          <w:r>
            <w:tab/>
          </w:r>
          <w:r>
            <w:fldChar w:fldCharType="begin"/>
          </w:r>
          <w:r>
            <w:instrText xml:space="preserve"> PAGEREF _Toc211008671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D2DEF85">
          <w:pPr>
            <w:pStyle w:val="21"/>
            <w:tabs>
              <w:tab w:val="left" w:pos="480"/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"_Toc211008672" </w:instrText>
          </w:r>
          <w:r>
            <w:fldChar w:fldCharType="separate"/>
          </w:r>
          <w:r>
            <w:rPr>
              <w:rStyle w:val="10"/>
            </w:rPr>
            <w:t>8.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  <w:tab/>
          </w:r>
          <w:r>
            <w:rPr>
              <w:rStyle w:val="10"/>
            </w:rPr>
            <w:t>ПОРЯДОК ВЫПОЛНЕНИЯ НОРМАЛИЗАЦИИ</w:t>
          </w:r>
          <w:r>
            <w:tab/>
          </w:r>
          <w:r>
            <w:fldChar w:fldCharType="begin"/>
          </w:r>
          <w:r>
            <w:instrText xml:space="preserve"> PAGEREF _Toc211008672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564A8952">
          <w:pPr>
            <w:pStyle w:val="24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"_Toc211008673" </w:instrText>
          </w:r>
          <w:r>
            <w:fldChar w:fldCharType="separate"/>
          </w:r>
          <w:r>
            <w:rPr>
              <w:rStyle w:val="10"/>
            </w:rPr>
            <w:t>8.1. Нормализация вспомогательных справочников</w:t>
          </w:r>
          <w:r>
            <w:tab/>
          </w:r>
          <w:r>
            <w:fldChar w:fldCharType="begin"/>
          </w:r>
          <w:r>
            <w:instrText xml:space="preserve"> PAGEREF _Toc211008673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0482FDFD">
          <w:pPr>
            <w:pStyle w:val="23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"_Toc211008674" </w:instrText>
          </w:r>
          <w:r>
            <w:fldChar w:fldCharType="separate"/>
          </w:r>
          <w:r>
            <w:rPr>
              <w:rStyle w:val="10"/>
            </w:rPr>
            <w:t>8.1.1. Состав справочников</w:t>
          </w:r>
          <w:r>
            <w:tab/>
          </w:r>
          <w:r>
            <w:fldChar w:fldCharType="begin"/>
          </w:r>
          <w:r>
            <w:instrText xml:space="preserve"> PAGEREF _Toc211008674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3056754E">
          <w:pPr>
            <w:pStyle w:val="23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"_Toc211008675" </w:instrText>
          </w:r>
          <w:r>
            <w:fldChar w:fldCharType="separate"/>
          </w:r>
          <w:r>
            <w:rPr>
              <w:rStyle w:val="10"/>
            </w:rPr>
            <w:t>8.1.2. Описание структуры вспомогательных справочников</w:t>
          </w:r>
          <w:r>
            <w:tab/>
          </w:r>
          <w:r>
            <w:fldChar w:fldCharType="begin"/>
          </w:r>
          <w:r>
            <w:instrText xml:space="preserve"> PAGEREF _Toc211008675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7FDEF31F">
          <w:pPr>
            <w:pStyle w:val="23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"_Toc211008676" </w:instrText>
          </w:r>
          <w:r>
            <w:fldChar w:fldCharType="separate"/>
          </w:r>
          <w:r>
            <w:rPr>
              <w:rStyle w:val="10"/>
            </w:rPr>
            <w:t>8.1.3. Правила заполнения вспомогательных справочников</w:t>
          </w:r>
          <w:r>
            <w:tab/>
          </w:r>
          <w:r>
            <w:fldChar w:fldCharType="begin"/>
          </w:r>
          <w:r>
            <w:instrText xml:space="preserve"> PAGEREF _Toc211008676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2721D889">
          <w:pPr>
            <w:pStyle w:val="24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"_Toc211008677" </w:instrText>
          </w:r>
          <w:r>
            <w:fldChar w:fldCharType="separate"/>
          </w:r>
          <w:r>
            <w:rPr>
              <w:rStyle w:val="10"/>
            </w:rPr>
            <w:t>8.2. Нормализация справочника номенклатура</w:t>
          </w:r>
          <w:r>
            <w:tab/>
          </w:r>
          <w:r>
            <w:fldChar w:fldCharType="begin"/>
          </w:r>
          <w:r>
            <w:instrText xml:space="preserve"> PAGEREF _Toc211008677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587CC560">
          <w:pPr>
            <w:pStyle w:val="23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"_Toc211008678" </w:instrText>
          </w:r>
          <w:r>
            <w:fldChar w:fldCharType="separate"/>
          </w:r>
          <w:r>
            <w:rPr>
              <w:rStyle w:val="10"/>
            </w:rPr>
            <w:t>8.2.1. Источники данных</w:t>
          </w:r>
          <w:r>
            <w:tab/>
          </w:r>
          <w:r>
            <w:fldChar w:fldCharType="begin"/>
          </w:r>
          <w:r>
            <w:instrText xml:space="preserve"> PAGEREF _Toc211008678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45ACEA43">
          <w:pPr>
            <w:pStyle w:val="23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"_Toc211008679" </w:instrText>
          </w:r>
          <w:r>
            <w:fldChar w:fldCharType="separate"/>
          </w:r>
          <w:r>
            <w:rPr>
              <w:rStyle w:val="10"/>
            </w:rPr>
            <w:t>8.2.2. Описание структуры. Обязательные и опциональные реквизиты</w:t>
          </w:r>
          <w:r>
            <w:tab/>
          </w:r>
          <w:r>
            <w:fldChar w:fldCharType="begin"/>
          </w:r>
          <w:r>
            <w:instrText xml:space="preserve"> PAGEREF _Toc211008679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15A3E5E2">
          <w:pPr>
            <w:pStyle w:val="23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"_Toc211008680" </w:instrText>
          </w:r>
          <w:r>
            <w:fldChar w:fldCharType="separate"/>
          </w:r>
          <w:r>
            <w:rPr>
              <w:rStyle w:val="10"/>
            </w:rPr>
            <w:t>8.2.3. Классификация номенклатурных позиций</w:t>
          </w:r>
          <w:r>
            <w:tab/>
          </w:r>
          <w:r>
            <w:fldChar w:fldCharType="begin"/>
          </w:r>
          <w:r>
            <w:instrText xml:space="preserve"> PAGEREF _Toc211008680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4BB6C4E6">
          <w:pPr>
            <w:pStyle w:val="23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"_Toc211008681" </w:instrText>
          </w:r>
          <w:r>
            <w:fldChar w:fldCharType="separate"/>
          </w:r>
          <w:r>
            <w:rPr>
              <w:rStyle w:val="10"/>
            </w:rPr>
            <w:t>8.2.4. Обработка текущих номенклатурных позиций</w:t>
          </w:r>
          <w:r>
            <w:tab/>
          </w:r>
          <w:r>
            <w:fldChar w:fldCharType="begin"/>
          </w:r>
          <w:r>
            <w:instrText xml:space="preserve"> PAGEREF _Toc211008681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3DAC956E">
          <w:pPr>
            <w:pStyle w:val="23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"_Toc211008682" </w:instrText>
          </w:r>
          <w:r>
            <w:fldChar w:fldCharType="separate"/>
          </w:r>
          <w:r>
            <w:rPr>
              <w:rStyle w:val="10"/>
            </w:rPr>
            <w:t>8.2.5. Обработка некорректной и невостербованной номенклатуры</w:t>
          </w:r>
          <w:r>
            <w:tab/>
          </w:r>
          <w:r>
            <w:fldChar w:fldCharType="begin"/>
          </w:r>
          <w:r>
            <w:instrText xml:space="preserve"> PAGEREF _Toc211008682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20ED69B1">
          <w:pPr>
            <w:pStyle w:val="23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"_Toc211008683" </w:instrText>
          </w:r>
          <w:r>
            <w:fldChar w:fldCharType="separate"/>
          </w:r>
          <w:r>
            <w:rPr>
              <w:rStyle w:val="10"/>
            </w:rPr>
            <w:t>8.2.6. Дообогащение и актуализация номенклатурных позиций</w:t>
          </w:r>
          <w:r>
            <w:tab/>
          </w:r>
          <w:r>
            <w:fldChar w:fldCharType="begin"/>
          </w:r>
          <w:r>
            <w:instrText xml:space="preserve"> PAGEREF _Toc211008683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4EFC5EC7">
          <w:pPr>
            <w:pStyle w:val="23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"_Toc211008684" </w:instrText>
          </w:r>
          <w:r>
            <w:fldChar w:fldCharType="separate"/>
          </w:r>
          <w:r>
            <w:rPr>
              <w:rStyle w:val="10"/>
            </w:rPr>
            <w:t>8.2.7. Выявление и устранение дублирующихся номенклатур</w:t>
          </w:r>
          <w:r>
            <w:tab/>
          </w:r>
          <w:r>
            <w:fldChar w:fldCharType="begin"/>
          </w:r>
          <w:r>
            <w:instrText xml:space="preserve"> PAGEREF _Toc211008684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42CCC9F7">
          <w:pPr>
            <w:pStyle w:val="21"/>
            <w:tabs>
              <w:tab w:val="left" w:pos="480"/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"_Toc211008685" </w:instrText>
          </w:r>
          <w:r>
            <w:fldChar w:fldCharType="separate"/>
          </w:r>
          <w:r>
            <w:rPr>
              <w:rStyle w:val="10"/>
            </w:rPr>
            <w:t>9.</w:t>
          </w:r>
          <w:r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  <w:tab/>
          </w:r>
          <w:r>
            <w:rPr>
              <w:rStyle w:val="10"/>
            </w:rPr>
            <w:t>ПРОВЕРКА НОРМАЛИЗОВАННЫХ ДАННЫХ</w:t>
          </w:r>
          <w:r>
            <w:tab/>
          </w:r>
          <w:r>
            <w:fldChar w:fldCharType="begin"/>
          </w:r>
          <w:r>
            <w:instrText xml:space="preserve"> PAGEREF _Toc211008685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456CE21F">
          <w:pPr>
            <w:pStyle w:val="24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"_Toc211008686" </w:instrText>
          </w:r>
          <w:r>
            <w:fldChar w:fldCharType="separate"/>
          </w:r>
          <w:r>
            <w:rPr>
              <w:rStyle w:val="10"/>
            </w:rPr>
            <w:t>9.1. Количественная оценка нормализованных записей</w:t>
          </w:r>
          <w:r>
            <w:tab/>
          </w:r>
          <w:r>
            <w:fldChar w:fldCharType="begin"/>
          </w:r>
          <w:r>
            <w:instrText xml:space="preserve"> PAGEREF _Toc211008686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7D2B8D7C">
          <w:pPr>
            <w:pStyle w:val="24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"_Toc211008687" </w:instrText>
          </w:r>
          <w:r>
            <w:fldChar w:fldCharType="separate"/>
          </w:r>
          <w:r>
            <w:rPr>
              <w:rStyle w:val="10"/>
            </w:rPr>
            <w:t>9.2. Качественная оценка нормализованных записей</w:t>
          </w:r>
          <w:r>
            <w:tab/>
          </w:r>
          <w:r>
            <w:fldChar w:fldCharType="begin"/>
          </w:r>
          <w:r>
            <w:instrText xml:space="preserve"> PAGEREF _Toc211008687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0ADFC02B">
          <w:pPr>
            <w:pStyle w:val="23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"_Toc211008688" </w:instrText>
          </w:r>
          <w:r>
            <w:fldChar w:fldCharType="separate"/>
          </w:r>
          <w:r>
            <w:rPr>
              <w:rStyle w:val="10"/>
            </w:rPr>
            <w:t>9.2.1. Цели проверки качества записей</w:t>
          </w:r>
          <w:r>
            <w:tab/>
          </w:r>
          <w:r>
            <w:fldChar w:fldCharType="begin"/>
          </w:r>
          <w:r>
            <w:instrText xml:space="preserve"> PAGEREF _Toc211008688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44DBD74F">
          <w:pPr>
            <w:pStyle w:val="23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"_Toc211008689" </w:instrText>
          </w:r>
          <w:r>
            <w:fldChar w:fldCharType="separate"/>
          </w:r>
          <w:r>
            <w:rPr>
              <w:rStyle w:val="10"/>
            </w:rPr>
            <w:t>9.2.2. Перечень контрольных проверок по наименованию</w:t>
          </w:r>
          <w:r>
            <w:tab/>
          </w:r>
          <w:r>
            <w:fldChar w:fldCharType="begin"/>
          </w:r>
          <w:r>
            <w:instrText xml:space="preserve"> PAGEREF _Toc211008689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40DFD98D">
          <w:pPr>
            <w:pStyle w:val="23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"_Toc211008690" </w:instrText>
          </w:r>
          <w:r>
            <w:fldChar w:fldCharType="separate"/>
          </w:r>
          <w:r>
            <w:rPr>
              <w:rStyle w:val="10"/>
            </w:rPr>
            <w:t>9.2.3. Ключи уникальности</w:t>
          </w:r>
          <w:r>
            <w:tab/>
          </w:r>
          <w:r>
            <w:fldChar w:fldCharType="begin"/>
          </w:r>
          <w:r>
            <w:instrText xml:space="preserve"> PAGEREF _Toc211008690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66A9C69E">
          <w:pPr>
            <w:pStyle w:val="21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"_Toc211008691" </w:instrText>
          </w:r>
          <w:r>
            <w:fldChar w:fldCharType="separate"/>
          </w:r>
          <w:r>
            <w:rPr>
              <w:rStyle w:val="10"/>
            </w:rPr>
            <w:t>10. ПОРЯДОК КОНТРОЛЯ И ПРИЕМКИ</w:t>
          </w:r>
          <w:r>
            <w:tab/>
          </w:r>
          <w:r>
            <w:fldChar w:fldCharType="begin"/>
          </w:r>
          <w:r>
            <w:instrText xml:space="preserve"> PAGEREF _Toc211008691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1A3597C8">
          <w:pPr>
            <w:pStyle w:val="24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"_Toc211008692" </w:instrText>
          </w:r>
          <w:r>
            <w:fldChar w:fldCharType="separate"/>
          </w:r>
          <w:r>
            <w:rPr>
              <w:rStyle w:val="10"/>
            </w:rPr>
            <w:t>10.1. Описание порядка контроля и приемки</w:t>
          </w:r>
          <w:r>
            <w:tab/>
          </w:r>
          <w:r>
            <w:fldChar w:fldCharType="begin"/>
          </w:r>
          <w:r>
            <w:instrText xml:space="preserve"> PAGEREF _Toc211008692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150C9B37">
          <w:pPr>
            <w:pStyle w:val="24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"_Toc211008693" </w:instrText>
          </w:r>
          <w:r>
            <w:fldChar w:fldCharType="separate"/>
          </w:r>
          <w:r>
            <w:rPr>
              <w:rStyle w:val="10"/>
            </w:rPr>
            <w:t>10.2. Итоговый состав передаваемых материалов по итогам нормализации</w:t>
          </w:r>
          <w:r>
            <w:tab/>
          </w:r>
          <w:r>
            <w:fldChar w:fldCharType="begin"/>
          </w:r>
          <w:r>
            <w:instrText xml:space="preserve"> PAGEREF _Toc211008693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1FAB525E">
          <w:pPr>
            <w:pStyle w:val="24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"_Toc211008694" </w:instrText>
          </w:r>
          <w:r>
            <w:fldChar w:fldCharType="separate"/>
          </w:r>
          <w:r>
            <w:rPr>
              <w:rStyle w:val="10"/>
            </w:rPr>
            <w:t>10.3. Периодичность проведения контроля и приемки</w:t>
          </w:r>
          <w:r>
            <w:tab/>
          </w:r>
          <w:r>
            <w:fldChar w:fldCharType="begin"/>
          </w:r>
          <w:r>
            <w:instrText xml:space="preserve"> PAGEREF _Toc211008694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0A839B45">
          <w:pPr>
            <w:pStyle w:val="24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"_Toc211008695" </w:instrText>
          </w:r>
          <w:r>
            <w:fldChar w:fldCharType="separate"/>
          </w:r>
          <w:r>
            <w:rPr>
              <w:rStyle w:val="10"/>
            </w:rPr>
            <w:t>10.4. Ответственные за проведение контроля и приемки</w:t>
          </w:r>
          <w:r>
            <w:tab/>
          </w:r>
          <w:r>
            <w:fldChar w:fldCharType="begin"/>
          </w:r>
          <w:r>
            <w:instrText xml:space="preserve"> PAGEREF _Toc211008695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75E8659A">
          <w:pPr>
            <w:pStyle w:val="21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"_Toc211008696" </w:instrText>
          </w:r>
          <w:r>
            <w:fldChar w:fldCharType="separate"/>
          </w:r>
          <w:r>
            <w:rPr>
              <w:rStyle w:val="10"/>
            </w:rPr>
            <w:t>11. ПРИЛОЖЕНИЯ</w:t>
          </w:r>
          <w:r>
            <w:tab/>
          </w:r>
          <w:r>
            <w:fldChar w:fldCharType="begin"/>
          </w:r>
          <w:r>
            <w:instrText xml:space="preserve"> PAGEREF _Toc211008696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6F8EC658">
          <w:pPr>
            <w:pStyle w:val="21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"_Toc211008697" </w:instrText>
          </w:r>
          <w:r>
            <w:fldChar w:fldCharType="separate"/>
          </w:r>
          <w:r>
            <w:rPr>
              <w:rStyle w:val="10"/>
            </w:rPr>
            <w:t>Приложение 1: Реестр нормализованных данных номенклатуры (пример)</w:t>
          </w:r>
          <w:r>
            <w:tab/>
          </w:r>
          <w:r>
            <w:fldChar w:fldCharType="begin"/>
          </w:r>
          <w:r>
            <w:instrText xml:space="preserve"> PAGEREF _Toc211008697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535C127B">
          <w:pPr>
            <w:pStyle w:val="21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"_Toc211008698" </w:instrText>
          </w:r>
          <w:r>
            <w:fldChar w:fldCharType="separate"/>
          </w:r>
          <w:r>
            <w:rPr>
              <w:rStyle w:val="10"/>
            </w:rPr>
            <w:t>Приложение 2: Паспорт данных (форма)</w:t>
          </w:r>
          <w:r>
            <w:tab/>
          </w:r>
          <w:r>
            <w:fldChar w:fldCharType="begin"/>
          </w:r>
          <w:r>
            <w:instrText xml:space="preserve"> PAGEREF _Toc211008698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0E3DE3E9">
          <w:pPr>
            <w:pStyle w:val="21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"_Toc211008699" </w:instrText>
          </w:r>
          <w:r>
            <w:fldChar w:fldCharType="separate"/>
          </w:r>
          <w:r>
            <w:rPr>
              <w:rStyle w:val="10"/>
            </w:rPr>
            <w:t>Приложение 3: Отчет о дублирующихся записях (пример)</w:t>
          </w:r>
          <w:r>
            <w:tab/>
          </w:r>
          <w:r>
            <w:fldChar w:fldCharType="begin"/>
          </w:r>
          <w:r>
            <w:instrText xml:space="preserve"> PAGEREF _Toc211008699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775D1258">
          <w:pPr>
            <w:pStyle w:val="21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"_Toc211008700" </w:instrText>
          </w:r>
          <w:r>
            <w:fldChar w:fldCharType="separate"/>
          </w:r>
          <w:r>
            <w:rPr>
              <w:rStyle w:val="10"/>
            </w:rPr>
            <w:t>Приложение 4: Правила слияния атрибутов для номенклатуры (образец)</w:t>
          </w:r>
          <w:r>
            <w:tab/>
          </w:r>
          <w:r>
            <w:fldChar w:fldCharType="begin"/>
          </w:r>
          <w:r>
            <w:instrText xml:space="preserve"> PAGEREF _Toc211008700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4895BCB8">
          <w:pPr>
            <w:pStyle w:val="21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"_Toc211008701" </w:instrText>
          </w:r>
          <w:r>
            <w:fldChar w:fldCharType="separate"/>
          </w:r>
          <w:r>
            <w:rPr>
              <w:rStyle w:val="10"/>
            </w:rPr>
            <w:t>Приложение 5: Шаблон класса (пример)</w:t>
          </w:r>
          <w:r>
            <w:tab/>
          </w:r>
          <w:r>
            <w:fldChar w:fldCharType="begin"/>
          </w:r>
          <w:r>
            <w:instrText xml:space="preserve"> PAGEREF _Toc211008701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3375B756">
          <w:pPr>
            <w:pStyle w:val="21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"_Toc211008702" </w:instrText>
          </w:r>
          <w:r>
            <w:fldChar w:fldCharType="separate"/>
          </w:r>
          <w:r>
            <w:rPr>
              <w:rStyle w:val="10"/>
            </w:rPr>
            <w:t>Приложение 6: Перечень групп материалов</w:t>
          </w:r>
          <w:r>
            <w:tab/>
          </w:r>
          <w:r>
            <w:fldChar w:fldCharType="begin"/>
          </w:r>
          <w:r>
            <w:instrText xml:space="preserve"> PAGEREF _Toc211008702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46072593">
          <w:pPr>
            <w:pStyle w:val="21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"_Toc211008703" </w:instrText>
          </w:r>
          <w:r>
            <w:fldChar w:fldCharType="separate"/>
          </w:r>
          <w:r>
            <w:rPr>
              <w:rStyle w:val="10"/>
            </w:rPr>
            <w:t>Приложение 7: Общепринятые обозначения единиц измерения</w:t>
          </w:r>
          <w:r>
            <w:tab/>
          </w:r>
          <w:r>
            <w:fldChar w:fldCharType="begin"/>
          </w:r>
          <w:r>
            <w:instrText xml:space="preserve"> PAGEREF _Toc211008703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1B394F3F">
          <w:pPr>
            <w:pStyle w:val="21"/>
            <w:tabs>
              <w:tab w:val="right" w:leader="dot" w:pos="9911"/>
            </w:tabs>
            <w:rPr>
              <w:rFonts w:asciiTheme="minorHAnsi" w:hAnsiTheme="minorHAnsi" w:eastAsiaTheme="minorEastAsia" w:cstheme="minorBidi"/>
              <w:b w:val="0"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"_Toc211008704" </w:instrText>
          </w:r>
          <w:r>
            <w:fldChar w:fldCharType="separate"/>
          </w:r>
          <w:r>
            <w:rPr>
              <w:rStyle w:val="10"/>
            </w:rPr>
            <w:t>Приложение 8: Общероссийский классификатор единиц измерения</w:t>
          </w:r>
          <w:r>
            <w:tab/>
          </w:r>
          <w:r>
            <w:fldChar w:fldCharType="begin"/>
          </w:r>
          <w:r>
            <w:instrText xml:space="preserve"> PAGEREF _Toc211008704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1F5C7D0B">
          <w:r>
            <w:rPr>
              <w:b/>
              <w:bCs/>
            </w:rPr>
            <w:fldChar w:fldCharType="end"/>
          </w:r>
        </w:p>
      </w:sdtContent>
    </w:sdt>
    <w:p w14:paraId="1FC94C5F">
      <w:pPr>
        <w:spacing w:after="160" w:line="259" w:lineRule="auto"/>
        <w:rPr>
          <w:lang w:val="en-US"/>
        </w:rPr>
      </w:pPr>
      <w:r>
        <w:br w:type="page"/>
      </w:r>
    </w:p>
    <w:p w14:paraId="04BDB353">
      <w:pPr>
        <w:pStyle w:val="64"/>
        <w:numPr>
          <w:ilvl w:val="0"/>
          <w:numId w:val="6"/>
        </w:numPr>
      </w:pPr>
      <w:bookmarkStart w:id="5" w:name="_Toc211008653"/>
      <w:r>
        <w:t>ТЕРМИНЫ И ОПРЕДЕЛЕНИ</w:t>
      </w:r>
      <w:bookmarkEnd w:id="1"/>
      <w:bookmarkEnd w:id="2"/>
      <w:bookmarkEnd w:id="3"/>
      <w:bookmarkEnd w:id="4"/>
      <w:r>
        <w:t>Я</w:t>
      </w:r>
      <w:bookmarkEnd w:id="5"/>
    </w:p>
    <w:p w14:paraId="7C951DF6">
      <w:pPr>
        <w:spacing w:after="240" w:line="276" w:lineRule="auto"/>
        <w:ind w:firstLine="709"/>
        <w:jc w:val="both"/>
        <w:rPr>
          <w:rFonts w:cs="Arial"/>
          <w:szCs w:val="22"/>
        </w:rPr>
      </w:pPr>
      <w:bookmarkStart w:id="6" w:name="_Toc62055070"/>
      <w:bookmarkStart w:id="7" w:name="_Toc14082868"/>
      <w:bookmarkStart w:id="8" w:name="_Toc14088463"/>
      <w:bookmarkStart w:id="9" w:name="_Toc15910892"/>
      <w:r>
        <w:rPr>
          <w:rFonts w:cs="Arial"/>
          <w:szCs w:val="22"/>
        </w:rPr>
        <w:t>В настоящем документе используются термины и определения, представленные в таблице №1.</w:t>
      </w:r>
    </w:p>
    <w:p w14:paraId="7FAB6A03">
      <w:pPr>
        <w:pStyle w:val="15"/>
        <w:keepNext/>
        <w:jc w:val="right"/>
      </w:pPr>
      <w:bookmarkStart w:id="10" w:name="_Toc143676070"/>
      <w:bookmarkStart w:id="11" w:name="_Toc155707610"/>
      <w:bookmarkStart w:id="12" w:name="_Toc76047860"/>
      <w:r>
        <w:t>Таблица 1. Термины и определения</w:t>
      </w:r>
      <w:bookmarkEnd w:id="10"/>
      <w:bookmarkEnd w:id="11"/>
      <w:bookmarkEnd w:id="12"/>
      <w:r>
        <w:t>.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873"/>
        <w:gridCol w:w="7264"/>
      </w:tblGrid>
      <w:tr w14:paraId="34E90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238" w:hRule="atLeast"/>
          <w:tblHeader/>
        </w:trPr>
        <w:tc>
          <w:tcPr>
            <w:tcW w:w="1417" w:type="pct"/>
            <w:shd w:val="pct15" w:color="auto" w:fill="auto"/>
            <w:vAlign w:val="center"/>
          </w:tcPr>
          <w:p w14:paraId="0B7FD319">
            <w:pPr>
              <w:spacing w:line="276" w:lineRule="auto"/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Термин</w:t>
            </w:r>
          </w:p>
        </w:tc>
        <w:tc>
          <w:tcPr>
            <w:tcW w:w="3583" w:type="pct"/>
            <w:shd w:val="pct15" w:color="auto" w:fill="auto"/>
            <w:vAlign w:val="center"/>
          </w:tcPr>
          <w:p w14:paraId="41D21E81">
            <w:pPr>
              <w:spacing w:line="276" w:lineRule="auto"/>
              <w:ind w:left="176"/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Определение</w:t>
            </w:r>
          </w:p>
        </w:tc>
      </w:tr>
      <w:tr w14:paraId="7BFB3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6B817DEF">
            <w:pPr>
              <w:spacing w:line="276" w:lineRule="auto"/>
              <w:ind w:right="140"/>
              <w:rPr>
                <w:szCs w:val="22"/>
              </w:rPr>
            </w:pPr>
            <w:r>
              <w:rPr>
                <w:rFonts w:cs="Calibri"/>
                <w:szCs w:val="22"/>
              </w:rPr>
              <w:t>1С:MDM</w:t>
            </w:r>
          </w:p>
        </w:tc>
        <w:tc>
          <w:tcPr>
            <w:tcW w:w="3583" w:type="pct"/>
            <w:vAlign w:val="center"/>
          </w:tcPr>
          <w:p w14:paraId="61C920C6">
            <w:pPr>
              <w:spacing w:line="276" w:lineRule="auto"/>
              <w:jc w:val="both"/>
              <w:rPr>
                <w:szCs w:val="22"/>
              </w:rPr>
            </w:pPr>
            <w:r>
              <w:rPr>
                <w:rFonts w:cs="Calibri"/>
                <w:szCs w:val="22"/>
              </w:rPr>
              <w:t>Продукт фирмы «1С», отраслевое решение MDM для управления нормативной-справочной информацией (НСИ), сбора и нормализации данных, их поддержка в актуальном состоянии</w:t>
            </w:r>
          </w:p>
        </w:tc>
      </w:tr>
      <w:tr w14:paraId="188F4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00FB9E7F">
            <w:pPr>
              <w:spacing w:line="276" w:lineRule="auto"/>
              <w:ind w:right="140"/>
              <w:rPr>
                <w:szCs w:val="22"/>
              </w:rPr>
            </w:pPr>
            <w:r>
              <w:rPr>
                <w:rFonts w:cs="Calibri"/>
                <w:bCs/>
                <w:szCs w:val="22"/>
              </w:rPr>
              <w:t>Аналог</w:t>
            </w:r>
          </w:p>
        </w:tc>
        <w:tc>
          <w:tcPr>
            <w:tcW w:w="3583" w:type="pct"/>
            <w:vAlign w:val="center"/>
          </w:tcPr>
          <w:p w14:paraId="4FFC2E76">
            <w:pPr>
              <w:spacing w:line="276" w:lineRule="auto"/>
              <w:jc w:val="both"/>
              <w:rPr>
                <w:szCs w:val="22"/>
              </w:rPr>
            </w:pPr>
            <w:r>
              <w:rPr>
                <w:rFonts w:cs="Calibri"/>
                <w:szCs w:val="22"/>
              </w:rPr>
              <w:t>Номенклатурная позиция, которая полностью или частично совпадает по характеристикам и назначению с оригинальной позицией, но имеет отличное или устаревшее обозначение</w:t>
            </w:r>
          </w:p>
        </w:tc>
      </w:tr>
      <w:tr w14:paraId="5D2B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5C074D13">
            <w:pPr>
              <w:spacing w:line="276" w:lineRule="auto"/>
              <w:ind w:right="140"/>
              <w:rPr>
                <w:szCs w:val="22"/>
              </w:rPr>
            </w:pPr>
            <w:r>
              <w:rPr>
                <w:rFonts w:cs="Calibri"/>
                <w:szCs w:val="22"/>
              </w:rPr>
              <w:t>Атрибут</w:t>
            </w:r>
          </w:p>
        </w:tc>
        <w:tc>
          <w:tcPr>
            <w:tcW w:w="3583" w:type="pct"/>
            <w:vAlign w:val="center"/>
          </w:tcPr>
          <w:p w14:paraId="1F24ADC4">
            <w:pPr>
              <w:spacing w:line="276" w:lineRule="auto"/>
              <w:jc w:val="both"/>
              <w:rPr>
                <w:szCs w:val="22"/>
              </w:rPr>
            </w:pPr>
            <w:r>
              <w:rPr>
                <w:rFonts w:cs="Calibri"/>
                <w:szCs w:val="22"/>
              </w:rPr>
              <w:t>Поле, присутствующее только у записей определенных классов/шаблонов классов. Характеристика или данные, которые описывают объект</w:t>
            </w:r>
          </w:p>
        </w:tc>
      </w:tr>
      <w:tr w14:paraId="10116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3B319558">
            <w:pPr>
              <w:spacing w:line="276" w:lineRule="auto"/>
              <w:ind w:right="140"/>
              <w:rPr>
                <w:szCs w:val="22"/>
              </w:rPr>
            </w:pPr>
            <w:r>
              <w:rPr>
                <w:rFonts w:cs="Calibri"/>
                <w:szCs w:val="22"/>
              </w:rPr>
              <w:t>Бизнес-процесс</w:t>
            </w:r>
          </w:p>
        </w:tc>
        <w:tc>
          <w:tcPr>
            <w:tcW w:w="3583" w:type="pct"/>
            <w:vAlign w:val="center"/>
          </w:tcPr>
          <w:p w14:paraId="783B2543">
            <w:pPr>
              <w:spacing w:line="276" w:lineRule="auto"/>
              <w:jc w:val="both"/>
              <w:rPr>
                <w:szCs w:val="22"/>
              </w:rPr>
            </w:pPr>
            <w:r>
              <w:rPr>
                <w:rFonts w:cs="Calibri"/>
                <w:szCs w:val="22"/>
              </w:rPr>
              <w:t>Совокупность взаимосвязанных последовательных действий, направленных на создание/изменение объекта ИС</w:t>
            </w:r>
          </w:p>
        </w:tc>
      </w:tr>
      <w:tr w14:paraId="28CAB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4CEAD5E5">
            <w:pPr>
              <w:spacing w:line="276" w:lineRule="auto"/>
              <w:ind w:right="140"/>
              <w:rPr>
                <w:szCs w:val="22"/>
              </w:rPr>
            </w:pPr>
            <w:r>
              <w:rPr>
                <w:rFonts w:cs="Calibri"/>
                <w:szCs w:val="22"/>
              </w:rPr>
              <w:t>Ведение НСИ</w:t>
            </w:r>
          </w:p>
        </w:tc>
        <w:tc>
          <w:tcPr>
            <w:tcW w:w="3583" w:type="pct"/>
            <w:vAlign w:val="center"/>
          </w:tcPr>
          <w:p w14:paraId="681C8296">
            <w:pPr>
              <w:spacing w:line="276" w:lineRule="auto"/>
              <w:jc w:val="both"/>
              <w:rPr>
                <w:szCs w:val="22"/>
              </w:rPr>
            </w:pPr>
            <w:r>
              <w:rPr>
                <w:rFonts w:cs="Calibri"/>
                <w:szCs w:val="22"/>
              </w:rPr>
              <w:t xml:space="preserve">Согласованная и утвержденная последовательность операций, обеспечивающая создание, корректировку, блокирование и удаление экземпляров объектов НСИ </w:t>
            </w:r>
          </w:p>
        </w:tc>
      </w:tr>
      <w:tr w14:paraId="7B6F2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3773BCC4">
            <w:pPr>
              <w:spacing w:line="276" w:lineRule="auto"/>
              <w:ind w:right="140"/>
              <w:rPr>
                <w:szCs w:val="22"/>
              </w:rPr>
            </w:pPr>
            <w:r>
              <w:rPr>
                <w:rFonts w:cs="Calibri"/>
                <w:szCs w:val="22"/>
              </w:rPr>
              <w:t>Вид номенклатуры</w:t>
            </w:r>
          </w:p>
        </w:tc>
        <w:tc>
          <w:tcPr>
            <w:tcW w:w="3583" w:type="pct"/>
            <w:vAlign w:val="center"/>
          </w:tcPr>
          <w:p w14:paraId="6E1D771A">
            <w:pPr>
              <w:spacing w:line="276" w:lineRule="auto"/>
              <w:jc w:val="both"/>
              <w:rPr>
                <w:szCs w:val="22"/>
              </w:rPr>
            </w:pPr>
            <w:r>
              <w:rPr>
                <w:rFonts w:cs="Calibri"/>
                <w:szCs w:val="22"/>
              </w:rPr>
              <w:t>Материалы с одинаковыми основными характеристиками объединяются и присваиваются виду номенклатуры. Это обеспечивает единое управление различными материалами в соответствии с требованиями компании</w:t>
            </w:r>
          </w:p>
        </w:tc>
      </w:tr>
      <w:tr w14:paraId="1DCFD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02F048F0">
            <w:pPr>
              <w:spacing w:line="276" w:lineRule="auto"/>
              <w:ind w:right="140"/>
              <w:rPr>
                <w:szCs w:val="22"/>
              </w:rPr>
            </w:pPr>
            <w:r>
              <w:rPr>
                <w:rFonts w:cs="Calibri"/>
                <w:color w:val="000000"/>
                <w:szCs w:val="22"/>
              </w:rPr>
              <w:t>Владелец справочника НСИ</w:t>
            </w:r>
          </w:p>
        </w:tc>
        <w:tc>
          <w:tcPr>
            <w:tcW w:w="3583" w:type="pct"/>
            <w:vAlign w:val="center"/>
          </w:tcPr>
          <w:p w14:paraId="572ABE35">
            <w:pPr>
              <w:spacing w:line="276" w:lineRule="auto"/>
              <w:jc w:val="both"/>
              <w:rPr>
                <w:szCs w:val="22"/>
              </w:rPr>
            </w:pPr>
            <w:r>
              <w:rPr>
                <w:rFonts w:cs="Calibri"/>
                <w:color w:val="000000"/>
                <w:szCs w:val="22"/>
              </w:rPr>
              <w:t>Структурное подразделение, ответственное за утверждение требований к представлению объекта НСИ и контроль их выполнения, принимает решение о корректировке этих требований в случае изменения функционального наполнения эксплуатируемых ИС, законодательных и нормативных актов и т.д., а также при необходимости выступает в роли эксперта при обработке заявок на актуализацию справочников</w:t>
            </w:r>
          </w:p>
        </w:tc>
      </w:tr>
      <w:tr w14:paraId="11A48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106218E1">
            <w:pPr>
              <w:spacing w:line="276" w:lineRule="auto"/>
              <w:ind w:right="14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Вспомогательный справочник</w:t>
            </w:r>
          </w:p>
        </w:tc>
        <w:tc>
          <w:tcPr>
            <w:tcW w:w="3583" w:type="pct"/>
            <w:vAlign w:val="center"/>
          </w:tcPr>
          <w:p w14:paraId="1E613114">
            <w:pPr>
              <w:spacing w:line="276" w:lineRule="auto"/>
              <w:jc w:val="both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Набор данных, который используется для стандартизации и унификации определений, значений атрибутов, которые используются в информационных системах и приложениях. Данные, которые содержаться в референсных справочниках не подвержены изменениям и используются в качестве констант или базовых значений, на которые могут ссылаться другие данные в системе</w:t>
            </w:r>
          </w:p>
        </w:tc>
      </w:tr>
      <w:tr w14:paraId="70326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683C9526">
            <w:pPr>
              <w:spacing w:line="276" w:lineRule="auto"/>
              <w:ind w:right="140"/>
              <w:rPr>
                <w:szCs w:val="22"/>
              </w:rPr>
            </w:pPr>
            <w:r>
              <w:rPr>
                <w:rFonts w:cs="Calibri"/>
                <w:color w:val="000000"/>
                <w:szCs w:val="22"/>
              </w:rPr>
              <w:t>Дубли</w:t>
            </w:r>
          </w:p>
        </w:tc>
        <w:tc>
          <w:tcPr>
            <w:tcW w:w="3583" w:type="pct"/>
            <w:vAlign w:val="center"/>
          </w:tcPr>
          <w:p w14:paraId="7732BABA">
            <w:pPr>
              <w:spacing w:line="276" w:lineRule="auto"/>
              <w:jc w:val="both"/>
              <w:rPr>
                <w:szCs w:val="22"/>
              </w:rPr>
            </w:pPr>
            <w:r>
              <w:rPr>
                <w:rFonts w:cs="Calibri"/>
                <w:color w:val="000000"/>
                <w:szCs w:val="22"/>
              </w:rPr>
              <w:t>Две и более записи справочника, описывающих один и тот же объект НСИ</w:t>
            </w:r>
          </w:p>
        </w:tc>
      </w:tr>
      <w:tr w14:paraId="54FB2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7702AAD3">
            <w:pPr>
              <w:spacing w:line="276" w:lineRule="auto"/>
              <w:ind w:right="140"/>
              <w:rPr>
                <w:szCs w:val="22"/>
              </w:rPr>
            </w:pPr>
            <w:r>
              <w:rPr>
                <w:rFonts w:cs="Calibri"/>
                <w:szCs w:val="22"/>
              </w:rPr>
              <w:t>Заказчик</w:t>
            </w:r>
          </w:p>
        </w:tc>
        <w:tc>
          <w:tcPr>
            <w:tcW w:w="3583" w:type="pct"/>
            <w:vAlign w:val="center"/>
          </w:tcPr>
          <w:p w14:paraId="3C6049C7">
            <w:pPr>
              <w:spacing w:line="276" w:lineRule="auto"/>
              <w:jc w:val="both"/>
              <w:rPr>
                <w:szCs w:val="22"/>
              </w:rPr>
            </w:pPr>
            <w:r>
              <w:rPr>
                <w:rFonts w:cs="Calibri"/>
                <w:szCs w:val="22"/>
              </w:rPr>
              <w:t>ООО "Горнорудный Майнинг"</w:t>
            </w:r>
          </w:p>
        </w:tc>
      </w:tr>
      <w:tr w14:paraId="3704F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20BC657A">
            <w:pPr>
              <w:spacing w:line="276" w:lineRule="auto"/>
              <w:ind w:right="14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Запись (позиция) справочника</w:t>
            </w:r>
          </w:p>
        </w:tc>
        <w:tc>
          <w:tcPr>
            <w:tcW w:w="3583" w:type="pct"/>
            <w:vAlign w:val="center"/>
          </w:tcPr>
          <w:p w14:paraId="768DBFD3">
            <w:pPr>
              <w:spacing w:line="276" w:lineRule="auto"/>
              <w:jc w:val="both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Структурированная совокупность данных, объединённых в единый объект или строку, которая представляет собой законченную информацию о сущности (объекте, событии, явлении)</w:t>
            </w:r>
          </w:p>
        </w:tc>
      </w:tr>
      <w:tr w14:paraId="5837E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4F5EC121">
            <w:pPr>
              <w:spacing w:line="276" w:lineRule="auto"/>
              <w:ind w:right="14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Исполнитель</w:t>
            </w:r>
          </w:p>
        </w:tc>
        <w:tc>
          <w:tcPr>
            <w:tcW w:w="3583" w:type="pct"/>
            <w:vAlign w:val="center"/>
          </w:tcPr>
          <w:p w14:paraId="0123DF3E">
            <w:pPr>
              <w:spacing w:line="276" w:lineRule="auto"/>
              <w:jc w:val="both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ООО «Градум»</w:t>
            </w:r>
          </w:p>
        </w:tc>
      </w:tr>
      <w:tr w14:paraId="4C380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49BAA134">
            <w:pPr>
              <w:spacing w:line="276" w:lineRule="auto"/>
              <w:ind w:right="140"/>
              <w:rPr>
                <w:szCs w:val="22"/>
              </w:rPr>
            </w:pPr>
            <w:r>
              <w:rPr>
                <w:rFonts w:cs="Calibri"/>
                <w:color w:val="000000"/>
                <w:szCs w:val="22"/>
              </w:rPr>
              <w:t>Классификатор</w:t>
            </w:r>
          </w:p>
        </w:tc>
        <w:tc>
          <w:tcPr>
            <w:tcW w:w="3583" w:type="pct"/>
            <w:vAlign w:val="center"/>
          </w:tcPr>
          <w:p w14:paraId="17C719DD">
            <w:pPr>
              <w:spacing w:line="276" w:lineRule="auto"/>
              <w:jc w:val="both"/>
              <w:rPr>
                <w:szCs w:val="22"/>
              </w:rPr>
            </w:pPr>
            <w:r>
              <w:rPr>
                <w:rFonts w:cs="Calibri"/>
                <w:color w:val="000000"/>
                <w:szCs w:val="22"/>
              </w:rPr>
              <w:t>Надстройка над справочником, обеспечивающая возможность структуризации объектов классификации по различным правилам, формализации описаний свойств и характеристик объектов классификации, хранения дополнительной информации, а также быстрого и удобного поиска объектов классификации</w:t>
            </w:r>
          </w:p>
        </w:tc>
      </w:tr>
      <w:tr w14:paraId="0D60B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1BB8A92E">
            <w:pPr>
              <w:spacing w:line="276" w:lineRule="auto"/>
              <w:ind w:right="140"/>
              <w:rPr>
                <w:szCs w:val="22"/>
              </w:rPr>
            </w:pPr>
            <w:r>
              <w:rPr>
                <w:rFonts w:cs="Calibri"/>
                <w:color w:val="000000"/>
                <w:szCs w:val="22"/>
              </w:rPr>
              <w:t>Классификация</w:t>
            </w:r>
          </w:p>
        </w:tc>
        <w:tc>
          <w:tcPr>
            <w:tcW w:w="3583" w:type="pct"/>
            <w:vAlign w:val="center"/>
          </w:tcPr>
          <w:p w14:paraId="163F16F7">
            <w:pPr>
              <w:spacing w:line="276" w:lineRule="auto"/>
              <w:jc w:val="both"/>
              <w:rPr>
                <w:szCs w:val="22"/>
              </w:rPr>
            </w:pPr>
            <w:r>
              <w:rPr>
                <w:rFonts w:cs="Calibri"/>
                <w:color w:val="000000"/>
                <w:szCs w:val="22"/>
              </w:rPr>
              <w:t>Разделение множества экземпляров на подмножества (классификационные группировки) по их схожести или различию в соответствии с принятыми методами классификации</w:t>
            </w:r>
          </w:p>
        </w:tc>
      </w:tr>
      <w:tr w14:paraId="430DC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11C12A5B">
            <w:pPr>
              <w:spacing w:line="276" w:lineRule="auto"/>
              <w:ind w:right="140"/>
              <w:rPr>
                <w:szCs w:val="22"/>
              </w:rPr>
            </w:pPr>
            <w:r>
              <w:rPr>
                <w:rFonts w:cs="Calibri"/>
                <w:color w:val="000000"/>
                <w:szCs w:val="22"/>
              </w:rPr>
              <w:t>Кросс-таблица</w:t>
            </w:r>
          </w:p>
        </w:tc>
        <w:tc>
          <w:tcPr>
            <w:tcW w:w="3583" w:type="pct"/>
            <w:vAlign w:val="center"/>
          </w:tcPr>
          <w:p w14:paraId="3A82B2AF">
            <w:pPr>
              <w:spacing w:line="276" w:lineRule="auto"/>
              <w:jc w:val="both"/>
              <w:rPr>
                <w:szCs w:val="22"/>
              </w:rPr>
            </w:pPr>
            <w:r>
              <w:rPr>
                <w:rFonts w:cs="Calibri"/>
                <w:color w:val="000000"/>
                <w:szCs w:val="22"/>
              </w:rPr>
              <w:t>Инструмент анализа данных, который позволяет сравнить и сопоставить информацию между двумя или более записями друг с другом</w:t>
            </w:r>
          </w:p>
        </w:tc>
      </w:tr>
      <w:tr w14:paraId="5DC34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3B7CE459">
            <w:pPr>
              <w:spacing w:line="276" w:lineRule="auto"/>
              <w:ind w:right="140"/>
              <w:rPr>
                <w:szCs w:val="22"/>
              </w:rPr>
            </w:pPr>
            <w:r>
              <w:rPr>
                <w:rFonts w:cs="Calibri"/>
                <w:color w:val="000000"/>
                <w:szCs w:val="22"/>
              </w:rPr>
              <w:t>Мастер-система</w:t>
            </w:r>
          </w:p>
        </w:tc>
        <w:tc>
          <w:tcPr>
            <w:tcW w:w="3583" w:type="pct"/>
            <w:vAlign w:val="center"/>
          </w:tcPr>
          <w:p w14:paraId="41510F43">
            <w:pPr>
              <w:spacing w:line="276" w:lineRule="auto"/>
              <w:jc w:val="both"/>
              <w:rPr>
                <w:szCs w:val="22"/>
              </w:rPr>
            </w:pPr>
            <w:r>
              <w:rPr>
                <w:rFonts w:cs="Calibri"/>
                <w:color w:val="000000"/>
                <w:szCs w:val="22"/>
              </w:rPr>
              <w:t>Информационная система, в которой осуществляются ввод, хранение и ведение экземпляра объекта НСИ</w:t>
            </w:r>
          </w:p>
        </w:tc>
      </w:tr>
      <w:tr w14:paraId="424D1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47A58242">
            <w:pPr>
              <w:spacing w:line="276" w:lineRule="auto"/>
              <w:ind w:right="140"/>
              <w:rPr>
                <w:szCs w:val="22"/>
              </w:rPr>
            </w:pPr>
            <w:r>
              <w:rPr>
                <w:rFonts w:cs="Calibri"/>
                <w:color w:val="000000"/>
                <w:szCs w:val="22"/>
              </w:rPr>
              <w:t>Нормализация</w:t>
            </w:r>
          </w:p>
        </w:tc>
        <w:tc>
          <w:tcPr>
            <w:tcW w:w="3583" w:type="pct"/>
            <w:vAlign w:val="center"/>
          </w:tcPr>
          <w:p w14:paraId="3382F711">
            <w:pPr>
              <w:spacing w:line="276" w:lineRule="auto"/>
              <w:jc w:val="both"/>
              <w:rPr>
                <w:szCs w:val="22"/>
              </w:rPr>
            </w:pPr>
            <w:r>
              <w:rPr>
                <w:rFonts w:cs="Calibri"/>
                <w:color w:val="000000"/>
                <w:szCs w:val="22"/>
              </w:rPr>
              <w:t>Устранение ошибок, выявление неполно и некорректно описанных позиций, неактуальных записей, устранение дублей, дополнение недостающей информации, унификация данных в справочнике</w:t>
            </w:r>
          </w:p>
        </w:tc>
      </w:tr>
      <w:tr w14:paraId="316C9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6B3E7F37">
            <w:pPr>
              <w:spacing w:line="276" w:lineRule="auto"/>
              <w:ind w:right="140"/>
              <w:rPr>
                <w:szCs w:val="22"/>
              </w:rPr>
            </w:pPr>
            <w:r>
              <w:rPr>
                <w:rFonts w:cs="Calibri"/>
                <w:color w:val="000000"/>
                <w:szCs w:val="22"/>
              </w:rPr>
              <w:t>Нормативно-справочная информация</w:t>
            </w:r>
          </w:p>
        </w:tc>
        <w:tc>
          <w:tcPr>
            <w:tcW w:w="3583" w:type="pct"/>
            <w:vAlign w:val="center"/>
          </w:tcPr>
          <w:p w14:paraId="57A35E7C">
            <w:pPr>
              <w:spacing w:line="276" w:lineRule="auto"/>
              <w:jc w:val="both"/>
              <w:rPr>
                <w:szCs w:val="22"/>
              </w:rPr>
            </w:pPr>
            <w:r>
              <w:rPr>
                <w:rFonts w:cs="Calibri"/>
                <w:color w:val="000000"/>
                <w:szCs w:val="22"/>
              </w:rPr>
              <w:t>Совокупность условно-постоянных данных (справочники и классификаторы), которые представляют основу для формирования учетных документов, использующихся в бизнес-процессах Заказчика</w:t>
            </w:r>
          </w:p>
        </w:tc>
      </w:tr>
      <w:tr w14:paraId="3A499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7692F67A">
            <w:pPr>
              <w:spacing w:line="276" w:lineRule="auto"/>
              <w:ind w:right="140"/>
              <w:rPr>
                <w:rFonts w:cs="Calibri"/>
                <w:bCs/>
                <w:szCs w:val="22"/>
              </w:rPr>
            </w:pPr>
            <w:r>
              <w:rPr>
                <w:rFonts w:cs="Calibri"/>
                <w:bCs/>
                <w:szCs w:val="22"/>
              </w:rPr>
              <w:t>Паспорт данных</w:t>
            </w:r>
          </w:p>
        </w:tc>
        <w:tc>
          <w:tcPr>
            <w:tcW w:w="3583" w:type="pct"/>
            <w:vAlign w:val="center"/>
          </w:tcPr>
          <w:p w14:paraId="7F069330">
            <w:pPr>
              <w:spacing w:line="276" w:lineRule="auto"/>
              <w:jc w:val="both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Отчетная форма по результатам нормализации, в которой отражаются показатели качества данных справочника номенклатуры</w:t>
            </w:r>
          </w:p>
        </w:tc>
      </w:tr>
      <w:tr w14:paraId="244C6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3434E234">
            <w:pPr>
              <w:spacing w:line="276" w:lineRule="auto"/>
              <w:ind w:right="140"/>
              <w:rPr>
                <w:szCs w:val="22"/>
              </w:rPr>
            </w:pPr>
            <w:r>
              <w:rPr>
                <w:rFonts w:cs="Calibri"/>
                <w:bCs/>
                <w:szCs w:val="22"/>
              </w:rPr>
              <w:t>Регистр сведений</w:t>
            </w:r>
          </w:p>
        </w:tc>
        <w:tc>
          <w:tcPr>
            <w:tcW w:w="3583" w:type="pct"/>
            <w:vAlign w:val="center"/>
          </w:tcPr>
          <w:p w14:paraId="6BD6A387">
            <w:pPr>
              <w:spacing w:line="276" w:lineRule="auto"/>
              <w:jc w:val="both"/>
              <w:rPr>
                <w:szCs w:val="22"/>
              </w:rPr>
            </w:pPr>
            <w:r>
              <w:rPr>
                <w:rFonts w:cs="Calibri"/>
                <w:bCs/>
                <w:szCs w:val="22"/>
              </w:rPr>
              <w:t>Объект конфигурации 1С, который позволяет хранить данные в разрезе нескольких измерений (комбинации значений) и, при необходимости, в разрезе времени</w:t>
            </w:r>
          </w:p>
        </w:tc>
      </w:tr>
      <w:tr w14:paraId="1E9C4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6C80EBCB">
            <w:pPr>
              <w:spacing w:line="276" w:lineRule="auto"/>
              <w:ind w:right="140"/>
              <w:rPr>
                <w:szCs w:val="22"/>
              </w:rPr>
            </w:pPr>
            <w:r>
              <w:rPr>
                <w:rFonts w:cs="Calibri"/>
                <w:bCs/>
                <w:szCs w:val="22"/>
              </w:rPr>
              <w:t>Реквизит</w:t>
            </w:r>
          </w:p>
        </w:tc>
        <w:tc>
          <w:tcPr>
            <w:tcW w:w="3583" w:type="pct"/>
            <w:vAlign w:val="center"/>
          </w:tcPr>
          <w:p w14:paraId="28E2C495">
            <w:pPr>
              <w:spacing w:line="276" w:lineRule="auto"/>
              <w:jc w:val="both"/>
              <w:rPr>
                <w:szCs w:val="22"/>
              </w:rPr>
            </w:pPr>
            <w:r>
              <w:rPr>
                <w:rFonts w:cs="Calibri"/>
                <w:bCs/>
                <w:szCs w:val="22"/>
              </w:rPr>
              <w:t>Составляющая часть структурированной информации об объекте НСИ (поле карточки объекта НСИ, присутствующее у всех записей справочника)</w:t>
            </w:r>
          </w:p>
        </w:tc>
      </w:tr>
      <w:tr w14:paraId="536B9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30DC0BC7">
            <w:pPr>
              <w:spacing w:line="276" w:lineRule="auto"/>
              <w:ind w:right="140"/>
              <w:rPr>
                <w:szCs w:val="22"/>
              </w:rPr>
            </w:pPr>
            <w:r>
              <w:rPr>
                <w:rFonts w:cs="Calibri"/>
                <w:szCs w:val="22"/>
              </w:rPr>
              <w:t>Справочник</w:t>
            </w:r>
          </w:p>
        </w:tc>
        <w:tc>
          <w:tcPr>
            <w:tcW w:w="3583" w:type="pct"/>
            <w:vAlign w:val="center"/>
          </w:tcPr>
          <w:p w14:paraId="04BCA0A5">
            <w:pPr>
              <w:spacing w:line="276" w:lineRule="auto"/>
              <w:jc w:val="both"/>
              <w:rPr>
                <w:szCs w:val="22"/>
              </w:rPr>
            </w:pPr>
            <w:r>
              <w:rPr>
                <w:rFonts w:cs="Calibri"/>
                <w:szCs w:val="22"/>
              </w:rPr>
              <w:t xml:space="preserve">Упорядоченный набор уникальных элементов, содержащий сведения, объединённые единой тематикой. </w:t>
            </w:r>
          </w:p>
        </w:tc>
      </w:tr>
      <w:tr w14:paraId="76486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4D1964D3">
            <w:pPr>
              <w:spacing w:line="276" w:lineRule="auto"/>
              <w:ind w:right="140"/>
              <w:rPr>
                <w:szCs w:val="22"/>
              </w:rPr>
            </w:pPr>
            <w:r>
              <w:rPr>
                <w:rFonts w:cs="Calibri"/>
                <w:szCs w:val="22"/>
              </w:rPr>
              <w:t>Характеристика</w:t>
            </w:r>
          </w:p>
        </w:tc>
        <w:tc>
          <w:tcPr>
            <w:tcW w:w="3583" w:type="pct"/>
            <w:vAlign w:val="center"/>
          </w:tcPr>
          <w:p w14:paraId="623DC200">
            <w:pPr>
              <w:spacing w:line="276" w:lineRule="auto"/>
              <w:jc w:val="both"/>
              <w:rPr>
                <w:szCs w:val="22"/>
              </w:rPr>
            </w:pPr>
            <w:r>
              <w:rPr>
                <w:szCs w:val="22"/>
              </w:rPr>
              <w:t>Дополнительный реквизит, атрибут или свойство, которое позволяет детализировать и отличать друг от друга конкретные экземпляры одной и той же номенклатурной позиции</w:t>
            </w:r>
          </w:p>
        </w:tc>
      </w:tr>
      <w:tr w14:paraId="6E605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6B52EC5A">
            <w:pPr>
              <w:spacing w:line="276" w:lineRule="auto"/>
              <w:ind w:right="140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Шаблон класса</w:t>
            </w:r>
          </w:p>
        </w:tc>
        <w:tc>
          <w:tcPr>
            <w:tcW w:w="3583" w:type="pct"/>
            <w:vAlign w:val="center"/>
          </w:tcPr>
          <w:p w14:paraId="67421D06">
            <w:pPr>
              <w:spacing w:line="276" w:lineRule="auto"/>
              <w:jc w:val="both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>Заранее определенная структура атрибутов, которая описывает типовые свойства и характеристики объектов, принадлежащих к определенному классу в классификаторе</w:t>
            </w:r>
          </w:p>
        </w:tc>
      </w:tr>
      <w:tr w14:paraId="2F154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131" w:hRule="atLeast"/>
        </w:trPr>
        <w:tc>
          <w:tcPr>
            <w:tcW w:w="1417" w:type="pct"/>
            <w:vAlign w:val="center"/>
          </w:tcPr>
          <w:p w14:paraId="7273F95C">
            <w:pPr>
              <w:spacing w:line="276" w:lineRule="auto"/>
              <w:ind w:right="140"/>
              <w:rPr>
                <w:szCs w:val="22"/>
              </w:rPr>
            </w:pPr>
            <w:r>
              <w:rPr>
                <w:rFonts w:cs="Calibri"/>
                <w:bCs/>
                <w:szCs w:val="22"/>
              </w:rPr>
              <w:t>Эталонная запись</w:t>
            </w:r>
          </w:p>
        </w:tc>
        <w:tc>
          <w:tcPr>
            <w:tcW w:w="3583" w:type="pct"/>
            <w:vAlign w:val="center"/>
          </w:tcPr>
          <w:p w14:paraId="66323482">
            <w:pPr>
              <w:spacing w:line="276" w:lineRule="auto"/>
              <w:jc w:val="both"/>
              <w:rPr>
                <w:szCs w:val="22"/>
              </w:rPr>
            </w:pPr>
            <w:r>
              <w:rPr>
                <w:rFonts w:cs="Calibri"/>
                <w:szCs w:val="22"/>
              </w:rPr>
              <w:t>Запись справочника, содержащая наиболее полное описание объекта НСИ, выбранная в качестве главного представителя группы дублирующих записей для дальнейшего использования в справочнике и последующего устранения ее дублей</w:t>
            </w:r>
          </w:p>
        </w:tc>
      </w:tr>
    </w:tbl>
    <w:p w14:paraId="0E6E496E">
      <w:pPr>
        <w:spacing w:line="276" w:lineRule="auto"/>
      </w:pPr>
      <w:bookmarkStart w:id="13" w:name="_Toc155707611"/>
      <w:bookmarkStart w:id="14" w:name="_Toc143676071"/>
      <w:bookmarkStart w:id="15" w:name="_Toc76047861"/>
    </w:p>
    <w:p w14:paraId="10834636">
      <w:pPr>
        <w:pStyle w:val="64"/>
        <w:numPr>
          <w:ilvl w:val="0"/>
          <w:numId w:val="6"/>
        </w:numPr>
      </w:pPr>
      <w:bookmarkStart w:id="16" w:name="_Toc211008654"/>
      <w:r>
        <w:t>ОБОЗНАЧЕНИЯ И СОКРАЩЕНИЯ</w:t>
      </w:r>
      <w:bookmarkEnd w:id="16"/>
    </w:p>
    <w:p w14:paraId="4ADA5361">
      <w:pPr>
        <w:spacing w:after="240"/>
        <w:ind w:firstLine="709"/>
        <w:jc w:val="both"/>
        <w:rPr>
          <w:lang w:eastAsia="en-US"/>
        </w:rPr>
      </w:pPr>
      <w:r>
        <w:rPr>
          <w:lang w:eastAsia="en-US"/>
        </w:rPr>
        <w:t xml:space="preserve">Используемые в </w:t>
      </w:r>
      <w:r>
        <w:rPr>
          <w:rFonts w:cs="Arial"/>
          <w:szCs w:val="22"/>
        </w:rPr>
        <w:t xml:space="preserve">настоящем документе </w:t>
      </w:r>
      <w:r>
        <w:rPr>
          <w:lang w:eastAsia="en-US"/>
        </w:rPr>
        <w:t>сокращения с их расшифровкой представлены в таблице №2.</w:t>
      </w:r>
    </w:p>
    <w:p w14:paraId="29939247">
      <w:pPr>
        <w:pStyle w:val="15"/>
        <w:keepNext/>
        <w:jc w:val="right"/>
      </w:pPr>
      <w:r>
        <w:t>Таблица 2. Перечень сокращений</w:t>
      </w:r>
      <w:bookmarkEnd w:id="13"/>
      <w:bookmarkEnd w:id="14"/>
      <w:bookmarkEnd w:id="15"/>
      <w:r>
        <w:t>.</w:t>
      </w:r>
    </w:p>
    <w:bookmarkEnd w:id="6"/>
    <w:bookmarkEnd w:id="7"/>
    <w:bookmarkEnd w:id="8"/>
    <w:bookmarkEnd w:id="9"/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873"/>
        <w:gridCol w:w="7264"/>
      </w:tblGrid>
      <w:tr w14:paraId="3C94C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4" w:hRule="atLeast"/>
          <w:tblHeader/>
        </w:trPr>
        <w:tc>
          <w:tcPr>
            <w:tcW w:w="1417" w:type="pct"/>
            <w:shd w:val="pct15" w:color="auto" w:fill="auto"/>
            <w:vAlign w:val="center"/>
          </w:tcPr>
          <w:p w14:paraId="6EEF027E">
            <w:pPr>
              <w:spacing w:line="276" w:lineRule="auto"/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Сокращение</w:t>
            </w:r>
          </w:p>
        </w:tc>
        <w:tc>
          <w:tcPr>
            <w:tcW w:w="3583" w:type="pct"/>
            <w:shd w:val="pct15" w:color="auto" w:fill="auto"/>
            <w:vAlign w:val="center"/>
          </w:tcPr>
          <w:p w14:paraId="623F971B">
            <w:pPr>
              <w:spacing w:line="276" w:lineRule="auto"/>
              <w:ind w:left="176"/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Определение</w:t>
            </w:r>
          </w:p>
        </w:tc>
      </w:tr>
      <w:tr w14:paraId="24330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1417" w:type="pct"/>
          </w:tcPr>
          <w:p w14:paraId="471025DE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MDM</w:t>
            </w:r>
          </w:p>
        </w:tc>
        <w:tc>
          <w:tcPr>
            <w:tcW w:w="3583" w:type="pct"/>
          </w:tcPr>
          <w:p w14:paraId="518987FE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Master Data Management</w:t>
            </w:r>
          </w:p>
        </w:tc>
      </w:tr>
      <w:tr w14:paraId="2A7CD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1417" w:type="pct"/>
          </w:tcPr>
          <w:p w14:paraId="5E4F77C0">
            <w:pPr>
              <w:spacing w:line="276" w:lineRule="auto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NF</w:t>
            </w:r>
          </w:p>
        </w:tc>
        <w:tc>
          <w:tcPr>
            <w:tcW w:w="3583" w:type="pct"/>
          </w:tcPr>
          <w:p w14:paraId="29B1F125">
            <w:pPr>
              <w:spacing w:line="276" w:lineRule="auto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Normal Form</w:t>
            </w:r>
          </w:p>
        </w:tc>
      </w:tr>
      <w:tr w14:paraId="1B8E4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1417" w:type="pct"/>
          </w:tcPr>
          <w:p w14:paraId="0B45FBF5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БД</w:t>
            </w:r>
          </w:p>
        </w:tc>
        <w:tc>
          <w:tcPr>
            <w:tcW w:w="3583" w:type="pct"/>
          </w:tcPr>
          <w:p w14:paraId="16DF9CC8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База данных</w:t>
            </w:r>
          </w:p>
        </w:tc>
      </w:tr>
      <w:tr w14:paraId="7878B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</w:trPr>
        <w:tc>
          <w:tcPr>
            <w:tcW w:w="1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01A545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БП</w:t>
            </w:r>
          </w:p>
        </w:tc>
        <w:tc>
          <w:tcPr>
            <w:tcW w:w="3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2E1F70">
            <w:pPr>
              <w:suppressAutoHyphens/>
              <w:spacing w:line="276" w:lineRule="auto"/>
              <w:jc w:val="both"/>
              <w:rPr>
                <w:szCs w:val="22"/>
              </w:rPr>
            </w:pPr>
            <w:r>
              <w:rPr>
                <w:szCs w:val="22"/>
              </w:rPr>
              <w:t>Бизнес-процесс</w:t>
            </w:r>
          </w:p>
        </w:tc>
      </w:tr>
      <w:tr w14:paraId="3EE76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</w:trPr>
        <w:tc>
          <w:tcPr>
            <w:tcW w:w="1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07094A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ЕИ</w:t>
            </w:r>
          </w:p>
        </w:tc>
        <w:tc>
          <w:tcPr>
            <w:tcW w:w="3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C4B73">
            <w:pPr>
              <w:suppressAutoHyphens/>
              <w:spacing w:line="276" w:lineRule="auto"/>
              <w:jc w:val="both"/>
              <w:rPr>
                <w:szCs w:val="22"/>
              </w:rPr>
            </w:pPr>
            <w:r>
              <w:rPr>
                <w:szCs w:val="22"/>
              </w:rPr>
              <w:t>Единица измерения</w:t>
            </w:r>
          </w:p>
        </w:tc>
      </w:tr>
      <w:tr w14:paraId="62FAE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</w:trPr>
        <w:tc>
          <w:tcPr>
            <w:tcW w:w="1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DE55C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ЕНС</w:t>
            </w:r>
          </w:p>
        </w:tc>
        <w:tc>
          <w:tcPr>
            <w:tcW w:w="3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54DEFA">
            <w:pPr>
              <w:suppressAutoHyphens/>
              <w:spacing w:line="276" w:lineRule="auto"/>
              <w:jc w:val="both"/>
              <w:rPr>
                <w:szCs w:val="22"/>
              </w:rPr>
            </w:pPr>
            <w:r>
              <w:rPr>
                <w:szCs w:val="22"/>
              </w:rPr>
              <w:t>Единый номенклатурный справочник</w:t>
            </w:r>
          </w:p>
        </w:tc>
      </w:tr>
      <w:tr w14:paraId="2FE69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1417" w:type="pct"/>
            <w:vAlign w:val="center"/>
          </w:tcPr>
          <w:p w14:paraId="4A19CDA3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ИС</w:t>
            </w:r>
          </w:p>
        </w:tc>
        <w:tc>
          <w:tcPr>
            <w:tcW w:w="3583" w:type="pct"/>
            <w:vAlign w:val="center"/>
          </w:tcPr>
          <w:p w14:paraId="5AF2CE70">
            <w:pPr>
              <w:spacing w:line="276" w:lineRule="auto"/>
              <w:jc w:val="both"/>
              <w:rPr>
                <w:szCs w:val="22"/>
              </w:rPr>
            </w:pPr>
            <w:r>
              <w:rPr>
                <w:szCs w:val="22"/>
              </w:rPr>
              <w:t>Информационная система</w:t>
            </w:r>
          </w:p>
        </w:tc>
      </w:tr>
      <w:tr w14:paraId="2516C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1417" w:type="pct"/>
            <w:vAlign w:val="center"/>
          </w:tcPr>
          <w:p w14:paraId="422C8164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МТР</w:t>
            </w:r>
          </w:p>
        </w:tc>
        <w:tc>
          <w:tcPr>
            <w:tcW w:w="3583" w:type="pct"/>
            <w:vAlign w:val="center"/>
          </w:tcPr>
          <w:p w14:paraId="406CB2DE">
            <w:pPr>
              <w:spacing w:line="276" w:lineRule="auto"/>
              <w:jc w:val="both"/>
              <w:rPr>
                <w:szCs w:val="22"/>
              </w:rPr>
            </w:pPr>
            <w:r>
              <w:rPr>
                <w:szCs w:val="22"/>
              </w:rPr>
              <w:t>Материально-технические ресурсы</w:t>
            </w:r>
          </w:p>
        </w:tc>
      </w:tr>
      <w:tr w14:paraId="5D2A4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</w:trPr>
        <w:tc>
          <w:tcPr>
            <w:tcW w:w="1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7918E0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НСИ</w:t>
            </w:r>
          </w:p>
        </w:tc>
        <w:tc>
          <w:tcPr>
            <w:tcW w:w="3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BC12CE">
            <w:pPr>
              <w:suppressAutoHyphens/>
              <w:spacing w:line="276" w:lineRule="auto"/>
              <w:jc w:val="both"/>
              <w:rPr>
                <w:szCs w:val="22"/>
              </w:rPr>
            </w:pPr>
            <w:r>
              <w:rPr>
                <w:szCs w:val="22"/>
              </w:rPr>
              <w:t>Нормативно-справочная информация</w:t>
            </w:r>
          </w:p>
        </w:tc>
      </w:tr>
      <w:tr w14:paraId="25EDE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</w:trPr>
        <w:tc>
          <w:tcPr>
            <w:tcW w:w="1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F10D31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ОКЕИ</w:t>
            </w:r>
          </w:p>
        </w:tc>
        <w:tc>
          <w:tcPr>
            <w:tcW w:w="3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93ECBC">
            <w:pPr>
              <w:suppressAutoHyphens/>
              <w:spacing w:line="276" w:lineRule="auto"/>
              <w:jc w:val="both"/>
              <w:rPr>
                <w:szCs w:val="22"/>
              </w:rPr>
            </w:pPr>
            <w:r>
              <w:rPr>
                <w:szCs w:val="22"/>
              </w:rPr>
              <w:t>Общероссийский классификатор единиц измерения</w:t>
            </w:r>
          </w:p>
        </w:tc>
      </w:tr>
      <w:tr w14:paraId="0ADA8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</w:trPr>
        <w:tc>
          <w:tcPr>
            <w:tcW w:w="1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005FC6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ОКПД 2</w:t>
            </w:r>
          </w:p>
        </w:tc>
        <w:tc>
          <w:tcPr>
            <w:tcW w:w="3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66E135">
            <w:pPr>
              <w:suppressAutoHyphens/>
              <w:spacing w:line="276" w:lineRule="auto"/>
              <w:rPr>
                <w:szCs w:val="22"/>
              </w:rPr>
            </w:pPr>
            <w:r>
              <w:rPr>
                <w:lang w:eastAsia="zh-CN" w:bidi="ru-RU"/>
              </w:rPr>
              <w:t>Общероссийский классификатор продукции по видам экономической деятельности ОК 034-214 (КПЕС 2008), утвержденным приказом Росстандарта от 31 января 2014 № 14-ст (</w:t>
            </w:r>
            <w:r>
              <w:t>с изменениями, утвержденными Приказом Росстандарта от 03.05.2017 №347-ст</w:t>
            </w:r>
            <w:r>
              <w:rPr>
                <w:lang w:eastAsia="zh-CN" w:bidi="ru-RU"/>
              </w:rPr>
              <w:t>)</w:t>
            </w:r>
          </w:p>
        </w:tc>
      </w:tr>
      <w:tr w14:paraId="1D86E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</w:trPr>
        <w:tc>
          <w:tcPr>
            <w:tcW w:w="1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7234CB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ОКСМ</w:t>
            </w:r>
          </w:p>
        </w:tc>
        <w:tc>
          <w:tcPr>
            <w:tcW w:w="3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032B9">
            <w:pPr>
              <w:suppressAutoHyphens/>
              <w:spacing w:line="276" w:lineRule="auto"/>
              <w:jc w:val="both"/>
              <w:rPr>
                <w:szCs w:val="22"/>
              </w:rPr>
            </w:pPr>
            <w:r>
              <w:rPr>
                <w:szCs w:val="22"/>
              </w:rPr>
              <w:t>Общероссийский классификатор стран мира</w:t>
            </w:r>
          </w:p>
        </w:tc>
      </w:tr>
      <w:tr w14:paraId="17299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</w:trPr>
        <w:tc>
          <w:tcPr>
            <w:tcW w:w="1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493AB5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СИ</w:t>
            </w:r>
          </w:p>
        </w:tc>
        <w:tc>
          <w:tcPr>
            <w:tcW w:w="3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5DF917">
            <w:pPr>
              <w:suppressAutoHyphens/>
              <w:spacing w:line="276" w:lineRule="auto"/>
              <w:jc w:val="both"/>
              <w:rPr>
                <w:szCs w:val="22"/>
              </w:rPr>
            </w:pPr>
            <w:r>
              <w:rPr>
                <w:szCs w:val="22"/>
              </w:rPr>
              <w:t>Система измерения</w:t>
            </w:r>
          </w:p>
        </w:tc>
      </w:tr>
      <w:tr w14:paraId="5BA68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</w:trPr>
        <w:tc>
          <w:tcPr>
            <w:tcW w:w="1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EB7BF8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СС+З</w:t>
            </w:r>
          </w:p>
        </w:tc>
        <w:tc>
          <w:tcPr>
            <w:tcW w:w="3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FF9291">
            <w:pPr>
              <w:suppressAutoHyphens/>
              <w:spacing w:line="276" w:lineRule="auto"/>
              <w:jc w:val="both"/>
              <w:rPr>
                <w:szCs w:val="22"/>
              </w:rPr>
            </w:pPr>
            <w:r>
              <w:rPr>
                <w:szCs w:val="22"/>
              </w:rPr>
              <w:t>АО "Сарылах-Сурьма" и ООО "Звезда"</w:t>
            </w:r>
          </w:p>
        </w:tc>
      </w:tr>
      <w:tr w14:paraId="13317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</w:trPr>
        <w:tc>
          <w:tcPr>
            <w:tcW w:w="1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E2D14F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СФО</w:t>
            </w:r>
          </w:p>
        </w:tc>
        <w:tc>
          <w:tcPr>
            <w:tcW w:w="3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84B571">
            <w:pPr>
              <w:suppressAutoHyphens/>
              <w:spacing w:line="276" w:lineRule="auto"/>
              <w:jc w:val="both"/>
              <w:rPr>
                <w:szCs w:val="22"/>
              </w:rPr>
            </w:pPr>
            <w:r>
              <w:rPr>
                <w:szCs w:val="22"/>
              </w:rPr>
              <w:t>Специальная форменная одежда</w:t>
            </w:r>
          </w:p>
        </w:tc>
      </w:tr>
      <w:tr w14:paraId="55B5C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</w:trPr>
        <w:tc>
          <w:tcPr>
            <w:tcW w:w="1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43F520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ТМЦ</w:t>
            </w:r>
          </w:p>
        </w:tc>
        <w:tc>
          <w:tcPr>
            <w:tcW w:w="3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1F881D">
            <w:pPr>
              <w:suppressAutoHyphens/>
              <w:spacing w:line="276" w:lineRule="auto"/>
              <w:jc w:val="both"/>
              <w:rPr>
                <w:szCs w:val="22"/>
              </w:rPr>
            </w:pPr>
            <w:r>
              <w:rPr>
                <w:szCs w:val="22"/>
              </w:rPr>
              <w:t>Товарно-материальные ценности</w:t>
            </w:r>
          </w:p>
        </w:tc>
      </w:tr>
      <w:tr w14:paraId="5B6ED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2" w:hRule="atLeast"/>
        </w:trPr>
        <w:tc>
          <w:tcPr>
            <w:tcW w:w="1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0DA657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ГОСТ</w:t>
            </w:r>
          </w:p>
        </w:tc>
        <w:tc>
          <w:tcPr>
            <w:tcW w:w="3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B31D10">
            <w:r>
              <w:t>Государственный стандарт</w:t>
            </w:r>
          </w:p>
        </w:tc>
      </w:tr>
      <w:tr w14:paraId="34275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</w:trPr>
        <w:tc>
          <w:tcPr>
            <w:tcW w:w="1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3BABC3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ОСТ</w:t>
            </w:r>
          </w:p>
        </w:tc>
        <w:tc>
          <w:tcPr>
            <w:tcW w:w="3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3952B8">
            <w:r>
              <w:t>Отраслевой стандарт</w:t>
            </w:r>
          </w:p>
        </w:tc>
      </w:tr>
      <w:tr w14:paraId="59EF0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</w:trPr>
        <w:tc>
          <w:tcPr>
            <w:tcW w:w="1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C8A2F">
            <w:pPr>
              <w:spacing w:line="276" w:lineRule="auto"/>
              <w:rPr>
                <w:szCs w:val="22"/>
              </w:rPr>
            </w:pPr>
            <w:r>
              <w:rPr>
                <w:szCs w:val="22"/>
              </w:rPr>
              <w:t>ТУ</w:t>
            </w:r>
          </w:p>
        </w:tc>
        <w:tc>
          <w:tcPr>
            <w:tcW w:w="35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FDFD65">
            <w:r>
              <w:t>Технические условия</w:t>
            </w:r>
          </w:p>
        </w:tc>
      </w:tr>
    </w:tbl>
    <w:p w14:paraId="31BDEE38">
      <w:pPr>
        <w:spacing w:line="276" w:lineRule="auto"/>
      </w:pPr>
    </w:p>
    <w:p w14:paraId="71FE6FCF">
      <w:pPr>
        <w:pStyle w:val="64"/>
      </w:pPr>
      <w:bookmarkStart w:id="17" w:name="_Toc211008655"/>
      <w:r>
        <w:t>3. ОБЩИЕ СВЕДЕНИЯ</w:t>
      </w:r>
      <w:bookmarkEnd w:id="17"/>
    </w:p>
    <w:p w14:paraId="7701291A">
      <w:pPr>
        <w:pStyle w:val="66"/>
      </w:pPr>
      <w:bookmarkStart w:id="18" w:name="_Toc211008656"/>
      <w:bookmarkStart w:id="19" w:name="_Toc209606472"/>
      <w:r>
        <w:t>3.1. Цели и задачи нормализации данных</w:t>
      </w:r>
      <w:bookmarkEnd w:id="18"/>
      <w:bookmarkEnd w:id="19"/>
    </w:p>
    <w:p w14:paraId="0292C39C">
      <w:pPr>
        <w:spacing w:after="240"/>
        <w:ind w:firstLine="709"/>
        <w:jc w:val="both"/>
        <w:rPr>
          <w:lang w:eastAsia="en-US"/>
        </w:rPr>
      </w:pPr>
      <w:r>
        <w:t xml:space="preserve">Нормализация справочников номенклатуры ООО "ГПМ Верхне Менкече", АО "Сарылах-Сурьма" и ООО "Звезда" выполняется с целью подготовки данных для единого централизованного справочника, используемого в ООО «Горнорудный Майнинг». </w:t>
      </w:r>
    </w:p>
    <w:p w14:paraId="5366E035">
      <w:pPr>
        <w:spacing w:after="240"/>
        <w:ind w:firstLine="709"/>
        <w:jc w:val="both"/>
        <w:rPr>
          <w:rFonts w:cstheme="majorHAnsi"/>
        </w:rPr>
      </w:pPr>
      <w:r>
        <w:rPr>
          <w:rFonts w:cstheme="majorHAnsi"/>
        </w:rPr>
        <w:t>Задачи нормализации:</w:t>
      </w:r>
    </w:p>
    <w:p w14:paraId="2CB4355D">
      <w:pPr>
        <w:pStyle w:val="38"/>
        <w:numPr>
          <w:ilvl w:val="0"/>
          <w:numId w:val="7"/>
        </w:numPr>
        <w:spacing w:after="240"/>
        <w:jc w:val="both"/>
        <w:rPr>
          <w:rFonts w:cstheme="majorHAnsi"/>
        </w:rPr>
      </w:pPr>
      <w:r>
        <w:rPr>
          <w:rFonts w:cstheme="majorHAnsi"/>
        </w:rPr>
        <w:t>определение исходных данных и ограничений для нормализации;</w:t>
      </w:r>
    </w:p>
    <w:p w14:paraId="186FEEAE">
      <w:pPr>
        <w:pStyle w:val="38"/>
        <w:numPr>
          <w:ilvl w:val="0"/>
          <w:numId w:val="7"/>
        </w:numPr>
        <w:spacing w:after="240"/>
        <w:jc w:val="both"/>
        <w:rPr>
          <w:rFonts w:cstheme="majorHAnsi"/>
        </w:rPr>
      </w:pPr>
      <w:r>
        <w:rPr>
          <w:rFonts w:cstheme="majorHAnsi"/>
        </w:rPr>
        <w:t xml:space="preserve">определение единых принципов нормализации; </w:t>
      </w:r>
    </w:p>
    <w:p w14:paraId="19243E0A">
      <w:pPr>
        <w:pStyle w:val="38"/>
        <w:numPr>
          <w:ilvl w:val="0"/>
          <w:numId w:val="7"/>
        </w:numPr>
        <w:spacing w:after="240"/>
        <w:jc w:val="both"/>
        <w:rPr>
          <w:rFonts w:cstheme="majorHAnsi"/>
        </w:rPr>
      </w:pPr>
      <w:r>
        <w:rPr>
          <w:rFonts w:cstheme="majorHAnsi"/>
        </w:rPr>
        <w:t>определение правил унификации полных и кратких наименований номенклатуры;</w:t>
      </w:r>
    </w:p>
    <w:p w14:paraId="1E6CBB49">
      <w:pPr>
        <w:pStyle w:val="38"/>
        <w:numPr>
          <w:ilvl w:val="0"/>
          <w:numId w:val="7"/>
        </w:numPr>
        <w:spacing w:after="240"/>
        <w:jc w:val="both"/>
        <w:rPr>
          <w:rFonts w:cstheme="majorHAnsi"/>
        </w:rPr>
      </w:pPr>
      <w:r>
        <w:rPr>
          <w:rFonts w:cstheme="majorHAnsi"/>
        </w:rPr>
        <w:t>устранение дублей;</w:t>
      </w:r>
    </w:p>
    <w:p w14:paraId="4C599518">
      <w:pPr>
        <w:pStyle w:val="38"/>
        <w:numPr>
          <w:ilvl w:val="0"/>
          <w:numId w:val="7"/>
        </w:numPr>
        <w:spacing w:after="240"/>
        <w:jc w:val="both"/>
        <w:rPr>
          <w:rFonts w:cstheme="majorHAnsi"/>
        </w:rPr>
      </w:pPr>
      <w:r>
        <w:rPr>
          <w:rFonts w:cstheme="majorHAnsi"/>
        </w:rPr>
        <w:t>классификация номенклатурных позиций по группировкам в соответствии со стандартом классификации;</w:t>
      </w:r>
    </w:p>
    <w:p w14:paraId="23B98EB1">
      <w:pPr>
        <w:pStyle w:val="38"/>
        <w:numPr>
          <w:ilvl w:val="0"/>
          <w:numId w:val="7"/>
        </w:numPr>
        <w:spacing w:after="240"/>
        <w:jc w:val="both"/>
        <w:rPr>
          <w:rFonts w:cstheme="majorHAnsi"/>
        </w:rPr>
      </w:pPr>
      <w:r>
        <w:rPr>
          <w:rFonts w:cstheme="majorHAnsi"/>
        </w:rPr>
        <w:t>обработка данных в соответствии с утвержденными правилами.</w:t>
      </w:r>
    </w:p>
    <w:p w14:paraId="20A3CF08">
      <w:pPr>
        <w:pStyle w:val="66"/>
      </w:pPr>
      <w:bookmarkStart w:id="20" w:name="_Toc209606473"/>
      <w:bookmarkStart w:id="21" w:name="_Toc211008657"/>
      <w:r>
        <w:t>3.2. Организационные границы нормализации</w:t>
      </w:r>
      <w:bookmarkEnd w:id="20"/>
      <w:bookmarkEnd w:id="21"/>
    </w:p>
    <w:p w14:paraId="474A1842">
      <w:pPr>
        <w:spacing w:after="240"/>
        <w:ind w:firstLine="709"/>
        <w:jc w:val="both"/>
        <w:rPr>
          <w:rFonts w:cstheme="majorHAnsi"/>
        </w:rPr>
      </w:pPr>
      <w:r>
        <w:rPr>
          <w:rFonts w:cstheme="majorHAnsi"/>
        </w:rPr>
        <w:t xml:space="preserve">Нормализация нормативно-справочной информации в существующих системах в части справочника «Номенклатура» реализуется в организационных границах трех площадок </w:t>
      </w:r>
      <w:r>
        <w:t>ООО «Горнорудный Майнинг»</w:t>
      </w:r>
      <w:r>
        <w:rPr>
          <w:rFonts w:cstheme="majorHAnsi"/>
        </w:rPr>
        <w:t xml:space="preserve">: </w:t>
      </w:r>
    </w:p>
    <w:p w14:paraId="00917838">
      <w:pPr>
        <w:pStyle w:val="38"/>
        <w:numPr>
          <w:ilvl w:val="0"/>
          <w:numId w:val="8"/>
        </w:numPr>
        <w:jc w:val="both"/>
        <w:rPr>
          <w:rFonts w:cstheme="majorHAnsi"/>
        </w:rPr>
      </w:pPr>
      <w:r>
        <w:rPr>
          <w:rFonts w:cstheme="majorHAnsi"/>
        </w:rPr>
        <w:t>ООО "ГПМ Верхне Менкече"</w:t>
      </w:r>
    </w:p>
    <w:p w14:paraId="67BDA075">
      <w:pPr>
        <w:pStyle w:val="38"/>
        <w:numPr>
          <w:ilvl w:val="0"/>
          <w:numId w:val="8"/>
        </w:numPr>
        <w:jc w:val="both"/>
        <w:rPr>
          <w:rFonts w:cstheme="majorHAnsi"/>
        </w:rPr>
      </w:pPr>
      <w:r>
        <w:rPr>
          <w:rFonts w:cstheme="majorHAnsi"/>
        </w:rPr>
        <w:t>АО "Сарылах-Сурьма"</w:t>
      </w:r>
    </w:p>
    <w:p w14:paraId="70C19779">
      <w:pPr>
        <w:pStyle w:val="38"/>
        <w:numPr>
          <w:ilvl w:val="0"/>
          <w:numId w:val="8"/>
        </w:numPr>
        <w:spacing w:after="240"/>
        <w:jc w:val="both"/>
        <w:rPr>
          <w:rFonts w:cstheme="majorHAnsi"/>
        </w:rPr>
      </w:pPr>
      <w:r>
        <w:rPr>
          <w:rFonts w:cstheme="majorHAnsi"/>
        </w:rPr>
        <w:t>ООО "Звезда"</w:t>
      </w:r>
    </w:p>
    <w:p w14:paraId="2DEF4D6D">
      <w:pPr>
        <w:pStyle w:val="66"/>
      </w:pPr>
      <w:bookmarkStart w:id="22" w:name="_Toc209606474"/>
      <w:bookmarkStart w:id="23" w:name="_Toc211008658"/>
      <w:r>
        <w:t>3.3. Технические средства и инструменты нормализации</w:t>
      </w:r>
      <w:bookmarkEnd w:id="22"/>
      <w:bookmarkEnd w:id="23"/>
    </w:p>
    <w:p w14:paraId="507A09A4">
      <w:pPr>
        <w:spacing w:after="240"/>
        <w:ind w:firstLine="709"/>
        <w:jc w:val="both"/>
        <w:rPr>
          <w:rFonts w:cstheme="majorHAnsi"/>
        </w:rPr>
      </w:pPr>
      <w:r>
        <w:rPr>
          <w:rFonts w:cstheme="majorHAnsi"/>
        </w:rPr>
        <w:t>Для выполнения нормализации используются технические средства Заказчика и Исполнителя.</w:t>
      </w:r>
    </w:p>
    <w:p w14:paraId="74D0B782">
      <w:pPr>
        <w:spacing w:after="240"/>
        <w:ind w:firstLine="709"/>
        <w:jc w:val="both"/>
        <w:rPr>
          <w:rFonts w:cstheme="majorHAnsi"/>
        </w:rPr>
      </w:pPr>
      <w:r>
        <w:rPr>
          <w:rFonts w:cstheme="majorHAnsi"/>
        </w:rPr>
        <w:t xml:space="preserve">Выгрузки данных для проведения нормализации, а также результаты нормализации справочника номенклатуры и вспомогательных справочников сохраняются в выделенном сетевом пространстве Заказчика. </w:t>
      </w:r>
    </w:p>
    <w:p w14:paraId="061CFBC1">
      <w:pPr>
        <w:spacing w:after="240"/>
        <w:ind w:firstLine="709"/>
        <w:jc w:val="both"/>
        <w:rPr>
          <w:rFonts w:cstheme="majorHAnsi"/>
        </w:rPr>
      </w:pPr>
      <w:r>
        <w:rPr>
          <w:rFonts w:cstheme="majorHAnsi"/>
        </w:rPr>
        <w:t>В проекте используются два типа инструментов нормализации:</w:t>
      </w:r>
    </w:p>
    <w:p w14:paraId="20F2C29A">
      <w:pPr>
        <w:spacing w:after="240"/>
        <w:ind w:firstLine="709"/>
        <w:jc w:val="both"/>
        <w:rPr>
          <w:rFonts w:cstheme="majorHAnsi"/>
        </w:rPr>
      </w:pPr>
      <w:r>
        <w:rPr>
          <w:rFonts w:cstheme="majorHAnsi"/>
        </w:rPr>
        <w:t>1.</w:t>
      </w:r>
      <w:r>
        <w:rPr>
          <w:rFonts w:cstheme="majorHAnsi"/>
        </w:rPr>
        <w:tab/>
      </w:r>
      <w:r>
        <w:rPr>
          <w:rFonts w:cstheme="majorHAnsi"/>
        </w:rPr>
        <w:t>Инструменты для формирования первоначального массива эталонных записей справочника номенклатуры.</w:t>
      </w:r>
    </w:p>
    <w:p w14:paraId="1C205D39">
      <w:pPr>
        <w:spacing w:after="240"/>
        <w:ind w:firstLine="709"/>
        <w:jc w:val="both"/>
        <w:rPr>
          <w:rFonts w:cstheme="majorHAnsi"/>
        </w:rPr>
      </w:pPr>
      <w:r>
        <w:rPr>
          <w:rFonts w:cstheme="majorHAnsi"/>
        </w:rPr>
        <w:t>2.</w:t>
      </w:r>
      <w:r>
        <w:rPr>
          <w:rFonts w:cstheme="majorHAnsi"/>
        </w:rPr>
        <w:tab/>
      </w:r>
      <w:r>
        <w:rPr>
          <w:rFonts w:cstheme="majorHAnsi"/>
        </w:rPr>
        <w:t>Инструменты ведения и поддержания в актуальном состоянии рабочего справочника номенклатуры в режимах опытно-промышленной и промышленной эксплуатации на основе программного продукта 1С: MDM Управление мастер-данными КОРП.</w:t>
      </w:r>
    </w:p>
    <w:p w14:paraId="77141C1B">
      <w:pPr>
        <w:spacing w:after="240"/>
        <w:ind w:firstLine="709"/>
        <w:jc w:val="both"/>
        <w:rPr>
          <w:rFonts w:cstheme="majorHAnsi"/>
        </w:rPr>
      </w:pPr>
      <w:r>
        <w:rPr>
          <w:rFonts w:cstheme="majorHAnsi"/>
        </w:rPr>
        <w:t>Для формирования первоначального массива эталонных записей справочника номенклатуры исполнитель может использовать любые методы, технологии и программное обеспечение, позволяющее достичь наилучших результатов нормализации наиболее эффективным способом.</w:t>
      </w:r>
    </w:p>
    <w:p w14:paraId="2F9449D8">
      <w:pPr>
        <w:pStyle w:val="66"/>
      </w:pPr>
      <w:bookmarkStart w:id="24" w:name="_Toc209606475"/>
      <w:bookmarkStart w:id="25" w:name="_Toc211008659"/>
      <w:r>
        <w:t>3.4. Функциональный объем</w:t>
      </w:r>
      <w:bookmarkEnd w:id="24"/>
      <w:bookmarkEnd w:id="25"/>
    </w:p>
    <w:p w14:paraId="66E1AC26">
      <w:pPr>
        <w:spacing w:after="240"/>
        <w:ind w:firstLine="709"/>
        <w:jc w:val="both"/>
      </w:pPr>
      <w:r>
        <w:t>Функциональный объем нормализации определяется функциональными требованиями и ограничениями, зафиксированными в Договоре № 17072025-01 от 17.07.2025 г., и результатами работы по их уточнению в ходе Этапа 1. «Анализ номенклатурных позиций (ТМЦ) в целях нормализации», в том числе анализ и описание типовых проблем справочника Номенклатура.</w:t>
      </w:r>
    </w:p>
    <w:p w14:paraId="17E76177">
      <w:pPr>
        <w:spacing w:after="240"/>
        <w:ind w:firstLine="709"/>
        <w:jc w:val="both"/>
      </w:pPr>
      <w:r>
        <w:t>В рамках разработки методики нормализации номенклатуры ТМЦ выполняется описание процессов нормализации справочника, описание правил заполнения реквизитов, правил определения дубликатов записей и правил формирования наименований номенклатуры.</w:t>
      </w:r>
    </w:p>
    <w:p w14:paraId="69C9C9F0">
      <w:pPr>
        <w:spacing w:after="240"/>
        <w:ind w:firstLine="709"/>
        <w:jc w:val="both"/>
      </w:pPr>
      <w:r>
        <w:t>В рамках проекта нормализации справочника номенклатуры установлены следующие функциональные ограничения:</w:t>
      </w:r>
    </w:p>
    <w:p w14:paraId="2051FC26">
      <w:pPr>
        <w:tabs>
          <w:tab w:val="left" w:pos="1418"/>
        </w:tabs>
        <w:spacing w:after="240"/>
        <w:ind w:firstLine="709"/>
        <w:jc w:val="both"/>
      </w:pPr>
      <w:r>
        <w:t>3.4.1.</w:t>
      </w:r>
      <w:r>
        <w:rPr>
          <w:b/>
          <w:bCs/>
        </w:rPr>
        <w:t> Исключение позиций:</w:t>
      </w:r>
    </w:p>
    <w:p w14:paraId="7D54E7B5">
      <w:pPr>
        <w:pStyle w:val="38"/>
        <w:numPr>
          <w:ilvl w:val="0"/>
          <w:numId w:val="9"/>
        </w:numPr>
        <w:tabs>
          <w:tab w:val="left" w:pos="1418"/>
        </w:tabs>
        <w:spacing w:after="240"/>
        <w:jc w:val="both"/>
      </w:pPr>
      <w:r>
        <w:t>позиции, помеченные на удаление, не подлежат нормализации;</w:t>
      </w:r>
    </w:p>
    <w:p w14:paraId="7E8A902F">
      <w:pPr>
        <w:pStyle w:val="38"/>
        <w:numPr>
          <w:ilvl w:val="0"/>
          <w:numId w:val="9"/>
        </w:numPr>
        <w:spacing w:line="276" w:lineRule="auto"/>
        <w:jc w:val="both"/>
      </w:pPr>
      <w:r>
        <w:t>позиции справочника номенклатуры без движения за три года и не имеющие складских запасов в бухгалтерском учете на момент нормализации;</w:t>
      </w:r>
    </w:p>
    <w:p w14:paraId="24CA5B6E">
      <w:pPr>
        <w:pStyle w:val="38"/>
        <w:numPr>
          <w:ilvl w:val="0"/>
          <w:numId w:val="9"/>
        </w:numPr>
        <w:spacing w:after="240" w:line="276" w:lineRule="auto"/>
        <w:jc w:val="both"/>
      </w:pPr>
      <w:r>
        <w:t>позиции справочника номенклатуры без складских запасов, но у которых за последние три года зафиксировано только внутреннее перемещение, списание, утилизация и т.п., но не зафиксированы заказы на закупку.</w:t>
      </w:r>
    </w:p>
    <w:p w14:paraId="3D49FDB2">
      <w:pPr>
        <w:tabs>
          <w:tab w:val="left" w:pos="1418"/>
        </w:tabs>
        <w:spacing w:after="240"/>
        <w:ind w:firstLine="709"/>
        <w:jc w:val="both"/>
      </w:pPr>
      <w:r>
        <w:t xml:space="preserve">3.4.2. </w:t>
      </w:r>
      <w:r>
        <w:rPr>
          <w:b/>
          <w:bCs/>
        </w:rPr>
        <w:t>Выявление и связывание аналогов:</w:t>
      </w:r>
      <w:r>
        <w:t xml:space="preserve"> операции по выявлению и связыванию аналогов не выполняются.</w:t>
      </w:r>
    </w:p>
    <w:p w14:paraId="010DBB52">
      <w:pPr>
        <w:tabs>
          <w:tab w:val="left" w:pos="1418"/>
        </w:tabs>
        <w:spacing w:after="240"/>
        <w:ind w:firstLine="709"/>
        <w:jc w:val="both"/>
      </w:pPr>
      <w:r>
        <w:t>3.4.3. </w:t>
      </w:r>
      <w:r>
        <w:rPr>
          <w:b/>
          <w:bCs/>
        </w:rPr>
        <w:t>Нормализация позиций на иностранном языке:</w:t>
      </w:r>
      <w:r>
        <w:t xml:space="preserve"> нормализация позиций, наименования которых записаны на иностранных языках, включая ссылки на иностранную нормативно-техническую документацию, осуществляется только при предоставлении Исполнителю перевода данных позиций и технической документации на русский язык.</w:t>
      </w:r>
    </w:p>
    <w:p w14:paraId="562F9154">
      <w:pPr>
        <w:tabs>
          <w:tab w:val="left" w:pos="1418"/>
        </w:tabs>
        <w:spacing w:after="240"/>
        <w:ind w:firstLine="709"/>
        <w:jc w:val="both"/>
      </w:pPr>
      <w:r>
        <w:t>3.4.4. </w:t>
      </w:r>
      <w:r>
        <w:rPr>
          <w:b/>
          <w:bCs/>
        </w:rPr>
        <w:t>Область применения нормализации:</w:t>
      </w:r>
      <w:r>
        <w:t xml:space="preserve"> процесс нормализации распространяется исключительно на записи, относящиеся к товарно-материальным ценностям. Записи, касающиеся номенклатуры работ и услуг, основных средств (ОС), нематериальных активов (НМА) и расходов будущих периодов (РБП), не подлежат нормализации.</w:t>
      </w:r>
    </w:p>
    <w:p w14:paraId="79E73A46">
      <w:pPr>
        <w:pStyle w:val="66"/>
      </w:pPr>
      <w:bookmarkStart w:id="26" w:name="_Toc211008660"/>
      <w:bookmarkStart w:id="27" w:name="_Toc209606476"/>
      <w:r>
        <w:t>3.5. Документальное основание для разработки</w:t>
      </w:r>
      <w:bookmarkEnd w:id="26"/>
      <w:bookmarkEnd w:id="27"/>
    </w:p>
    <w:p w14:paraId="36B38BD0">
      <w:pPr>
        <w:spacing w:after="240"/>
        <w:ind w:firstLine="709"/>
        <w:jc w:val="both"/>
      </w:pPr>
      <w:r>
        <w:t xml:space="preserve">Документальным основанием для разработки методики нормализации являются: </w:t>
      </w:r>
    </w:p>
    <w:p w14:paraId="2107721F">
      <w:pPr>
        <w:pStyle w:val="38"/>
        <w:numPr>
          <w:ilvl w:val="0"/>
          <w:numId w:val="10"/>
        </w:numPr>
        <w:spacing w:after="160" w:line="259" w:lineRule="auto"/>
        <w:ind w:left="993"/>
        <w:jc w:val="both"/>
        <w:rPr>
          <w:lang w:eastAsia="en-US"/>
        </w:rPr>
      </w:pPr>
      <w:r>
        <w:t>Договор № 17072025-01 от 17.07.2025 г.;</w:t>
      </w:r>
    </w:p>
    <w:p w14:paraId="35B1D4A5">
      <w:pPr>
        <w:pStyle w:val="38"/>
        <w:numPr>
          <w:ilvl w:val="0"/>
          <w:numId w:val="10"/>
        </w:numPr>
        <w:spacing w:after="160" w:line="259" w:lineRule="auto"/>
        <w:ind w:left="993"/>
        <w:jc w:val="both"/>
        <w:rPr>
          <w:lang w:eastAsia="en-US"/>
        </w:rPr>
      </w:pPr>
      <w:r>
        <w:t xml:space="preserve"> Устав проекта «Нормализация справочника Номенклатура горнодобывающих активов ООО «Горнорудный Майнинг»;</w:t>
      </w:r>
    </w:p>
    <w:p w14:paraId="02379F6D">
      <w:pPr>
        <w:pStyle w:val="38"/>
        <w:numPr>
          <w:ilvl w:val="0"/>
          <w:numId w:val="10"/>
        </w:numPr>
        <w:spacing w:after="160" w:line="259" w:lineRule="auto"/>
        <w:ind w:left="993"/>
        <w:jc w:val="both"/>
      </w:pPr>
      <w:r>
        <w:rPr>
          <w:lang w:eastAsia="en-US"/>
        </w:rPr>
        <w:t>Утвержденный Заказчиком «</w:t>
      </w:r>
      <w:r>
        <w:t>Отчёт об обследовании справочника Номенклатура в части процессов нормализации для ООО «Горнорудный Майнинг».</w:t>
      </w:r>
    </w:p>
    <w:p w14:paraId="0A65631F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219E18E9">
      <w:pPr>
        <w:pStyle w:val="64"/>
        <w:numPr>
          <w:ilvl w:val="0"/>
          <w:numId w:val="10"/>
        </w:numPr>
      </w:pPr>
      <w:bookmarkStart w:id="28" w:name="_Toc211008661"/>
      <w:r>
        <w:t>ПРИНЦИПЫ НОРМАЛИЗАЦИИ ДАННЫХ</w:t>
      </w:r>
      <w:bookmarkEnd w:id="28"/>
    </w:p>
    <w:p w14:paraId="33F98825">
      <w:pPr>
        <w:spacing w:after="240"/>
        <w:ind w:firstLine="709"/>
        <w:jc w:val="both"/>
        <w:rPr>
          <w:lang w:eastAsia="en-US"/>
        </w:rPr>
      </w:pPr>
      <w:r>
        <w:rPr>
          <w:lang w:eastAsia="en-US"/>
        </w:rPr>
        <w:t>Нормализация позиций справочника номенклатура – процесс, в ходе которого осуществляется устранение ошибок, выявление неполно или некорректно описанных позиций, устранение дублей, дополнение недостающей информации. Проводится техническая и терминологическая экспертиза, стандартизация и унификация наименований, других реквизитов и атрибутов номенклатурных позиций в соответствии с разработанными правилами и подходами.</w:t>
      </w:r>
    </w:p>
    <w:p w14:paraId="2BDE976B">
      <w:pPr>
        <w:spacing w:after="240"/>
        <w:ind w:firstLine="709"/>
        <w:jc w:val="both"/>
        <w:rPr>
          <w:b/>
          <w:bCs/>
        </w:rPr>
      </w:pPr>
      <w:r>
        <w:t>Принципы нормализации данных – это фундаментальные правила, на которых строится весь процесс нормализации. Принципы нормализации справочника номенклатура описываются классическими нормальными формами (1NF, 2NF, 3NF).</w:t>
      </w:r>
    </w:p>
    <w:p w14:paraId="15639C98">
      <w:pPr>
        <w:spacing w:after="240"/>
        <w:ind w:firstLine="709"/>
        <w:jc w:val="both"/>
      </w:pPr>
      <w:r>
        <w:rPr>
          <w:b/>
          <w:bCs/>
        </w:rPr>
        <w:t>Принцип 1: Атомарность данных (Соответствие 1NF)</w:t>
      </w:r>
    </w:p>
    <w:p w14:paraId="297B39F4">
      <w:pPr>
        <w:spacing w:after="240"/>
        <w:ind w:firstLine="709"/>
        <w:jc w:val="both"/>
      </w:pPr>
      <w:r>
        <w:t>Каждый атрибут (поле) номенклатурной позиции должен содержать только одно значение, которое нельзя логически разбить на части.</w:t>
      </w:r>
    </w:p>
    <w:p w14:paraId="776B0B19">
      <w:pPr>
        <w:numPr>
          <w:ilvl w:val="0"/>
          <w:numId w:val="11"/>
        </w:numPr>
        <w:tabs>
          <w:tab w:val="left" w:pos="720"/>
        </w:tabs>
        <w:spacing w:after="240"/>
        <w:jc w:val="both"/>
      </w:pPr>
      <w:r>
        <w:rPr>
          <w:b/>
          <w:bCs/>
        </w:rPr>
        <w:t>До нормализации:</w:t>
      </w:r>
      <w:r>
        <w:t> "Насос 50м3/ч, нерж. сталь"</w:t>
      </w:r>
    </w:p>
    <w:p w14:paraId="6095A688">
      <w:pPr>
        <w:numPr>
          <w:ilvl w:val="0"/>
          <w:numId w:val="11"/>
        </w:numPr>
        <w:tabs>
          <w:tab w:val="left" w:pos="720"/>
        </w:tabs>
        <w:jc w:val="both"/>
      </w:pPr>
      <w:r>
        <w:rPr>
          <w:b/>
          <w:bCs/>
        </w:rPr>
        <w:t>После нормализации:</w:t>
      </w:r>
    </w:p>
    <w:p w14:paraId="68229156">
      <w:pPr>
        <w:numPr>
          <w:ilvl w:val="1"/>
          <w:numId w:val="11"/>
        </w:numPr>
        <w:tabs>
          <w:tab w:val="left" w:pos="1440"/>
        </w:tabs>
        <w:jc w:val="both"/>
      </w:pPr>
      <w:r>
        <w:rPr>
          <w:i/>
          <w:iCs/>
        </w:rPr>
        <w:t>Наименование:</w:t>
      </w:r>
      <w:r>
        <w:t> "Насос"</w:t>
      </w:r>
    </w:p>
    <w:p w14:paraId="112E7998">
      <w:pPr>
        <w:numPr>
          <w:ilvl w:val="1"/>
          <w:numId w:val="11"/>
        </w:numPr>
        <w:tabs>
          <w:tab w:val="left" w:pos="1440"/>
        </w:tabs>
        <w:jc w:val="both"/>
      </w:pPr>
      <w:r>
        <w:rPr>
          <w:i/>
          <w:iCs/>
        </w:rPr>
        <w:t>Модель/Тип:</w:t>
      </w:r>
      <w:r>
        <w:t> "КМ 50-32-125"</w:t>
      </w:r>
    </w:p>
    <w:p w14:paraId="3EFB7E88">
      <w:pPr>
        <w:numPr>
          <w:ilvl w:val="1"/>
          <w:numId w:val="11"/>
        </w:numPr>
        <w:tabs>
          <w:tab w:val="left" w:pos="1440"/>
        </w:tabs>
        <w:jc w:val="both"/>
      </w:pPr>
      <w:r>
        <w:rPr>
          <w:i/>
          <w:iCs/>
        </w:rPr>
        <w:t>Производительность:</w:t>
      </w:r>
      <w:r>
        <w:t> "50 м3/ч"</w:t>
      </w:r>
    </w:p>
    <w:p w14:paraId="5131F7BB">
      <w:pPr>
        <w:numPr>
          <w:ilvl w:val="1"/>
          <w:numId w:val="11"/>
        </w:numPr>
        <w:tabs>
          <w:tab w:val="left" w:pos="1440"/>
        </w:tabs>
        <w:spacing w:after="240"/>
        <w:jc w:val="both"/>
      </w:pPr>
      <w:r>
        <w:rPr>
          <w:i/>
          <w:iCs/>
        </w:rPr>
        <w:t>Материал:</w:t>
      </w:r>
      <w:r>
        <w:t> "Нержавеющая сталь AISI 304"</w:t>
      </w:r>
    </w:p>
    <w:p w14:paraId="04F98FFD">
      <w:pPr>
        <w:spacing w:after="240"/>
        <w:ind w:firstLine="709"/>
      </w:pPr>
      <w:r>
        <w:rPr>
          <w:b/>
          <w:bCs/>
        </w:rPr>
        <w:t>Принцип 2: Устранение избыточности и дублирования (Соответствие 2NF)</w:t>
      </w:r>
    </w:p>
    <w:p w14:paraId="75158239">
      <w:pPr>
        <w:spacing w:after="240"/>
        <w:ind w:firstLine="709"/>
        <w:jc w:val="both"/>
      </w:pPr>
      <w:r>
        <w:t>Информация не должна повторяться в разных позициях. Общие реквизиты и атрибуты выносятся в отдельные справочники.</w:t>
      </w:r>
    </w:p>
    <w:p w14:paraId="5531B014">
      <w:pPr>
        <w:numPr>
          <w:ilvl w:val="0"/>
          <w:numId w:val="12"/>
        </w:numPr>
        <w:tabs>
          <w:tab w:val="left" w:pos="720"/>
        </w:tabs>
        <w:spacing w:after="240"/>
        <w:jc w:val="both"/>
      </w:pPr>
      <w:r>
        <w:rPr>
          <w:b/>
          <w:bCs/>
        </w:rPr>
        <w:t>До нормализации:</w:t>
      </w:r>
      <w:r>
        <w:t> позиции "Винт M6x20 оцинк.", "Винт M6x30 оцинк.", "Винт M8x20 оцинк."</w:t>
      </w:r>
    </w:p>
    <w:p w14:paraId="6E3CD457">
      <w:pPr>
        <w:numPr>
          <w:ilvl w:val="0"/>
          <w:numId w:val="12"/>
        </w:numPr>
        <w:tabs>
          <w:tab w:val="left" w:pos="720"/>
        </w:tabs>
        <w:jc w:val="both"/>
      </w:pPr>
      <w:r>
        <w:rPr>
          <w:b/>
          <w:bCs/>
        </w:rPr>
        <w:t>После нормализации:</w:t>
      </w:r>
      <w:r>
        <w:t xml:space="preserve"> создается иерархическая структура:</w:t>
      </w:r>
    </w:p>
    <w:p w14:paraId="2EAB0F15">
      <w:pPr>
        <w:numPr>
          <w:ilvl w:val="1"/>
          <w:numId w:val="12"/>
        </w:numPr>
        <w:tabs>
          <w:tab w:val="left" w:pos="1440"/>
        </w:tabs>
        <w:jc w:val="both"/>
      </w:pPr>
      <w:r>
        <w:rPr>
          <w:i/>
          <w:iCs/>
        </w:rPr>
        <w:t>Группа:</w:t>
      </w:r>
      <w:r>
        <w:t> "Крепеж &gt; Винты"</w:t>
      </w:r>
    </w:p>
    <w:p w14:paraId="736E6DAB">
      <w:pPr>
        <w:numPr>
          <w:ilvl w:val="1"/>
          <w:numId w:val="12"/>
        </w:numPr>
        <w:tabs>
          <w:tab w:val="left" w:pos="1440"/>
        </w:tabs>
        <w:jc w:val="both"/>
      </w:pPr>
      <w:r>
        <w:rPr>
          <w:i/>
          <w:iCs/>
        </w:rPr>
        <w:t>Общие атрибуты:</w:t>
      </w:r>
      <w:r>
        <w:t xml:space="preserve"> выносятся в характеристики "Диаметр (</w:t>
      </w:r>
      <w:r>
        <w:rPr>
          <w:lang w:val="en-US"/>
        </w:rPr>
        <w:t>D</w:t>
      </w:r>
      <w:r>
        <w:t>)", "Длина (</w:t>
      </w:r>
      <w:r>
        <w:rPr>
          <w:lang w:val="en-US"/>
        </w:rPr>
        <w:t>L</w:t>
      </w:r>
      <w:r>
        <w:t>)", "Покрытие".</w:t>
      </w:r>
    </w:p>
    <w:p w14:paraId="6E723F8A">
      <w:pPr>
        <w:numPr>
          <w:ilvl w:val="1"/>
          <w:numId w:val="12"/>
        </w:numPr>
        <w:tabs>
          <w:tab w:val="left" w:pos="1440"/>
        </w:tabs>
        <w:spacing w:after="240"/>
        <w:jc w:val="both"/>
      </w:pPr>
      <w:r>
        <w:rPr>
          <w:i/>
          <w:iCs/>
        </w:rPr>
        <w:t>В результате:</w:t>
      </w:r>
      <w:r>
        <w:t> В справочнике настраивается шаблон «Винт», а конкретные номенклатурные позиции являются вариациями с разными значениями характеристик/атрибутов.</w:t>
      </w:r>
    </w:p>
    <w:p w14:paraId="2FFC8C3E">
      <w:pPr>
        <w:spacing w:after="240"/>
        <w:ind w:firstLine="709"/>
      </w:pPr>
      <w:r>
        <w:rPr>
          <w:b/>
          <w:bCs/>
        </w:rPr>
        <w:t>Принцип 3: Устранение транзитивных зависимостей (Соответствие 3NF)</w:t>
      </w:r>
    </w:p>
    <w:p w14:paraId="069CEAC9">
      <w:pPr>
        <w:spacing w:after="240"/>
        <w:ind w:firstLine="709"/>
        <w:jc w:val="both"/>
      </w:pPr>
      <w:r>
        <w:t>Атрибуты должны зависеть только от уникального идентификатора номенклатуры (например, артикула), а не от других неключевых атрибутов.</w:t>
      </w:r>
    </w:p>
    <w:p w14:paraId="4CE7E6B4">
      <w:pPr>
        <w:numPr>
          <w:ilvl w:val="0"/>
          <w:numId w:val="13"/>
        </w:numPr>
        <w:tabs>
          <w:tab w:val="left" w:pos="720"/>
        </w:tabs>
        <w:spacing w:after="240"/>
        <w:jc w:val="both"/>
      </w:pPr>
      <w:r>
        <w:rPr>
          <w:b/>
          <w:bCs/>
        </w:rPr>
        <w:t>До нормализации:</w:t>
      </w:r>
      <w:r>
        <w:t> В позиции "Подшипник 6005 ZZ SKF" атрибут "Производитель" (SKF) и "Тип защиты" (ZZ) зависят от модели "6005", но не от самого наименования "Подшипник".</w:t>
      </w:r>
    </w:p>
    <w:p w14:paraId="778A5E61">
      <w:pPr>
        <w:numPr>
          <w:ilvl w:val="0"/>
          <w:numId w:val="13"/>
        </w:numPr>
        <w:tabs>
          <w:tab w:val="left" w:pos="720"/>
        </w:tabs>
        <w:spacing w:after="240"/>
        <w:jc w:val="both"/>
      </w:pPr>
      <w:r>
        <w:rPr>
          <w:b/>
          <w:bCs/>
        </w:rPr>
        <w:t>После нормализации:</w:t>
      </w:r>
      <w:r>
        <w:t> Модель "6005" становится ключевым идентификатором. "Производитель" и "Тип защиты" — его атрибуты. Это позволяет избежать ситуации, где для одного артикула от разных производителей указаны разные данные.</w:t>
      </w:r>
    </w:p>
    <w:p w14:paraId="1253AB06">
      <w:pPr>
        <w:spacing w:after="240"/>
        <w:ind w:firstLine="709"/>
        <w:jc w:val="both"/>
      </w:pPr>
      <w:r>
        <w:rPr>
          <w:b/>
          <w:bCs/>
        </w:rPr>
        <w:t>Принцип 4: Уникальность и идентифицируемость</w:t>
      </w:r>
    </w:p>
    <w:p w14:paraId="2ED4BB5B">
      <w:pPr>
        <w:spacing w:after="240"/>
        <w:ind w:firstLine="709"/>
        <w:jc w:val="both"/>
      </w:pPr>
      <w:r>
        <w:t xml:space="preserve">Каждая эталонная номенклатурная позиция должна иметь </w:t>
      </w:r>
      <w:r>
        <w:rPr>
          <w:b/>
          <w:bCs/>
        </w:rPr>
        <w:t>уникальный код</w:t>
      </w:r>
      <w:r>
        <w:t xml:space="preserve"> (ID) и </w:t>
      </w:r>
      <w:r>
        <w:rPr>
          <w:b/>
          <w:bCs/>
        </w:rPr>
        <w:t>уникальное полное наименование</w:t>
      </w:r>
      <w:r>
        <w:t>, которые однозначно ее идентифицируют. Это основа для борьбы с дублями.</w:t>
      </w:r>
    </w:p>
    <w:p w14:paraId="3224520C">
      <w:pPr>
        <w:spacing w:after="240"/>
        <w:ind w:firstLine="709"/>
        <w:jc w:val="both"/>
      </w:pPr>
      <w:r>
        <w:rPr>
          <w:b/>
          <w:bCs/>
        </w:rPr>
        <w:t>Принцип 5: Полнота и непротиворечивость данных</w:t>
      </w:r>
    </w:p>
    <w:p w14:paraId="366C74D8">
      <w:pPr>
        <w:spacing w:after="240"/>
        <w:ind w:firstLine="709"/>
        <w:jc w:val="both"/>
      </w:pPr>
      <w:r>
        <w:t xml:space="preserve">Все значимые реквизиты и атрибуты должны быть заполнены в соответствии со специально разработанными едиными правилами, в том числе с учетом зависимостей между полями справочника. </w:t>
      </w:r>
    </w:p>
    <w:p w14:paraId="66298C0F">
      <w:pPr>
        <w:pStyle w:val="64"/>
        <w:numPr>
          <w:ilvl w:val="0"/>
          <w:numId w:val="10"/>
        </w:numPr>
      </w:pPr>
      <w:bookmarkStart w:id="29" w:name="_Toc211008662"/>
      <w:bookmarkStart w:id="30" w:name="_Toc209185934"/>
      <w:r>
        <w:t>ПРАВИЛА УНИФИКАЦИИ НАИМЕНОВАНИЙ НОМЕНКЛАТУРЫ</w:t>
      </w:r>
      <w:bookmarkEnd w:id="29"/>
      <w:bookmarkEnd w:id="30"/>
    </w:p>
    <w:p w14:paraId="62EF089E">
      <w:pPr>
        <w:spacing w:after="240" w:line="276" w:lineRule="auto"/>
        <w:ind w:firstLine="709"/>
        <w:jc w:val="both"/>
        <w:rPr>
          <w:szCs w:val="22"/>
        </w:rPr>
      </w:pPr>
      <w:r>
        <w:rPr>
          <w:szCs w:val="22"/>
        </w:rPr>
        <w:t>В разделе представлены рекомендации по унификации наименований номенклатурных позиций, правила написания наименований номенклатурных позиций, а также варианты построения порядка слов в написании наименования номенклатурной позиции. Правила предназначены для их применения в процессе нормализации и последующего ведения справочника номенклатуры.</w:t>
      </w:r>
    </w:p>
    <w:p w14:paraId="072A8831">
      <w:pPr>
        <w:spacing w:after="160" w:line="259" w:lineRule="auto"/>
        <w:ind w:firstLine="709"/>
        <w:jc w:val="both"/>
        <w:rPr>
          <w:szCs w:val="22"/>
        </w:rPr>
      </w:pPr>
      <w:r>
        <w:rPr>
          <w:szCs w:val="22"/>
        </w:rPr>
        <w:t>Нормализованная номенклатурная позиция, в том числе наименование, должно точно и однозначно описывать запись о материале в справочнике. Идентификация номенклатурной позиций при закупках, складировании и других процессах должна быть однозначной.</w:t>
      </w:r>
    </w:p>
    <w:p w14:paraId="05B77DC5">
      <w:pPr>
        <w:spacing w:after="160" w:line="259" w:lineRule="auto"/>
        <w:ind w:firstLine="709"/>
        <w:jc w:val="both"/>
        <w:rPr>
          <w:szCs w:val="22"/>
        </w:rPr>
      </w:pPr>
      <w:r>
        <w:rPr>
          <w:szCs w:val="22"/>
        </w:rPr>
        <w:t>В наименовании номенклатурной позиции не должна присутствовать информация, не предназначенная для идентификации. В частности, не должно быть информации о поставщиках, партиях, серийных номерах, внешних классификаций и т.п.</w:t>
      </w:r>
    </w:p>
    <w:p w14:paraId="6B60AA5B">
      <w:pPr>
        <w:pStyle w:val="66"/>
      </w:pPr>
      <w:bookmarkStart w:id="31" w:name="_Toc211008663"/>
      <w:bookmarkStart w:id="32" w:name="_Toc209185935"/>
      <w:bookmarkStart w:id="33" w:name="_Toc32924946"/>
      <w:r>
        <w:t>5.1. Общие правила написания наименований номенклатурных позиций</w:t>
      </w:r>
      <w:bookmarkEnd w:id="31"/>
      <w:bookmarkEnd w:id="32"/>
      <w:bookmarkEnd w:id="33"/>
    </w:p>
    <w:p w14:paraId="7674634F">
      <w:pPr>
        <w:spacing w:line="276" w:lineRule="auto"/>
        <w:ind w:firstLine="709"/>
        <w:jc w:val="both"/>
        <w:rPr>
          <w:szCs w:val="22"/>
        </w:rPr>
      </w:pPr>
      <w:r>
        <w:rPr>
          <w:szCs w:val="22"/>
        </w:rPr>
        <w:t>В настоящем разделе представлены рекомендации и требования, применяемые в общих случаях, если для заполнения наименований не определены специальные требования, имеющие более высокий приоритет для специфических групп материалов.</w:t>
      </w:r>
    </w:p>
    <w:p w14:paraId="6A12D072">
      <w:pPr>
        <w:pStyle w:val="83"/>
        <w:spacing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5.1.1. Наименования номенклатурных позиций могут быть представлены словом или словосочетанием, а также их комбинациями с буквами, цифрами и символами.</w:t>
      </w:r>
    </w:p>
    <w:p w14:paraId="6ED3A444">
      <w:pPr>
        <w:pStyle w:val="83"/>
        <w:spacing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5.1.2. Первый символ наименования пишется с прописной буквы, остальные – строчными. Между словами ставится один пробел. Перед точкой, запятой, двоеточием пробел </w:t>
      </w:r>
      <w:r>
        <w:rPr>
          <w:rFonts w:ascii="Cambria" w:hAnsi="Cambria"/>
          <w:b/>
          <w:bCs/>
          <w:sz w:val="22"/>
          <w:szCs w:val="22"/>
        </w:rPr>
        <w:t>не ставится</w:t>
      </w:r>
      <w:r>
        <w:rPr>
          <w:rFonts w:ascii="Cambria" w:hAnsi="Cambria"/>
          <w:sz w:val="22"/>
          <w:szCs w:val="22"/>
        </w:rPr>
        <w:t xml:space="preserve">. После открытых кавычек и скобки, перед закрытыми кавычками и скобкой пробел </w:t>
      </w:r>
      <w:r>
        <w:rPr>
          <w:rFonts w:ascii="Cambria" w:hAnsi="Cambria"/>
          <w:b/>
          <w:bCs/>
          <w:sz w:val="22"/>
          <w:szCs w:val="22"/>
        </w:rPr>
        <w:t>не ставится</w:t>
      </w:r>
      <w:r>
        <w:rPr>
          <w:rFonts w:ascii="Cambria" w:hAnsi="Cambria"/>
          <w:sz w:val="22"/>
          <w:szCs w:val="22"/>
        </w:rPr>
        <w:t>.</w:t>
      </w:r>
    </w:p>
    <w:p w14:paraId="4851B266">
      <w:pPr>
        <w:pStyle w:val="83"/>
        <w:spacing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5.1.3. Определяющее слово в наименовании номенклатурной позиции должно быть выражено существительным на русском языке в именительном падеже, единственном числе.</w:t>
      </w:r>
    </w:p>
    <w:p w14:paraId="0135C9E7">
      <w:pPr>
        <w:pStyle w:val="83"/>
        <w:spacing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5.1.4. При формировании определяющего слова допускается использование множественного числа для несклоняемых и парных продуктов.</w:t>
      </w:r>
    </w:p>
    <w:p w14:paraId="078F440A">
      <w:pPr>
        <w:pStyle w:val="83"/>
        <w:spacing w:line="276" w:lineRule="auto"/>
        <w:ind w:left="1068" w:firstLine="0"/>
        <w:rPr>
          <w:rFonts w:ascii="Cambria" w:hAnsi="Cambria"/>
          <w:b/>
          <w:bCs/>
          <w:i/>
          <w:iCs/>
          <w:sz w:val="22"/>
          <w:szCs w:val="22"/>
        </w:rPr>
      </w:pPr>
      <w:r>
        <w:rPr>
          <w:rFonts w:ascii="Cambria" w:hAnsi="Cambria"/>
          <w:b/>
          <w:bCs/>
          <w:i/>
          <w:iCs/>
          <w:sz w:val="22"/>
          <w:szCs w:val="22"/>
        </w:rPr>
        <w:t>Пример:</w:t>
      </w:r>
      <w:r>
        <w:rPr>
          <w:rFonts w:ascii="Cambria" w:hAnsi="Cambria"/>
          <w:i/>
          <w:iCs/>
          <w:sz w:val="22"/>
          <w:szCs w:val="22"/>
        </w:rPr>
        <w:t xml:space="preserve"> Ножницы</w:t>
      </w:r>
    </w:p>
    <w:p w14:paraId="1E31F20D">
      <w:pPr>
        <w:pStyle w:val="83"/>
        <w:spacing w:line="276" w:lineRule="auto"/>
        <w:ind w:left="1068" w:firstLine="0"/>
        <w:rPr>
          <w:rFonts w:ascii="Cambria" w:hAnsi="Cambria"/>
          <w:i/>
          <w:iCs/>
          <w:sz w:val="22"/>
          <w:szCs w:val="22"/>
        </w:rPr>
      </w:pPr>
      <w:r>
        <w:rPr>
          <w:rFonts w:ascii="Cambria" w:hAnsi="Cambria"/>
          <w:b/>
          <w:bCs/>
          <w:i/>
          <w:iCs/>
          <w:sz w:val="22"/>
          <w:szCs w:val="22"/>
        </w:rPr>
        <w:t>Пример:</w:t>
      </w:r>
      <w:r>
        <w:rPr>
          <w:rFonts w:ascii="Cambria" w:hAnsi="Cambria"/>
          <w:i/>
          <w:iCs/>
          <w:sz w:val="22"/>
          <w:szCs w:val="22"/>
        </w:rPr>
        <w:t xml:space="preserve"> Перчатки виниловые</w:t>
      </w:r>
    </w:p>
    <w:p w14:paraId="7D1FA776">
      <w:pPr>
        <w:pStyle w:val="83"/>
        <w:spacing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5.1.5. При написании наименований номенклатурных позиций имеет значение порядок слов в словосочетаниях, относящихся к модели С + П (С – существительное в именительном падеже; П – прилагательное (причастие), относящееся к С). Принято различать </w:t>
      </w:r>
      <w:r>
        <w:rPr>
          <w:rFonts w:ascii="Cambria" w:hAnsi="Cambria"/>
          <w:b/>
          <w:bCs/>
          <w:sz w:val="22"/>
          <w:szCs w:val="22"/>
        </w:rPr>
        <w:t>прямой</w:t>
      </w:r>
      <w:r>
        <w:rPr>
          <w:rFonts w:ascii="Cambria" w:hAnsi="Cambria"/>
          <w:sz w:val="22"/>
          <w:szCs w:val="22"/>
        </w:rPr>
        <w:t xml:space="preserve"> и </w:t>
      </w:r>
      <w:r>
        <w:rPr>
          <w:rFonts w:ascii="Cambria" w:hAnsi="Cambria"/>
          <w:b/>
          <w:bCs/>
          <w:sz w:val="22"/>
          <w:szCs w:val="22"/>
        </w:rPr>
        <w:t>обратный</w:t>
      </w:r>
      <w:r>
        <w:rPr>
          <w:rFonts w:ascii="Cambria" w:hAnsi="Cambria"/>
          <w:sz w:val="22"/>
          <w:szCs w:val="22"/>
        </w:rPr>
        <w:t xml:space="preserve"> порядок слов:</w:t>
      </w:r>
    </w:p>
    <w:p w14:paraId="42684E0B">
      <w:pPr>
        <w:pStyle w:val="83"/>
        <w:spacing w:line="276" w:lineRule="auto"/>
        <w:ind w:left="709" w:firstLine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Прямым порядком считается такая последовательность слов, когда прилагательное предшествует существительному, которое оно определяет (П+С).</w:t>
      </w:r>
    </w:p>
    <w:p w14:paraId="3686DB15">
      <w:pPr>
        <w:pStyle w:val="83"/>
        <w:spacing w:line="276" w:lineRule="auto"/>
        <w:ind w:left="1068" w:firstLine="0"/>
        <w:rPr>
          <w:rFonts w:ascii="Cambria" w:hAnsi="Cambria"/>
          <w:i/>
          <w:iCs/>
          <w:sz w:val="22"/>
          <w:szCs w:val="22"/>
        </w:rPr>
      </w:pPr>
      <w:r>
        <w:rPr>
          <w:rFonts w:ascii="Cambria" w:hAnsi="Cambria"/>
          <w:b/>
          <w:bCs/>
          <w:i/>
          <w:iCs/>
          <w:sz w:val="22"/>
          <w:szCs w:val="22"/>
        </w:rPr>
        <w:t>Пример:</w:t>
      </w:r>
      <w:r>
        <w:rPr>
          <w:rFonts w:ascii="Cambria" w:hAnsi="Cambria"/>
          <w:i/>
          <w:iCs/>
          <w:sz w:val="22"/>
          <w:szCs w:val="22"/>
        </w:rPr>
        <w:t xml:space="preserve"> Телекоммуникационный шкаф</w:t>
      </w:r>
    </w:p>
    <w:p w14:paraId="6E8F7B5C">
      <w:pPr>
        <w:pStyle w:val="83"/>
        <w:spacing w:line="276" w:lineRule="auto"/>
        <w:ind w:left="709" w:firstLine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Обратным порядком считается такая последовательность слов, когда прилагательное следует после существительного, которое оно определяет (С+П).</w:t>
      </w:r>
    </w:p>
    <w:p w14:paraId="117C643F">
      <w:pPr>
        <w:pStyle w:val="83"/>
        <w:spacing w:line="276" w:lineRule="auto"/>
        <w:ind w:left="1068" w:firstLine="0"/>
        <w:rPr>
          <w:rFonts w:ascii="Cambria" w:hAnsi="Cambria"/>
          <w:i/>
          <w:iCs/>
          <w:sz w:val="22"/>
          <w:szCs w:val="22"/>
        </w:rPr>
      </w:pPr>
      <w:r>
        <w:rPr>
          <w:rFonts w:ascii="Cambria" w:hAnsi="Cambria"/>
          <w:b/>
          <w:bCs/>
          <w:i/>
          <w:iCs/>
          <w:sz w:val="22"/>
          <w:szCs w:val="22"/>
        </w:rPr>
        <w:t xml:space="preserve">Пример: </w:t>
      </w:r>
      <w:r>
        <w:rPr>
          <w:rFonts w:ascii="Cambria" w:hAnsi="Cambria"/>
          <w:i/>
          <w:iCs/>
          <w:sz w:val="22"/>
          <w:szCs w:val="22"/>
        </w:rPr>
        <w:t>Шкаф телекоммуникационный</w:t>
      </w:r>
    </w:p>
    <w:p w14:paraId="6C1E870C">
      <w:pPr>
        <w:pStyle w:val="83"/>
        <w:spacing w:line="276" w:lineRule="auto"/>
        <w:ind w:left="709" w:firstLine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В наименованиях номенклатурных позиций должен использоваться </w:t>
      </w:r>
      <w:r>
        <w:rPr>
          <w:rFonts w:ascii="Cambria" w:hAnsi="Cambria"/>
          <w:b/>
          <w:bCs/>
          <w:sz w:val="22"/>
          <w:szCs w:val="22"/>
        </w:rPr>
        <w:t xml:space="preserve">обратный </w:t>
      </w:r>
      <w:r>
        <w:rPr>
          <w:rFonts w:ascii="Cambria" w:hAnsi="Cambria"/>
          <w:sz w:val="22"/>
          <w:szCs w:val="22"/>
        </w:rPr>
        <w:t>порядок слов – Шкаф телекоммуникационный.</w:t>
      </w:r>
    </w:p>
    <w:p w14:paraId="6A2FC01B">
      <w:pPr>
        <w:pStyle w:val="83"/>
        <w:spacing w:after="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5.1.6. Наименования номенклатурных позиций в Справочнике Номенклатуры заполняются на основании</w:t>
      </w:r>
      <w:r>
        <w:rPr>
          <w:rFonts w:ascii="Cambria" w:hAnsi="Cambria"/>
          <w:b/>
          <w:bCs/>
          <w:sz w:val="22"/>
          <w:szCs w:val="22"/>
        </w:rPr>
        <w:t xml:space="preserve"> данных</w:t>
      </w:r>
      <w:r>
        <w:rPr>
          <w:rFonts w:ascii="Cambria" w:hAnsi="Cambria"/>
          <w:sz w:val="22"/>
          <w:szCs w:val="22"/>
        </w:rPr>
        <w:t xml:space="preserve"> из следующих документов, перечисленных в порядке их значимости:</w:t>
      </w:r>
    </w:p>
    <w:p w14:paraId="44E9C99D">
      <w:pPr>
        <w:pStyle w:val="83"/>
        <w:numPr>
          <w:ilvl w:val="0"/>
          <w:numId w:val="14"/>
        </w:numPr>
        <w:spacing w:line="276" w:lineRule="auto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>Информация производителя: каталог деталей, информационное письмо производителя, сервисный бюллетень;</w:t>
      </w:r>
    </w:p>
    <w:p w14:paraId="57E864E6">
      <w:pPr>
        <w:pStyle w:val="83"/>
        <w:numPr>
          <w:ilvl w:val="0"/>
          <w:numId w:val="14"/>
        </w:numPr>
        <w:spacing w:line="276" w:lineRule="auto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 xml:space="preserve">Документ стандартизации, в соответствии с которым изготовлен материал: ГОСТ, ОСТ, ТУ, </w:t>
      </w:r>
      <w:r>
        <w:rPr>
          <w:rFonts w:ascii="Cambria" w:hAnsi="Cambria"/>
          <w:i/>
          <w:sz w:val="22"/>
          <w:szCs w:val="22"/>
          <w:lang w:val="en-US"/>
        </w:rPr>
        <w:t>DIN</w:t>
      </w:r>
      <w:r>
        <w:rPr>
          <w:rFonts w:ascii="Cambria" w:hAnsi="Cambria"/>
          <w:i/>
          <w:sz w:val="22"/>
          <w:szCs w:val="22"/>
        </w:rPr>
        <w:t xml:space="preserve"> и т.п.;</w:t>
      </w:r>
    </w:p>
    <w:p w14:paraId="0973B5BB">
      <w:pPr>
        <w:pStyle w:val="83"/>
        <w:numPr>
          <w:ilvl w:val="0"/>
          <w:numId w:val="14"/>
        </w:numPr>
        <w:spacing w:after="0" w:line="276" w:lineRule="auto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>Техническая документация на продукцию: технический паспорт продукции (TDS), паспорт безопасности химической продукции (MSDS);</w:t>
      </w:r>
    </w:p>
    <w:p w14:paraId="5378F7B5">
      <w:pPr>
        <w:pStyle w:val="84"/>
        <w:spacing w:after="0"/>
        <w:ind w:left="1069" w:firstLine="0"/>
        <w:rPr>
          <w:rFonts w:ascii="Cambria" w:hAnsi="Cambria"/>
        </w:rPr>
      </w:pPr>
      <w:r>
        <w:rPr>
          <w:rFonts w:ascii="Cambria" w:hAnsi="Cambria"/>
        </w:rPr>
        <w:t>Документы, которые не рекомендуется использовать в качестве источника информации при формировании наименований по причине «вторичности» и большой вероятности отображения в них некорректной и неполной информации:</w:t>
      </w:r>
    </w:p>
    <w:p w14:paraId="7D55979B">
      <w:pPr>
        <w:pStyle w:val="83"/>
        <w:numPr>
          <w:ilvl w:val="0"/>
          <w:numId w:val="14"/>
        </w:numPr>
        <w:spacing w:line="276" w:lineRule="auto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>Первичные документы: счет, коммерческое предложение, товарно-транспортная накладная, УПД;</w:t>
      </w:r>
    </w:p>
    <w:p w14:paraId="5A3BBCC3">
      <w:pPr>
        <w:pStyle w:val="83"/>
        <w:numPr>
          <w:ilvl w:val="0"/>
          <w:numId w:val="14"/>
        </w:numPr>
        <w:spacing w:line="276" w:lineRule="auto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>Коммерческие предложения;</w:t>
      </w:r>
    </w:p>
    <w:p w14:paraId="40C57349">
      <w:pPr>
        <w:pStyle w:val="83"/>
        <w:numPr>
          <w:ilvl w:val="0"/>
          <w:numId w:val="14"/>
        </w:numPr>
        <w:spacing w:line="276" w:lineRule="auto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>Рекламные материалы;</w:t>
      </w:r>
    </w:p>
    <w:p w14:paraId="71E48751">
      <w:pPr>
        <w:pStyle w:val="83"/>
        <w:numPr>
          <w:ilvl w:val="0"/>
          <w:numId w:val="14"/>
        </w:numPr>
        <w:spacing w:line="276" w:lineRule="auto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>Объявления о купле-продаже;</w:t>
      </w:r>
    </w:p>
    <w:p w14:paraId="6728196C">
      <w:pPr>
        <w:pStyle w:val="83"/>
        <w:numPr>
          <w:ilvl w:val="0"/>
          <w:numId w:val="14"/>
        </w:numPr>
        <w:spacing w:line="276" w:lineRule="auto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>Прайс-листы и web-сайты торгово-сбытовых предприятий.</w:t>
      </w:r>
    </w:p>
    <w:p w14:paraId="6A0E2656">
      <w:pPr>
        <w:spacing w:line="276" w:lineRule="auto"/>
        <w:ind w:firstLine="709"/>
        <w:jc w:val="both"/>
        <w:rPr>
          <w:szCs w:val="22"/>
        </w:rPr>
      </w:pPr>
      <w:r>
        <w:rPr>
          <w:szCs w:val="22"/>
        </w:rPr>
        <w:t xml:space="preserve">5.1.7. В случае, если в документах, на основании которых заполняется наименование номенклатурной позиции, перечисленных в п. 5.1.6., присутствует следующая </w:t>
      </w:r>
      <w:r>
        <w:rPr>
          <w:b/>
          <w:bCs/>
          <w:szCs w:val="22"/>
        </w:rPr>
        <w:t>информация</w:t>
      </w:r>
      <w:r>
        <w:rPr>
          <w:szCs w:val="22"/>
        </w:rPr>
        <w:t>:</w:t>
      </w:r>
    </w:p>
    <w:p w14:paraId="3BE1AAC7">
      <w:pPr>
        <w:pStyle w:val="83"/>
        <w:numPr>
          <w:ilvl w:val="0"/>
          <w:numId w:val="14"/>
        </w:numPr>
        <w:spacing w:line="276" w:lineRule="auto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>Торговая марка (бренд), модель, версия, серия изделия;</w:t>
      </w:r>
    </w:p>
    <w:p w14:paraId="5B615F98">
      <w:pPr>
        <w:pStyle w:val="83"/>
        <w:numPr>
          <w:ilvl w:val="0"/>
          <w:numId w:val="14"/>
        </w:numPr>
        <w:spacing w:line="276" w:lineRule="auto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>Значимые для определения уникальности материала количественные и качественные характеристики: размер, объем материала, цвет и т.п.;</w:t>
      </w:r>
    </w:p>
    <w:p w14:paraId="7FC98E7F">
      <w:pPr>
        <w:pStyle w:val="83"/>
        <w:numPr>
          <w:ilvl w:val="0"/>
          <w:numId w:val="14"/>
        </w:numPr>
        <w:spacing w:line="276" w:lineRule="auto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 xml:space="preserve">Документ стандартизации, в соответствии с которым изготовлен материал: ГОСТ, ОСТ, ТУ, </w:t>
      </w:r>
      <w:r>
        <w:rPr>
          <w:rFonts w:ascii="Cambria" w:hAnsi="Cambria"/>
          <w:i/>
          <w:sz w:val="22"/>
          <w:szCs w:val="22"/>
          <w:lang w:val="en-US"/>
        </w:rPr>
        <w:t>DIN</w:t>
      </w:r>
      <w:r>
        <w:rPr>
          <w:rFonts w:ascii="Cambria" w:hAnsi="Cambria"/>
          <w:i/>
          <w:sz w:val="22"/>
          <w:szCs w:val="22"/>
        </w:rPr>
        <w:t xml:space="preserve"> и т.п.;</w:t>
      </w:r>
    </w:p>
    <w:p w14:paraId="419D391D">
      <w:pPr>
        <w:pStyle w:val="83"/>
        <w:numPr>
          <w:ilvl w:val="0"/>
          <w:numId w:val="14"/>
        </w:numPr>
        <w:spacing w:line="276" w:lineRule="auto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>Номер изделия в соответствии с каталогом производителя, артикул и т.п.;</w:t>
      </w:r>
    </w:p>
    <w:p w14:paraId="47A4E0C8">
      <w:pPr>
        <w:pStyle w:val="83"/>
        <w:numPr>
          <w:ilvl w:val="0"/>
          <w:numId w:val="14"/>
        </w:numPr>
        <w:spacing w:line="276" w:lineRule="auto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>Наименование производителя.</w:t>
      </w:r>
    </w:p>
    <w:p w14:paraId="6D8BB0DE">
      <w:pPr>
        <w:pStyle w:val="83"/>
        <w:spacing w:before="0" w:after="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то </w:t>
      </w:r>
      <w:r>
        <w:rPr>
          <w:rFonts w:ascii="Cambria" w:hAnsi="Cambria"/>
          <w:b/>
          <w:bCs/>
          <w:sz w:val="22"/>
          <w:szCs w:val="22"/>
        </w:rPr>
        <w:t>рекомендуется включить ее в состав</w:t>
      </w:r>
      <w:r>
        <w:rPr>
          <w:rFonts w:ascii="Cambria" w:hAnsi="Cambria"/>
          <w:sz w:val="22"/>
          <w:szCs w:val="22"/>
        </w:rPr>
        <w:t xml:space="preserve"> наименования номенклатурной позиции. Порядок следования указанной информации должен соответствовать порядку выше приведенного списка характеристик материала.</w:t>
      </w:r>
    </w:p>
    <w:p w14:paraId="63000EF6">
      <w:pPr>
        <w:pStyle w:val="83"/>
        <w:spacing w:line="276" w:lineRule="auto"/>
        <w:ind w:left="1068" w:firstLine="0"/>
        <w:rPr>
          <w:rFonts w:ascii="Cambria" w:hAnsi="Cambria" w:eastAsia="Calibri"/>
          <w:i/>
          <w:iCs/>
          <w:sz w:val="22"/>
          <w:szCs w:val="22"/>
          <w:lang w:eastAsia="en-US"/>
        </w:rPr>
      </w:pPr>
      <w:r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  <w:t>Пример:</w:t>
      </w:r>
      <w:r>
        <w:rPr>
          <w:rFonts w:ascii="Cambria" w:hAnsi="Cambria" w:eastAsia="Calibri"/>
          <w:i/>
          <w:iCs/>
          <w:sz w:val="22"/>
          <w:szCs w:val="22"/>
          <w:lang w:eastAsia="en-US"/>
        </w:rPr>
        <w:t xml:space="preserve"> </w:t>
      </w:r>
      <w:r>
        <w:rPr>
          <w:rFonts w:ascii="Cambria" w:hAnsi="Cambria" w:eastAsia="Calibri"/>
          <w:bCs/>
          <w:i/>
          <w:iCs/>
          <w:szCs w:val="22"/>
        </w:rPr>
        <w:t xml:space="preserve">Кондиционер настенный </w:t>
      </w:r>
      <w:r>
        <w:rPr>
          <w:rFonts w:ascii="Cambria" w:hAnsi="Cambria" w:eastAsia="Calibri"/>
          <w:b/>
          <w:i/>
          <w:iCs/>
          <w:szCs w:val="22"/>
        </w:rPr>
        <w:t>Centek</w:t>
      </w:r>
      <w:r>
        <w:rPr>
          <w:rFonts w:ascii="Cambria" w:hAnsi="Cambria" w:eastAsia="Calibri"/>
          <w:bCs/>
          <w:i/>
          <w:iCs/>
          <w:szCs w:val="22"/>
        </w:rPr>
        <w:t xml:space="preserve"> </w:t>
      </w:r>
      <w:r>
        <w:rPr>
          <w:rFonts w:ascii="Cambria" w:hAnsi="Cambria" w:eastAsia="Calibri"/>
          <w:b/>
          <w:i/>
          <w:iCs/>
          <w:szCs w:val="22"/>
        </w:rPr>
        <w:t>CT-65FDC24</w:t>
      </w:r>
      <w:r>
        <w:rPr>
          <w:rFonts w:ascii="Cambria" w:hAnsi="Cambria" w:eastAsia="Calibri"/>
          <w:bCs/>
          <w:i/>
          <w:iCs/>
          <w:szCs w:val="22"/>
        </w:rPr>
        <w:t xml:space="preserve"> </w:t>
      </w:r>
      <w:r>
        <w:rPr>
          <w:rFonts w:ascii="Cambria" w:hAnsi="Cambria" w:eastAsia="Calibri"/>
          <w:b/>
          <w:i/>
          <w:iCs/>
          <w:szCs w:val="22"/>
        </w:rPr>
        <w:t>белый</w:t>
      </w:r>
    </w:p>
    <w:p w14:paraId="4BC2CB9A">
      <w:pPr>
        <w:pStyle w:val="83"/>
        <w:spacing w:after="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5.1.8. В случае, если </w:t>
      </w:r>
      <w:r>
        <w:rPr>
          <w:rFonts w:ascii="Cambria" w:hAnsi="Cambria"/>
          <w:b/>
          <w:bCs/>
          <w:sz w:val="22"/>
          <w:szCs w:val="22"/>
        </w:rPr>
        <w:t>производитель</w:t>
      </w:r>
      <w:r>
        <w:rPr>
          <w:rFonts w:ascii="Cambria" w:hAnsi="Cambria"/>
          <w:sz w:val="22"/>
          <w:szCs w:val="22"/>
        </w:rPr>
        <w:t xml:space="preserve"> и </w:t>
      </w:r>
      <w:r>
        <w:rPr>
          <w:rFonts w:ascii="Cambria" w:hAnsi="Cambria"/>
          <w:b/>
          <w:bCs/>
          <w:sz w:val="22"/>
          <w:szCs w:val="22"/>
        </w:rPr>
        <w:t>торговая марка (бренд)</w:t>
      </w:r>
      <w:r>
        <w:rPr>
          <w:rFonts w:ascii="Cambria" w:hAnsi="Cambria"/>
          <w:sz w:val="22"/>
          <w:szCs w:val="22"/>
        </w:rPr>
        <w:t xml:space="preserve"> номенклатурной позиции совпадают, указывается </w:t>
      </w:r>
      <w:r>
        <w:rPr>
          <w:rFonts w:ascii="Cambria" w:hAnsi="Cambria"/>
          <w:b/>
          <w:bCs/>
          <w:sz w:val="22"/>
          <w:szCs w:val="22"/>
        </w:rPr>
        <w:t>только одно значение – торговая марка (бренд)</w:t>
      </w:r>
      <w:r>
        <w:rPr>
          <w:rFonts w:ascii="Cambria" w:hAnsi="Cambria"/>
          <w:sz w:val="22"/>
          <w:szCs w:val="22"/>
        </w:rPr>
        <w:t xml:space="preserve">. </w:t>
      </w:r>
    </w:p>
    <w:p w14:paraId="0B09A91E">
      <w:pPr>
        <w:pStyle w:val="83"/>
        <w:spacing w:after="0" w:line="276" w:lineRule="auto"/>
        <w:ind w:left="1134" w:firstLine="0"/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</w:pPr>
      <w:r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  <w:t xml:space="preserve">Пример: </w:t>
      </w:r>
      <w:r>
        <w:rPr>
          <w:rFonts w:ascii="Cambria" w:hAnsi="Cambria" w:eastAsia="Calibri"/>
          <w:i/>
          <w:iCs/>
          <w:sz w:val="22"/>
          <w:szCs w:val="22"/>
          <w:lang w:eastAsia="en-US"/>
        </w:rPr>
        <w:t xml:space="preserve">Монитор </w:t>
      </w:r>
      <w:r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  <w:t>ViewSonic 32"</w:t>
      </w:r>
      <w:r>
        <w:rPr>
          <w:rFonts w:ascii="Cambria" w:hAnsi="Cambria" w:eastAsia="Calibri"/>
          <w:i/>
          <w:iCs/>
          <w:sz w:val="22"/>
          <w:szCs w:val="22"/>
          <w:lang w:eastAsia="en-US"/>
        </w:rPr>
        <w:t xml:space="preserve"> VX3211-4K-mhd 3840х2160 черный</w:t>
      </w:r>
    </w:p>
    <w:p w14:paraId="0CA99308">
      <w:pPr>
        <w:pStyle w:val="83"/>
        <w:spacing w:after="0"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5.1.9. В случае, если </w:t>
      </w:r>
      <w:r>
        <w:rPr>
          <w:rFonts w:ascii="Cambria" w:hAnsi="Cambria"/>
          <w:b/>
          <w:bCs/>
          <w:sz w:val="22"/>
          <w:szCs w:val="22"/>
        </w:rPr>
        <w:t>производитель</w:t>
      </w:r>
      <w:r>
        <w:rPr>
          <w:rFonts w:ascii="Cambria" w:hAnsi="Cambria"/>
          <w:sz w:val="22"/>
          <w:szCs w:val="22"/>
        </w:rPr>
        <w:t xml:space="preserve"> и </w:t>
      </w:r>
      <w:r>
        <w:rPr>
          <w:rFonts w:ascii="Cambria" w:hAnsi="Cambria"/>
          <w:b/>
          <w:bCs/>
          <w:sz w:val="22"/>
          <w:szCs w:val="22"/>
        </w:rPr>
        <w:t>торговая марка (бренд)</w:t>
      </w:r>
      <w:r>
        <w:rPr>
          <w:rFonts w:ascii="Cambria" w:hAnsi="Cambria"/>
          <w:sz w:val="22"/>
          <w:szCs w:val="22"/>
        </w:rPr>
        <w:t xml:space="preserve"> номенклатурной позиции не совпадают, указываются </w:t>
      </w:r>
      <w:r>
        <w:rPr>
          <w:rFonts w:ascii="Cambria" w:hAnsi="Cambria"/>
          <w:b/>
          <w:bCs/>
          <w:sz w:val="22"/>
          <w:szCs w:val="22"/>
        </w:rPr>
        <w:t xml:space="preserve">оба </w:t>
      </w:r>
      <w:r>
        <w:rPr>
          <w:rFonts w:ascii="Cambria" w:hAnsi="Cambria"/>
          <w:sz w:val="22"/>
          <w:szCs w:val="22"/>
        </w:rPr>
        <w:t>значения. При формировании наименования должно выполняться следующее правило: торговая марка (бренд) указывается после определяющего слова или словосочетания, производитель указывается после артикула.</w:t>
      </w:r>
    </w:p>
    <w:p w14:paraId="18164F42">
      <w:pPr>
        <w:pStyle w:val="83"/>
        <w:spacing w:line="276" w:lineRule="auto"/>
        <w:ind w:left="1068" w:firstLine="0"/>
        <w:rPr>
          <w:rFonts w:ascii="Cambria" w:hAnsi="Cambria" w:eastAsia="Calibri"/>
          <w:i/>
          <w:iCs/>
          <w:sz w:val="22"/>
          <w:szCs w:val="22"/>
          <w:lang w:val="en-US" w:eastAsia="en-US"/>
        </w:rPr>
      </w:pPr>
      <w:r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  <w:t>Пример</w:t>
      </w:r>
      <w:r>
        <w:rPr>
          <w:rFonts w:ascii="Cambria" w:hAnsi="Cambria" w:eastAsia="Calibri"/>
          <w:b/>
          <w:bCs/>
          <w:i/>
          <w:iCs/>
          <w:sz w:val="22"/>
          <w:szCs w:val="22"/>
          <w:lang w:val="en-US" w:eastAsia="en-US"/>
        </w:rPr>
        <w:t>:</w:t>
      </w:r>
      <w:r>
        <w:rPr>
          <w:rFonts w:ascii="Cambria" w:hAnsi="Cambria"/>
          <w:lang w:val="en-US"/>
        </w:rPr>
        <w:t xml:space="preserve"> </w:t>
      </w:r>
      <w:r>
        <w:rPr>
          <w:rFonts w:ascii="Cambria" w:hAnsi="Cambria" w:eastAsia="Calibri"/>
          <w:i/>
          <w:iCs/>
          <w:sz w:val="22"/>
          <w:szCs w:val="22"/>
          <w:lang w:eastAsia="en-US"/>
        </w:rPr>
        <w:t>Клей</w:t>
      </w:r>
      <w:r>
        <w:rPr>
          <w:rFonts w:ascii="Cambria" w:hAnsi="Cambria" w:eastAsia="Calibri"/>
          <w:b/>
          <w:bCs/>
          <w:i/>
          <w:iCs/>
          <w:sz w:val="22"/>
          <w:szCs w:val="22"/>
          <w:lang w:val="en-US" w:eastAsia="en-US"/>
        </w:rPr>
        <w:t xml:space="preserve"> SUPER VALKARN G </w:t>
      </w:r>
      <w:r>
        <w:rPr>
          <w:rFonts w:ascii="Cambria" w:hAnsi="Cambria" w:eastAsia="Calibri"/>
          <w:i/>
          <w:iCs/>
          <w:sz w:val="22"/>
          <w:szCs w:val="22"/>
          <w:lang w:val="en-US" w:eastAsia="en-US"/>
        </w:rPr>
        <w:t>200</w:t>
      </w:r>
      <w:r>
        <w:rPr>
          <w:rFonts w:ascii="Cambria" w:hAnsi="Cambria" w:eastAsia="Calibri"/>
          <w:i/>
          <w:iCs/>
          <w:sz w:val="22"/>
          <w:szCs w:val="22"/>
          <w:lang w:eastAsia="en-US"/>
        </w:rPr>
        <w:t>мл</w:t>
      </w:r>
      <w:r>
        <w:rPr>
          <w:rFonts w:ascii="Cambria" w:hAnsi="Cambria" w:eastAsia="Calibri"/>
          <w:b/>
          <w:bCs/>
          <w:i/>
          <w:iCs/>
          <w:sz w:val="22"/>
          <w:szCs w:val="22"/>
          <w:lang w:val="en-US" w:eastAsia="en-US"/>
        </w:rPr>
        <w:t xml:space="preserve"> Rossvik</w:t>
      </w:r>
    </w:p>
    <w:p w14:paraId="506A4997">
      <w:pPr>
        <w:spacing w:line="276" w:lineRule="auto"/>
        <w:ind w:firstLine="709"/>
        <w:jc w:val="both"/>
        <w:rPr>
          <w:szCs w:val="22"/>
        </w:rPr>
      </w:pPr>
      <w:r>
        <w:rPr>
          <w:szCs w:val="22"/>
        </w:rPr>
        <w:t xml:space="preserve">5.1.10. В наименованиях номенклатурных позиций торговая марка (бренд), модель, версия, серия, артикул и производитель изделия </w:t>
      </w:r>
      <w:r>
        <w:rPr>
          <w:b/>
          <w:bCs/>
          <w:szCs w:val="22"/>
        </w:rPr>
        <w:t>указываются без знаков кавычек</w:t>
      </w:r>
      <w:r>
        <w:rPr>
          <w:szCs w:val="22"/>
        </w:rPr>
        <w:t>, в соответствии с их написанием в технических документах.</w:t>
      </w:r>
    </w:p>
    <w:p w14:paraId="7B6DAEF9">
      <w:pPr>
        <w:pStyle w:val="83"/>
        <w:spacing w:line="276" w:lineRule="auto"/>
        <w:ind w:left="1068" w:firstLine="0"/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</w:pPr>
      <w:r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  <w:t xml:space="preserve">Правильно: </w:t>
      </w:r>
      <w:r>
        <w:rPr>
          <w:rFonts w:ascii="Cambria" w:hAnsi="Cambria" w:eastAsia="Calibri"/>
          <w:i/>
          <w:iCs/>
          <w:sz w:val="22"/>
          <w:szCs w:val="22"/>
          <w:lang w:eastAsia="en-US"/>
        </w:rPr>
        <w:t>Телефон беспроводной</w:t>
      </w:r>
      <w:r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  <w:t xml:space="preserve"> Panasonic KX-TGB210RUR</w:t>
      </w:r>
    </w:p>
    <w:p w14:paraId="630209FF">
      <w:pPr>
        <w:pStyle w:val="83"/>
        <w:spacing w:line="276" w:lineRule="auto"/>
        <w:ind w:left="1068" w:firstLine="0"/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</w:pPr>
      <w:r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  <w:t>Неправильно:</w:t>
      </w:r>
      <w:r>
        <w:rPr>
          <w:rFonts w:ascii="Cambria" w:hAnsi="Cambria" w:eastAsia="Calibri"/>
          <w:i/>
          <w:iCs/>
          <w:sz w:val="22"/>
          <w:szCs w:val="22"/>
          <w:lang w:eastAsia="en-US"/>
        </w:rPr>
        <w:t xml:space="preserve"> Телефон беспроводной</w:t>
      </w:r>
      <w:r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  <w:t xml:space="preserve"> Панасоник KX-TGB210RUR</w:t>
      </w:r>
    </w:p>
    <w:p w14:paraId="7D9C704D">
      <w:pPr>
        <w:pStyle w:val="83"/>
        <w:spacing w:line="276" w:lineRule="auto"/>
        <w:ind w:left="1068" w:firstLine="0"/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</w:pPr>
      <w:r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  <w:t xml:space="preserve"> Неправильно: </w:t>
      </w:r>
      <w:r>
        <w:rPr>
          <w:rFonts w:ascii="Cambria" w:hAnsi="Cambria" w:eastAsia="Calibri"/>
          <w:i/>
          <w:iCs/>
          <w:sz w:val="22"/>
          <w:szCs w:val="22"/>
          <w:lang w:eastAsia="en-US"/>
        </w:rPr>
        <w:t>Телефон беспроводной</w:t>
      </w:r>
      <w:r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  <w:t xml:space="preserve"> «Panasonic» KX-TGB210RUR</w:t>
      </w:r>
    </w:p>
    <w:p w14:paraId="758D47A9">
      <w:pPr>
        <w:pStyle w:val="83"/>
        <w:spacing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на иностранном языке для материалов, изготовленных иностранной компанией, на русском языке – для отечественных материалов.</w:t>
      </w:r>
    </w:p>
    <w:p w14:paraId="48030AD1">
      <w:pPr>
        <w:ind w:firstLine="709"/>
        <w:jc w:val="both"/>
      </w:pPr>
      <w:r>
        <w:rPr>
          <w:szCs w:val="22"/>
        </w:rPr>
        <w:t xml:space="preserve">5.1.11. </w:t>
      </w:r>
      <w:r>
        <w:t xml:space="preserve">Перечень групп материалов, в наименованиях которых не указывается торговая марка (бренд), модель, версия, серия, артикул и производитель приведен в Приложении 6. Приведенный </w:t>
      </w:r>
      <w:r>
        <w:rPr>
          <w:szCs w:val="22"/>
        </w:rPr>
        <w:t>перечень может быть расширен в процессе нормализации и ведения справочника номенклатуры.</w:t>
      </w:r>
    </w:p>
    <w:p w14:paraId="37C2C779">
      <w:pPr>
        <w:pStyle w:val="83"/>
        <w:spacing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5.1.12. Элементы наименования объекта, выражающие признаки (значения признаков) классификации и характеристики, </w:t>
      </w:r>
      <w:r>
        <w:rPr>
          <w:rFonts w:ascii="Cambria" w:hAnsi="Cambria"/>
          <w:b/>
          <w:bCs/>
          <w:sz w:val="22"/>
          <w:szCs w:val="22"/>
        </w:rPr>
        <w:t>не должны заключаться в скобки</w:t>
      </w:r>
      <w:r>
        <w:rPr>
          <w:rFonts w:ascii="Cambria" w:hAnsi="Cambria"/>
          <w:sz w:val="22"/>
          <w:szCs w:val="22"/>
        </w:rPr>
        <w:t xml:space="preserve"> или другие специальные символы.</w:t>
      </w:r>
    </w:p>
    <w:p w14:paraId="466B34BD">
      <w:pPr>
        <w:pStyle w:val="83"/>
        <w:spacing w:line="276" w:lineRule="auto"/>
        <w:ind w:left="1068" w:firstLine="0"/>
        <w:rPr>
          <w:rFonts w:ascii="Cambria" w:hAnsi="Cambria" w:eastAsia="Calibri"/>
          <w:i/>
          <w:iCs/>
          <w:sz w:val="22"/>
          <w:szCs w:val="22"/>
          <w:lang w:eastAsia="en-US"/>
        </w:rPr>
      </w:pPr>
      <w:r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  <w:t xml:space="preserve">Правильно: </w:t>
      </w:r>
      <w:r>
        <w:rPr>
          <w:rFonts w:ascii="Cambria" w:hAnsi="Cambria" w:eastAsia="Calibri"/>
          <w:i/>
          <w:iCs/>
          <w:sz w:val="22"/>
          <w:szCs w:val="22"/>
          <w:lang w:eastAsia="en-US"/>
        </w:rPr>
        <w:t xml:space="preserve">Совок мерный </w:t>
      </w:r>
      <w:r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  <w:t>50мл</w:t>
      </w:r>
    </w:p>
    <w:p w14:paraId="19D310F4">
      <w:pPr>
        <w:pStyle w:val="83"/>
        <w:spacing w:line="276" w:lineRule="auto"/>
        <w:ind w:left="1068" w:firstLine="0"/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</w:pPr>
      <w:r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  <w:t xml:space="preserve">Неправильно: </w:t>
      </w:r>
      <w:r>
        <w:rPr>
          <w:rFonts w:ascii="Cambria" w:hAnsi="Cambria" w:eastAsia="Calibri"/>
          <w:i/>
          <w:iCs/>
          <w:sz w:val="22"/>
          <w:szCs w:val="22"/>
          <w:lang w:eastAsia="en-US"/>
        </w:rPr>
        <w:t xml:space="preserve">Совок мерный </w:t>
      </w:r>
      <w:r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  <w:t>50(мл)</w:t>
      </w:r>
    </w:p>
    <w:p w14:paraId="513E0F65">
      <w:pPr>
        <w:pStyle w:val="83"/>
        <w:spacing w:line="276" w:lineRule="auto"/>
        <w:ind w:left="1068" w:firstLine="0"/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</w:pPr>
      <w:r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  <w:t xml:space="preserve">Неправильно: </w:t>
      </w:r>
      <w:r>
        <w:rPr>
          <w:rFonts w:ascii="Cambria" w:hAnsi="Cambria" w:eastAsia="Calibri"/>
          <w:i/>
          <w:iCs/>
          <w:sz w:val="22"/>
          <w:szCs w:val="22"/>
          <w:lang w:eastAsia="en-US"/>
        </w:rPr>
        <w:t xml:space="preserve">Совок мерный </w:t>
      </w:r>
      <w:r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  <w:t>&lt;50мл&gt;</w:t>
      </w:r>
    </w:p>
    <w:p w14:paraId="23D425AD">
      <w:pPr>
        <w:pStyle w:val="83"/>
        <w:spacing w:line="276" w:lineRule="auto"/>
        <w:rPr>
          <w:rFonts w:ascii="Cambria" w:hAnsi="Cambria" w:eastAsia="Calibri"/>
          <w:sz w:val="22"/>
          <w:szCs w:val="22"/>
          <w:lang w:eastAsia="en-US"/>
        </w:rPr>
      </w:pPr>
      <w:r>
        <w:rPr>
          <w:rFonts w:ascii="Cambria" w:hAnsi="Cambria"/>
          <w:sz w:val="22"/>
          <w:szCs w:val="22"/>
        </w:rPr>
        <w:t>5.1.13. </w:t>
      </w:r>
      <w:r>
        <w:rPr>
          <w:rFonts w:ascii="Cambria" w:hAnsi="Cambria" w:eastAsia="Calibri"/>
          <w:b/>
          <w:bCs/>
          <w:sz w:val="22"/>
          <w:szCs w:val="22"/>
          <w:lang w:eastAsia="en-US"/>
        </w:rPr>
        <w:t>Для стандартизированных материалов</w:t>
      </w:r>
      <w:r>
        <w:rPr>
          <w:rFonts w:ascii="Cambria" w:hAnsi="Cambria" w:eastAsia="Calibri"/>
          <w:sz w:val="22"/>
          <w:szCs w:val="22"/>
          <w:lang w:eastAsia="en-US"/>
        </w:rPr>
        <w:t>, изготавливающихся по ГОСТ, ОСТ, ТУ</w:t>
      </w:r>
      <w:r>
        <w:rPr>
          <w:rFonts w:ascii="Cambria" w:hAnsi="Cambria"/>
          <w:sz w:val="22"/>
          <w:szCs w:val="22"/>
        </w:rPr>
        <w:t xml:space="preserve">, </w:t>
      </w:r>
      <w:r>
        <w:rPr>
          <w:rFonts w:ascii="Cambria" w:hAnsi="Cambria"/>
          <w:sz w:val="22"/>
          <w:szCs w:val="22"/>
          <w:lang w:val="en-US"/>
        </w:rPr>
        <w:t>DIN</w:t>
      </w:r>
      <w:r>
        <w:rPr>
          <w:rFonts w:ascii="Cambria" w:hAnsi="Cambria" w:eastAsia="Calibri"/>
          <w:sz w:val="22"/>
          <w:szCs w:val="22"/>
          <w:lang w:eastAsia="en-US"/>
        </w:rPr>
        <w:t xml:space="preserve"> и другим стандартам, в наименованиях номенклатурных позиций </w:t>
      </w:r>
      <w:r>
        <w:rPr>
          <w:rFonts w:ascii="Cambria" w:hAnsi="Cambria" w:eastAsia="Calibri"/>
          <w:b/>
          <w:bCs/>
          <w:sz w:val="22"/>
          <w:szCs w:val="22"/>
          <w:lang w:eastAsia="en-US"/>
        </w:rPr>
        <w:t>не указывается</w:t>
      </w:r>
      <w:r>
        <w:rPr>
          <w:rFonts w:ascii="Cambria" w:hAnsi="Cambria" w:eastAsia="Calibri"/>
          <w:sz w:val="22"/>
          <w:szCs w:val="22"/>
          <w:lang w:eastAsia="en-US"/>
        </w:rPr>
        <w:t xml:space="preserve"> бренд, артикул, номер детали производителя и производитель, но может быть указано </w:t>
      </w:r>
      <w:r>
        <w:rPr>
          <w:rFonts w:ascii="Cambria" w:hAnsi="Cambria" w:eastAsia="Calibri"/>
          <w:b/>
          <w:sz w:val="22"/>
          <w:szCs w:val="22"/>
          <w:lang w:eastAsia="en-US"/>
        </w:rPr>
        <w:t>обозначение</w:t>
      </w:r>
      <w:r>
        <w:rPr>
          <w:rFonts w:ascii="Cambria" w:hAnsi="Cambria" w:eastAsia="Calibri"/>
          <w:sz w:val="22"/>
          <w:szCs w:val="22"/>
          <w:lang w:eastAsia="en-US"/>
        </w:rPr>
        <w:t xml:space="preserve"> согласно описанному в стандарте правилу.</w:t>
      </w:r>
    </w:p>
    <w:p w14:paraId="3DAB0A7F">
      <w:pPr>
        <w:pStyle w:val="83"/>
        <w:spacing w:line="276" w:lineRule="auto"/>
        <w:ind w:left="1068" w:firstLine="0"/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</w:pPr>
      <w:r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  <w:t>Обозначение:</w:t>
      </w:r>
      <w:r>
        <w:rPr>
          <w:rFonts w:ascii="Cambria" w:hAnsi="Cambria" w:eastAsia="Calibri"/>
          <w:i/>
          <w:iCs/>
          <w:sz w:val="22"/>
          <w:szCs w:val="22"/>
          <w:lang w:eastAsia="en-US"/>
        </w:rPr>
        <w:t xml:space="preserve"> Гайка М30-6Н.8.016 </w:t>
      </w:r>
      <w:r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  <w:t>ГОСТ 5915-70</w:t>
      </w:r>
    </w:p>
    <w:p w14:paraId="3404837B">
      <w:pPr>
        <w:spacing w:after="240"/>
        <w:ind w:firstLine="709"/>
        <w:jc w:val="both"/>
      </w:pPr>
      <w:r>
        <w:t>5.1.14. При заполнении информации о нормативно-технической документации (НТД) вносится информация о документе, в соответствии с которым изготавливается номенклатурная позиция. Это может быть ГОСТ, ОСТ, ТУ и т.д.  Формат записи значения НТД для ГОСТ и ОСТ:</w:t>
      </w:r>
      <w:r>
        <w:rPr>
          <w:b/>
          <w:bCs/>
        </w:rPr>
        <w:t xml:space="preserve"> </w:t>
      </w:r>
    </w:p>
    <w:p w14:paraId="2C34CCA4">
      <w:pPr>
        <w:spacing w:after="240"/>
        <w:ind w:firstLine="709"/>
        <w:jc w:val="both"/>
      </w:pPr>
      <w:r>
        <w:rPr>
          <w:i/>
          <w:iCs/>
        </w:rPr>
        <w:t xml:space="preserve">&lt;Сокращенное наименование нормативной документации&gt; &lt;пробел&gt; &lt;номер&gt; &lt;-&gt; &lt;год&gt; </w:t>
      </w:r>
    </w:p>
    <w:p w14:paraId="39D7CAC9">
      <w:pPr>
        <w:ind w:left="1134"/>
        <w:jc w:val="both"/>
        <w:rPr>
          <w:i/>
          <w:iCs/>
        </w:rPr>
      </w:pPr>
      <w:r>
        <w:rPr>
          <w:rFonts w:eastAsia="Calibri"/>
          <w:b/>
          <w:bCs/>
          <w:i/>
          <w:iCs/>
          <w:szCs w:val="22"/>
          <w:lang w:eastAsia="en-US"/>
        </w:rPr>
        <w:t>Пример</w:t>
      </w:r>
      <w:r>
        <w:rPr>
          <w:b/>
          <w:bCs/>
          <w:i/>
          <w:iCs/>
        </w:rPr>
        <w:t>:</w:t>
      </w:r>
      <w:r>
        <w:t xml:space="preserve"> </w:t>
      </w:r>
      <w:r>
        <w:rPr>
          <w:i/>
          <w:iCs/>
        </w:rPr>
        <w:t>ГОСТ 7505-89</w:t>
      </w:r>
    </w:p>
    <w:p w14:paraId="0707D977">
      <w:pPr>
        <w:spacing w:after="240"/>
        <w:ind w:left="1134"/>
        <w:jc w:val="both"/>
      </w:pPr>
      <w:r>
        <w:rPr>
          <w:rFonts w:eastAsia="Calibri"/>
          <w:b/>
          <w:bCs/>
          <w:i/>
          <w:iCs/>
          <w:szCs w:val="22"/>
          <w:lang w:eastAsia="en-US"/>
        </w:rPr>
        <w:t>Пример</w:t>
      </w:r>
      <w:r>
        <w:rPr>
          <w:b/>
          <w:bCs/>
          <w:i/>
          <w:iCs/>
        </w:rPr>
        <w:t>:</w:t>
      </w:r>
      <w:r>
        <w:t xml:space="preserve"> </w:t>
      </w:r>
      <w:r>
        <w:rPr>
          <w:i/>
          <w:iCs/>
        </w:rPr>
        <w:t>ОСТ 12.2222-90</w:t>
      </w:r>
    </w:p>
    <w:p w14:paraId="5A5F1DC1">
      <w:pPr>
        <w:pStyle w:val="83"/>
        <w:spacing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5.1.15. В соответствии с требованиями информационной системы реквизит </w:t>
      </w:r>
      <w:r>
        <w:rPr>
          <w:rFonts w:ascii="Cambria" w:hAnsi="Cambria"/>
          <w:i/>
          <w:sz w:val="22"/>
          <w:szCs w:val="22"/>
        </w:rPr>
        <w:t xml:space="preserve">наименование </w:t>
      </w:r>
      <w:r>
        <w:rPr>
          <w:rFonts w:ascii="Cambria" w:hAnsi="Cambria"/>
          <w:sz w:val="22"/>
          <w:szCs w:val="22"/>
        </w:rPr>
        <w:t xml:space="preserve">номенклатурной позиции </w:t>
      </w:r>
      <w:r>
        <w:rPr>
          <w:rFonts w:ascii="Cambria" w:hAnsi="Cambria"/>
          <w:b/>
          <w:bCs/>
          <w:sz w:val="22"/>
          <w:szCs w:val="22"/>
        </w:rPr>
        <w:t>не должно</w:t>
      </w:r>
      <w:r>
        <w:rPr>
          <w:rFonts w:ascii="Cambria" w:hAnsi="Cambria"/>
          <w:sz w:val="22"/>
          <w:szCs w:val="22"/>
        </w:rPr>
        <w:t xml:space="preserve"> превышать 100 символов. В случае если заполненный реквизит </w:t>
      </w:r>
      <w:r>
        <w:rPr>
          <w:rFonts w:ascii="Cambria" w:hAnsi="Cambria"/>
          <w:i/>
          <w:sz w:val="22"/>
          <w:szCs w:val="22"/>
        </w:rPr>
        <w:t xml:space="preserve">наименование </w:t>
      </w:r>
      <w:r>
        <w:rPr>
          <w:rFonts w:ascii="Cambria" w:hAnsi="Cambria"/>
          <w:sz w:val="22"/>
          <w:szCs w:val="22"/>
        </w:rPr>
        <w:t>превышает указанную длину, то его необходимо сократить.</w:t>
      </w:r>
    </w:p>
    <w:p w14:paraId="3785793B">
      <w:pPr>
        <w:spacing w:after="240"/>
        <w:ind w:firstLine="709"/>
        <w:jc w:val="both"/>
      </w:pPr>
      <w:r>
        <w:t>5.1.16. В наименованиях материалов допускается применение как общепринятых, так и специальных сокращений. Правила сокращения слов и словосочетаний на русском языке должны соответствовать ГОСТ Р 7.0.12-2011 Библиографическая запись сокращение слов и словосочетаний на русском языке Общие требования и правила от 13 декабря 2011 г.</w:t>
      </w:r>
    </w:p>
    <w:p w14:paraId="79165CFB">
      <w:pPr>
        <w:spacing w:line="276" w:lineRule="auto"/>
        <w:ind w:firstLine="709"/>
        <w:jc w:val="both"/>
        <w:rPr>
          <w:szCs w:val="22"/>
        </w:rPr>
      </w:pPr>
      <w:r>
        <w:rPr>
          <w:szCs w:val="22"/>
        </w:rPr>
        <w:t>5.1.17.</w:t>
      </w:r>
      <w:r>
        <w:rPr>
          <w:b/>
          <w:szCs w:val="22"/>
        </w:rPr>
        <w:t xml:space="preserve"> </w:t>
      </w:r>
      <w:r>
        <w:rPr>
          <w:szCs w:val="22"/>
        </w:rPr>
        <w:t>При заполнении реквизита «</w:t>
      </w:r>
      <w:r>
        <w:rPr>
          <w:i/>
          <w:szCs w:val="22"/>
        </w:rPr>
        <w:t>наименование»</w:t>
      </w:r>
      <w:r>
        <w:rPr>
          <w:szCs w:val="22"/>
        </w:rPr>
        <w:t xml:space="preserve"> номенклатурной позиции в целях сокращения наименований, превышающих длину 100 символов, </w:t>
      </w:r>
      <w:r>
        <w:rPr>
          <w:b/>
          <w:bCs/>
          <w:szCs w:val="22"/>
        </w:rPr>
        <w:t>не допускается</w:t>
      </w:r>
      <w:r>
        <w:rPr>
          <w:szCs w:val="22"/>
        </w:rPr>
        <w:t xml:space="preserve"> использование сложносокращенных слов, кроме случаев, когда сложносокращенные слова использованы в нормативных или технических документах, на основании которых формируется наименование продукта. </w:t>
      </w:r>
    </w:p>
    <w:p w14:paraId="69FA1094">
      <w:pPr>
        <w:pStyle w:val="83"/>
        <w:spacing w:line="276" w:lineRule="auto"/>
        <w:ind w:left="1068" w:firstLine="0"/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</w:pPr>
      <w:r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  <w:t xml:space="preserve">Правильно: </w:t>
      </w:r>
      <w:r>
        <w:rPr>
          <w:rFonts w:ascii="Cambria" w:hAnsi="Cambria" w:eastAsia="Calibri"/>
          <w:i/>
          <w:iCs/>
          <w:sz w:val="22"/>
          <w:szCs w:val="22"/>
          <w:lang w:eastAsia="en-US"/>
        </w:rPr>
        <w:t>Пистолет пневматический</w:t>
      </w:r>
    </w:p>
    <w:p w14:paraId="395AE04C">
      <w:pPr>
        <w:pStyle w:val="83"/>
        <w:spacing w:line="276" w:lineRule="auto"/>
        <w:ind w:left="1068" w:firstLine="0"/>
        <w:rPr>
          <w:rFonts w:ascii="Cambria" w:hAnsi="Cambria" w:eastAsia="Calibri"/>
          <w:i/>
          <w:iCs/>
          <w:sz w:val="22"/>
          <w:szCs w:val="22"/>
          <w:lang w:eastAsia="en-US"/>
        </w:rPr>
      </w:pPr>
      <w:r>
        <w:rPr>
          <w:rFonts w:ascii="Cambria" w:hAnsi="Cambria" w:eastAsia="Calibri"/>
          <w:b/>
          <w:bCs/>
          <w:i/>
          <w:iCs/>
          <w:sz w:val="22"/>
          <w:szCs w:val="22"/>
          <w:lang w:eastAsia="en-US"/>
        </w:rPr>
        <w:t xml:space="preserve">Неправильно: </w:t>
      </w:r>
      <w:r>
        <w:rPr>
          <w:rFonts w:ascii="Cambria" w:hAnsi="Cambria" w:eastAsia="Calibri"/>
          <w:i/>
          <w:iCs/>
          <w:sz w:val="22"/>
          <w:szCs w:val="22"/>
          <w:lang w:eastAsia="en-US"/>
        </w:rPr>
        <w:t>Пневмопистолет</w:t>
      </w:r>
    </w:p>
    <w:p w14:paraId="6E5B97FA">
      <w:pPr>
        <w:pStyle w:val="83"/>
        <w:spacing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5.1.18. Между числовым значением и наименованием единицы измерения пробел </w:t>
      </w:r>
      <w:r>
        <w:rPr>
          <w:rFonts w:ascii="Cambria" w:hAnsi="Cambria"/>
          <w:b/>
          <w:bCs/>
          <w:sz w:val="22"/>
          <w:szCs w:val="22"/>
        </w:rPr>
        <w:t>не ставится</w:t>
      </w:r>
      <w:r>
        <w:rPr>
          <w:rFonts w:ascii="Cambria" w:hAnsi="Cambria"/>
          <w:sz w:val="22"/>
          <w:szCs w:val="22"/>
        </w:rPr>
        <w:t xml:space="preserve"> (45мм, 300Вт и пр.). Наименования единиц измерения и их сокращения </w:t>
      </w:r>
      <w:r>
        <w:rPr>
          <w:rFonts w:ascii="Cambria" w:hAnsi="Cambria"/>
          <w:b/>
          <w:bCs/>
          <w:sz w:val="22"/>
          <w:szCs w:val="22"/>
        </w:rPr>
        <w:t>должны соответствовать</w:t>
      </w:r>
      <w:r>
        <w:rPr>
          <w:rFonts w:ascii="Cambria" w:hAnsi="Cambria"/>
          <w:sz w:val="22"/>
          <w:szCs w:val="22"/>
        </w:rPr>
        <w:t xml:space="preserve"> национальному условному обозначению по ОКЕИ на русском языке. </w:t>
      </w:r>
    </w:p>
    <w:p w14:paraId="671FD752">
      <w:pPr>
        <w:pStyle w:val="83"/>
        <w:spacing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5.1.19. В процессе нормализации и ведения справочника могут использоваться общепринятые обозначения единиц измерения в наименованиях номенклатурных позиций. Перечень сокращений единиц измерения приведен в Приложении 7. Приведенный перечень может быть расширен в процессе нормализации и ведения справочника номенклатуры.</w:t>
      </w:r>
    </w:p>
    <w:p w14:paraId="11291DB1">
      <w:pPr>
        <w:pStyle w:val="83"/>
        <w:spacing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5.1.20. В составе слов русского языка не допускаются буквы латинского алфавита (A, B, C, E, H, K, M, O, P, T, X), имеющие визуальное сходство с буквами кириллицы.</w:t>
      </w:r>
    </w:p>
    <w:p w14:paraId="2AF3352F">
      <w:pPr>
        <w:pStyle w:val="83"/>
        <w:spacing w:line="276" w:lineRule="auto"/>
        <w:rPr>
          <w:rFonts w:ascii="Cambria" w:hAnsi="Cambria"/>
          <w:color w:val="000000"/>
          <w:szCs w:val="20"/>
        </w:rPr>
      </w:pPr>
      <w:r>
        <w:rPr>
          <w:rFonts w:ascii="Cambria" w:hAnsi="Cambria"/>
          <w:sz w:val="22"/>
          <w:szCs w:val="22"/>
        </w:rPr>
        <w:t>5.1.21.</w:t>
      </w:r>
      <w:r>
        <w:rPr>
          <w:rFonts w:ascii="Cambria" w:hAnsi="Cambria"/>
          <w:sz w:val="22"/>
          <w:szCs w:val="22"/>
          <w:lang w:val="en-US"/>
        </w:rPr>
        <w:t> </w:t>
      </w:r>
      <w:r>
        <w:rPr>
          <w:rFonts w:ascii="Cambria" w:hAnsi="Cambria"/>
          <w:sz w:val="22"/>
          <w:szCs w:val="22"/>
        </w:rPr>
        <w:t>В наименовании номенклатурной позиции не должны быть использованы следующие специальные символы</w:t>
      </w:r>
      <w:r>
        <w:rPr>
          <w:rFonts w:ascii="Cambria" w:hAnsi="Cambria"/>
          <w:color w:val="000000"/>
          <w:szCs w:val="20"/>
        </w:rPr>
        <w:t>:</w:t>
      </w:r>
    </w:p>
    <w:tbl>
      <w:tblPr>
        <w:tblStyle w:val="32"/>
        <w:tblW w:w="99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"/>
        <w:gridCol w:w="545"/>
        <w:gridCol w:w="548"/>
        <w:gridCol w:w="548"/>
        <w:gridCol w:w="548"/>
        <w:gridCol w:w="548"/>
        <w:gridCol w:w="547"/>
        <w:gridCol w:w="549"/>
        <w:gridCol w:w="549"/>
        <w:gridCol w:w="550"/>
        <w:gridCol w:w="552"/>
        <w:gridCol w:w="549"/>
        <w:gridCol w:w="549"/>
        <w:gridCol w:w="548"/>
        <w:gridCol w:w="548"/>
        <w:gridCol w:w="548"/>
        <w:gridCol w:w="549"/>
        <w:gridCol w:w="590"/>
      </w:tblGrid>
      <w:tr w14:paraId="19098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9" w:type="dxa"/>
            <w:vAlign w:val="center"/>
          </w:tcPr>
          <w:p w14:paraId="4F4C1AE6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'</w:t>
            </w:r>
          </w:p>
        </w:tc>
        <w:tc>
          <w:tcPr>
            <w:tcW w:w="548" w:type="dxa"/>
            <w:vAlign w:val="center"/>
          </w:tcPr>
          <w:p w14:paraId="35B0C6B1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–</w:t>
            </w:r>
          </w:p>
        </w:tc>
        <w:tc>
          <w:tcPr>
            <w:tcW w:w="550" w:type="dxa"/>
            <w:vAlign w:val="center"/>
          </w:tcPr>
          <w:p w14:paraId="59C345AC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!</w:t>
            </w:r>
          </w:p>
        </w:tc>
        <w:tc>
          <w:tcPr>
            <w:tcW w:w="550" w:type="dxa"/>
            <w:vAlign w:val="center"/>
          </w:tcPr>
          <w:p w14:paraId="3354BB5D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#</w:t>
            </w:r>
          </w:p>
        </w:tc>
        <w:tc>
          <w:tcPr>
            <w:tcW w:w="550" w:type="dxa"/>
            <w:vAlign w:val="center"/>
          </w:tcPr>
          <w:p w14:paraId="54A4BD7E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&amp;</w:t>
            </w:r>
          </w:p>
        </w:tc>
        <w:tc>
          <w:tcPr>
            <w:tcW w:w="550" w:type="dxa"/>
            <w:vAlign w:val="center"/>
          </w:tcPr>
          <w:p w14:paraId="4F067B64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:</w:t>
            </w:r>
          </w:p>
        </w:tc>
        <w:tc>
          <w:tcPr>
            <w:tcW w:w="550" w:type="dxa"/>
            <w:vAlign w:val="center"/>
          </w:tcPr>
          <w:p w14:paraId="46B88564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;</w:t>
            </w:r>
          </w:p>
        </w:tc>
        <w:tc>
          <w:tcPr>
            <w:tcW w:w="551" w:type="dxa"/>
            <w:vAlign w:val="center"/>
          </w:tcPr>
          <w:p w14:paraId="2FE233E8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?</w:t>
            </w:r>
          </w:p>
        </w:tc>
        <w:tc>
          <w:tcPr>
            <w:tcW w:w="551" w:type="dxa"/>
            <w:vAlign w:val="center"/>
          </w:tcPr>
          <w:p w14:paraId="13EE1850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@</w:t>
            </w:r>
          </w:p>
        </w:tc>
        <w:tc>
          <w:tcPr>
            <w:tcW w:w="551" w:type="dxa"/>
            <w:vAlign w:val="center"/>
          </w:tcPr>
          <w:p w14:paraId="30275E0D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{</w:t>
            </w:r>
          </w:p>
        </w:tc>
        <w:tc>
          <w:tcPr>
            <w:tcW w:w="554" w:type="dxa"/>
            <w:vAlign w:val="center"/>
          </w:tcPr>
          <w:p w14:paraId="714FD9E8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|</w:t>
            </w:r>
          </w:p>
        </w:tc>
        <w:tc>
          <w:tcPr>
            <w:tcW w:w="551" w:type="dxa"/>
            <w:vAlign w:val="center"/>
          </w:tcPr>
          <w:p w14:paraId="1F679A89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}</w:t>
            </w:r>
          </w:p>
        </w:tc>
        <w:tc>
          <w:tcPr>
            <w:tcW w:w="551" w:type="dxa"/>
            <w:vAlign w:val="center"/>
          </w:tcPr>
          <w:p w14:paraId="64A039FB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~</w:t>
            </w:r>
          </w:p>
        </w:tc>
        <w:tc>
          <w:tcPr>
            <w:tcW w:w="551" w:type="dxa"/>
            <w:vAlign w:val="center"/>
          </w:tcPr>
          <w:p w14:paraId="71DD4592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”</w:t>
            </w:r>
          </w:p>
        </w:tc>
        <w:tc>
          <w:tcPr>
            <w:tcW w:w="551" w:type="dxa"/>
            <w:vAlign w:val="center"/>
          </w:tcPr>
          <w:p w14:paraId="50C2E7C0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″</w:t>
            </w:r>
          </w:p>
        </w:tc>
        <w:tc>
          <w:tcPr>
            <w:tcW w:w="551" w:type="dxa"/>
            <w:vAlign w:val="center"/>
          </w:tcPr>
          <w:p w14:paraId="60419860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&lt;</w:t>
            </w:r>
          </w:p>
        </w:tc>
        <w:tc>
          <w:tcPr>
            <w:tcW w:w="551" w:type="dxa"/>
            <w:vAlign w:val="center"/>
          </w:tcPr>
          <w:p w14:paraId="4F7F7CBB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&gt;</w:t>
            </w:r>
          </w:p>
        </w:tc>
        <w:tc>
          <w:tcPr>
            <w:tcW w:w="551" w:type="dxa"/>
            <w:vAlign w:val="center"/>
          </w:tcPr>
          <w:p w14:paraId="68E0F450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«</w:t>
            </w:r>
          </w:p>
        </w:tc>
      </w:tr>
      <w:tr w14:paraId="30561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9" w:type="dxa"/>
            <w:vAlign w:val="center"/>
          </w:tcPr>
          <w:p w14:paraId="1E9400DF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»</w:t>
            </w:r>
          </w:p>
        </w:tc>
        <w:tc>
          <w:tcPr>
            <w:tcW w:w="548" w:type="dxa"/>
            <w:vAlign w:val="center"/>
          </w:tcPr>
          <w:p w14:paraId="2EF23D96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×</w:t>
            </w:r>
          </w:p>
        </w:tc>
        <w:tc>
          <w:tcPr>
            <w:tcW w:w="550" w:type="dxa"/>
            <w:vAlign w:val="center"/>
          </w:tcPr>
          <w:p w14:paraId="1E315D6A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®</w:t>
            </w:r>
          </w:p>
        </w:tc>
        <w:tc>
          <w:tcPr>
            <w:tcW w:w="550" w:type="dxa"/>
            <w:vAlign w:val="center"/>
          </w:tcPr>
          <w:p w14:paraId="66D96EA4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¶</w:t>
            </w:r>
          </w:p>
        </w:tc>
        <w:tc>
          <w:tcPr>
            <w:tcW w:w="550" w:type="dxa"/>
            <w:vAlign w:val="center"/>
          </w:tcPr>
          <w:p w14:paraId="3E768031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·</w:t>
            </w:r>
          </w:p>
        </w:tc>
        <w:tc>
          <w:tcPr>
            <w:tcW w:w="550" w:type="dxa"/>
            <w:vAlign w:val="center"/>
          </w:tcPr>
          <w:p w14:paraId="63209FE1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…</w:t>
            </w:r>
          </w:p>
        </w:tc>
        <w:tc>
          <w:tcPr>
            <w:tcW w:w="550" w:type="dxa"/>
            <w:vAlign w:val="center"/>
          </w:tcPr>
          <w:p w14:paraId="75A270E6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•</w:t>
            </w:r>
          </w:p>
        </w:tc>
        <w:tc>
          <w:tcPr>
            <w:tcW w:w="551" w:type="dxa"/>
            <w:vAlign w:val="center"/>
          </w:tcPr>
          <w:p w14:paraId="73D2128D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½</w:t>
            </w:r>
          </w:p>
        </w:tc>
        <w:tc>
          <w:tcPr>
            <w:tcW w:w="551" w:type="dxa"/>
            <w:vAlign w:val="center"/>
          </w:tcPr>
          <w:p w14:paraId="5D1E93BF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²</w:t>
            </w:r>
          </w:p>
        </w:tc>
        <w:tc>
          <w:tcPr>
            <w:tcW w:w="551" w:type="dxa"/>
            <w:vAlign w:val="center"/>
          </w:tcPr>
          <w:p w14:paraId="7916EF35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="MS Gothic" w:cstheme="minorHAnsi"/>
                <w:color w:val="000000"/>
                <w:szCs w:val="22"/>
                <w:lang w:eastAsia="en-US"/>
                <w14:ligatures w14:val="standardContextual"/>
              </w:rPr>
              <w:t>㎡</w:t>
            </w:r>
          </w:p>
        </w:tc>
        <w:tc>
          <w:tcPr>
            <w:tcW w:w="554" w:type="dxa"/>
            <w:vAlign w:val="center"/>
          </w:tcPr>
          <w:p w14:paraId="7FE3C8E0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Ø</w:t>
            </w:r>
          </w:p>
        </w:tc>
        <w:tc>
          <w:tcPr>
            <w:tcW w:w="551" w:type="dxa"/>
            <w:vAlign w:val="center"/>
          </w:tcPr>
          <w:p w14:paraId="609E26B2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™</w:t>
            </w:r>
          </w:p>
        </w:tc>
        <w:tc>
          <w:tcPr>
            <w:tcW w:w="551" w:type="dxa"/>
            <w:vAlign w:val="center"/>
          </w:tcPr>
          <w:p w14:paraId="2E3F551B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Ѕ</w:t>
            </w:r>
          </w:p>
        </w:tc>
        <w:tc>
          <w:tcPr>
            <w:tcW w:w="551" w:type="dxa"/>
            <w:vAlign w:val="center"/>
          </w:tcPr>
          <w:p w14:paraId="4EB0A980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і</w:t>
            </w:r>
          </w:p>
        </w:tc>
        <w:tc>
          <w:tcPr>
            <w:tcW w:w="551" w:type="dxa"/>
            <w:vAlign w:val="center"/>
          </w:tcPr>
          <w:p w14:paraId="6A637248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Ј</w:t>
            </w:r>
          </w:p>
        </w:tc>
        <w:tc>
          <w:tcPr>
            <w:tcW w:w="551" w:type="dxa"/>
            <w:vAlign w:val="center"/>
          </w:tcPr>
          <w:p w14:paraId="04242BBF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һ</w:t>
            </w:r>
          </w:p>
        </w:tc>
        <w:tc>
          <w:tcPr>
            <w:tcW w:w="551" w:type="dxa"/>
            <w:vAlign w:val="center"/>
          </w:tcPr>
          <w:p w14:paraId="7AAEEDF7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</w:rPr>
            </w:pPr>
            <w:r>
              <w:rPr>
                <w:rFonts w:ascii="Cambria" w:hAnsi="Cambria" w:eastAsiaTheme="minorHAnsi" w:cstheme="minorHAnsi"/>
                <w:color w:val="000000"/>
                <w:szCs w:val="22"/>
                <w:lang w:eastAsia="en-US"/>
                <w14:ligatures w14:val="standardContextual"/>
              </w:rPr>
              <w:t>Ѵ</w:t>
            </w:r>
          </w:p>
        </w:tc>
        <w:tc>
          <w:tcPr>
            <w:tcW w:w="551" w:type="dxa"/>
            <w:vAlign w:val="center"/>
          </w:tcPr>
          <w:p w14:paraId="23EC03AF">
            <w:pPr>
              <w:pStyle w:val="83"/>
              <w:spacing w:line="276" w:lineRule="auto"/>
              <w:ind w:firstLine="0"/>
              <w:jc w:val="center"/>
              <w:rPr>
                <w:rFonts w:ascii="Cambria" w:hAnsi="Cambria" w:cstheme="minorHAnsi"/>
                <w:color w:val="000000"/>
                <w:szCs w:val="20"/>
                <w:lang w:val="en-US"/>
              </w:rPr>
            </w:pPr>
            <w:r>
              <w:rPr>
                <w:rFonts w:ascii="Cambria" w:hAnsi="Cambria" w:cstheme="minorHAnsi"/>
                <w:color w:val="000000"/>
                <w:szCs w:val="20"/>
              </w:rPr>
              <w:t>ё/Ё</w:t>
            </w:r>
          </w:p>
        </w:tc>
      </w:tr>
    </w:tbl>
    <w:p w14:paraId="6EC96730">
      <w:pPr>
        <w:pStyle w:val="83"/>
        <w:spacing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5.1.22. В наименовании реквизитов и атрибутов не допускается использования пробелов в начале и конце строки, идущие подряд два и более пробела в середине строки.</w:t>
      </w:r>
    </w:p>
    <w:p w14:paraId="3F88984B">
      <w:pPr>
        <w:pStyle w:val="83"/>
        <w:spacing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5.1.23. Всегда использовать символ прямых кавычек ".</w:t>
      </w:r>
    </w:p>
    <w:p w14:paraId="0393DA00">
      <w:pPr>
        <w:pStyle w:val="83"/>
        <w:spacing w:line="276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5.1.24. Не использовать букву «ё», всегда букву «е».</w:t>
      </w:r>
    </w:p>
    <w:p w14:paraId="46E3D381">
      <w:pPr>
        <w:spacing w:after="240"/>
        <w:ind w:firstLine="709"/>
        <w:jc w:val="both"/>
      </w:pPr>
      <w:r>
        <w:t>5.1.25. В случае необходимости указания нескольких идентичных значений в рамках одного свойства, они должны быть расположены в алфавитном порядке.</w:t>
      </w:r>
    </w:p>
    <w:p w14:paraId="3C32DF41">
      <w:pPr>
        <w:ind w:firstLine="709"/>
        <w:rPr>
          <w:i/>
          <w:iCs/>
        </w:rPr>
      </w:pPr>
      <w:r>
        <w:rPr>
          <w:rFonts w:eastAsiaTheme="majorEastAsia"/>
          <w:b/>
          <w:bCs/>
          <w:i/>
          <w:iCs/>
        </w:rPr>
        <w:t>Правильно:</w:t>
      </w:r>
      <w:r>
        <w:rPr>
          <w:i/>
          <w:iCs/>
        </w:rPr>
        <w:t xml:space="preserve"> </w:t>
      </w:r>
      <w:r>
        <w:rPr>
          <w:rFonts w:eastAsiaTheme="majorEastAsia"/>
          <w:i/>
          <w:iCs/>
        </w:rPr>
        <w:t>Ключ гаечный накидной</w:t>
      </w:r>
    </w:p>
    <w:p w14:paraId="712EC6E9">
      <w:pPr>
        <w:spacing w:after="240"/>
        <w:ind w:firstLine="709"/>
        <w:rPr>
          <w:i/>
          <w:iCs/>
        </w:rPr>
      </w:pPr>
      <w:r>
        <w:rPr>
          <w:rFonts w:eastAsiaTheme="majorEastAsia"/>
          <w:b/>
          <w:bCs/>
          <w:i/>
          <w:iCs/>
        </w:rPr>
        <w:t>Неправильно:</w:t>
      </w:r>
      <w:r>
        <w:rPr>
          <w:i/>
          <w:iCs/>
        </w:rPr>
        <w:t xml:space="preserve"> </w:t>
      </w:r>
      <w:r>
        <w:rPr>
          <w:rFonts w:eastAsiaTheme="majorEastAsia"/>
          <w:i/>
          <w:iCs/>
        </w:rPr>
        <w:t>Ключ накидной гаечный</w:t>
      </w:r>
    </w:p>
    <w:p w14:paraId="5AF45D35">
      <w:pPr>
        <w:spacing w:after="240"/>
        <w:jc w:val="both"/>
        <w:rPr>
          <w:i/>
          <w:iCs/>
        </w:rPr>
      </w:pPr>
      <w:r>
        <w:rPr>
          <w:rFonts w:eastAsiaTheme="majorEastAsia"/>
          <w:i/>
          <w:iCs/>
        </w:rPr>
        <w:t>Примечание:</w:t>
      </w:r>
      <w:r>
        <w:rPr>
          <w:i/>
          <w:iCs/>
        </w:rPr>
        <w:t xml:space="preserve"> допускается отклонение от алфавитного порядка при условии, что это предусмотрено нормативной технической документацией или является устоявшейся практикой наименования номенклатуры, принятой заказчиком.</w:t>
      </w:r>
    </w:p>
    <w:p w14:paraId="2A277FDA">
      <w:pPr>
        <w:pStyle w:val="66"/>
      </w:pPr>
      <w:bookmarkStart w:id="34" w:name="_Toc413404745"/>
      <w:bookmarkStart w:id="35" w:name="_Ref411952592"/>
      <w:bookmarkStart w:id="36" w:name="_Toc531187468"/>
      <w:bookmarkStart w:id="37" w:name="_Toc536527151"/>
      <w:bookmarkStart w:id="38" w:name="_Toc209185936"/>
      <w:bookmarkStart w:id="39" w:name="_Toc211008664"/>
      <w:r>
        <w:t>5.2. Правила заполнения реквизита наименовани</w:t>
      </w:r>
      <w:bookmarkEnd w:id="34"/>
      <w:bookmarkEnd w:id="35"/>
      <w:bookmarkEnd w:id="36"/>
      <w:r>
        <w:t>е</w:t>
      </w:r>
      <w:bookmarkEnd w:id="37"/>
      <w:bookmarkEnd w:id="38"/>
      <w:r>
        <w:t xml:space="preserve"> номенклатурной позиции</w:t>
      </w:r>
      <w:bookmarkEnd w:id="39"/>
    </w:p>
    <w:p w14:paraId="4860A8EF">
      <w:pPr>
        <w:spacing w:after="240"/>
        <w:ind w:firstLine="709"/>
        <w:jc w:val="both"/>
      </w:pPr>
      <w:r>
        <w:t>Заполнение реквизита «Наименование» и реквизита «Наименование полное» является обязательным для всех номенклатурных позиций.</w:t>
      </w:r>
    </w:p>
    <w:p w14:paraId="3F3DB164">
      <w:pPr>
        <w:spacing w:after="240"/>
        <w:ind w:firstLine="709"/>
        <w:jc w:val="both"/>
      </w:pPr>
      <w:r>
        <w:t>При формировании наименований должны соблюдаться следующие правила:</w:t>
      </w:r>
    </w:p>
    <w:p w14:paraId="3CCB17A1">
      <w:pPr>
        <w:spacing w:after="240"/>
        <w:ind w:firstLine="709"/>
        <w:jc w:val="both"/>
      </w:pPr>
      <w:r>
        <w:t>5.2.1 Наименование номенклатурной позиции должно записываться таким образом, чтобы исключить дублирование позиций в справочнике. Наименование полное должно быть уникальным для эталонных записей.</w:t>
      </w:r>
    </w:p>
    <w:p w14:paraId="56564E35">
      <w:pPr>
        <w:spacing w:after="240"/>
        <w:ind w:firstLine="709"/>
        <w:jc w:val="both"/>
      </w:pPr>
      <w:r>
        <w:t>5.2.2. Наименование должно быть единообразным для номенклатур из одного класса. Необходимо исключать синонимы в наименовании номенклатурной позиции – выбирается одно, наиболее распространенное в данной предметной области название для группы однотипных номенклатур.</w:t>
      </w:r>
    </w:p>
    <w:p w14:paraId="59B9C654">
      <w:pPr>
        <w:spacing w:after="240"/>
        <w:ind w:firstLine="709"/>
        <w:jc w:val="both"/>
      </w:pPr>
      <w:r>
        <w:t>5.2.3. Порядок перечисления атрибутов должен быть единообразным для номенклатур, относящихся к одному классу (последовательность слияния атрибутов).</w:t>
      </w:r>
    </w:p>
    <w:p w14:paraId="46FA6BFE">
      <w:pPr>
        <w:spacing w:after="240"/>
        <w:ind w:firstLine="709"/>
      </w:pPr>
      <w:r>
        <w:t>На данном этапе выполняется:</w:t>
      </w:r>
    </w:p>
    <w:p w14:paraId="100DC332">
      <w:pPr>
        <w:pStyle w:val="38"/>
        <w:numPr>
          <w:ilvl w:val="0"/>
          <w:numId w:val="15"/>
        </w:numPr>
        <w:jc w:val="both"/>
      </w:pPr>
      <w:r>
        <w:t>Установление логической зависимости между атрибутами. Сначала создать номенклатурную позицию (на основе реквизитов и атрибутов), и только затем присвоить дополнительные атрибуты (например, производитель).</w:t>
      </w:r>
    </w:p>
    <w:p w14:paraId="7B06196C">
      <w:pPr>
        <w:pStyle w:val="38"/>
        <w:numPr>
          <w:ilvl w:val="0"/>
          <w:numId w:val="15"/>
        </w:numPr>
        <w:jc w:val="both"/>
      </w:pPr>
      <w:r>
        <w:t>Правила слияния фиксировать в документе «Правила слияния атрибутов», пример представлен в Приложении 4.</w:t>
      </w:r>
    </w:p>
    <w:p w14:paraId="340A3048">
      <w:pPr>
        <w:pStyle w:val="38"/>
        <w:numPr>
          <w:ilvl w:val="0"/>
          <w:numId w:val="15"/>
        </w:numPr>
        <w:spacing w:after="240"/>
        <w:jc w:val="both"/>
      </w:pPr>
      <w:r>
        <w:t>Правила слияния атрибутов формируются для каждого конечного класса классификатора, в исключительных случаях для конкретной номенклатурной позиции.</w:t>
      </w:r>
    </w:p>
    <w:p w14:paraId="05EB114D">
      <w:pPr>
        <w:spacing w:after="240"/>
        <w:ind w:firstLine="709"/>
        <w:jc w:val="both"/>
      </w:pPr>
      <w:r>
        <w:t>После согласования с Заказчиком «Правил слияния атрибутов» приступить к слиянию данных всего среза данных.</w:t>
      </w:r>
    </w:p>
    <w:p w14:paraId="3E274437">
      <w:pPr>
        <w:spacing w:after="240"/>
        <w:ind w:firstLine="709"/>
        <w:jc w:val="both"/>
      </w:pPr>
      <w:r>
        <w:t>Пример формирования наименования номенклатурной позиции на основании шаблона представлен в таблице №3.</w:t>
      </w:r>
    </w:p>
    <w:p w14:paraId="17F4D839">
      <w:pPr>
        <w:pStyle w:val="15"/>
        <w:keepNext/>
        <w:jc w:val="right"/>
      </w:pPr>
      <w:r>
        <w:t>Таблица 3. Пример формирования наименования номенклатуры.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2468"/>
        <w:gridCol w:w="2479"/>
        <w:gridCol w:w="2485"/>
      </w:tblGrid>
      <w:tr w14:paraId="68643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9" w:type="dxa"/>
            <w:tcBorders>
              <w:bottom w:val="single" w:color="auto" w:sz="4" w:space="0"/>
            </w:tcBorders>
            <w:shd w:val="pct10" w:color="auto" w:fill="auto"/>
            <w:vAlign w:val="center"/>
          </w:tcPr>
          <w:p w14:paraId="5E100775">
            <w:pPr>
              <w:spacing w:line="259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Номенклатура:</w:t>
            </w:r>
          </w:p>
        </w:tc>
        <w:tc>
          <w:tcPr>
            <w:tcW w:w="2468" w:type="dxa"/>
            <w:shd w:val="pct10" w:color="auto" w:fill="auto"/>
            <w:vAlign w:val="center"/>
          </w:tcPr>
          <w:p w14:paraId="27FAFD87">
            <w:pPr>
              <w:spacing w:line="259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Класс:</w:t>
            </w:r>
          </w:p>
        </w:tc>
        <w:tc>
          <w:tcPr>
            <w:tcW w:w="2479" w:type="dxa"/>
            <w:shd w:val="pct10" w:color="auto" w:fill="auto"/>
            <w:vAlign w:val="center"/>
          </w:tcPr>
          <w:p w14:paraId="62DCFEB4">
            <w:pPr>
              <w:spacing w:line="259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Атрибуты класса:</w:t>
            </w:r>
          </w:p>
        </w:tc>
        <w:tc>
          <w:tcPr>
            <w:tcW w:w="2485" w:type="dxa"/>
            <w:shd w:val="pct10" w:color="auto" w:fill="auto"/>
            <w:vAlign w:val="center"/>
          </w:tcPr>
          <w:p w14:paraId="5324375A">
            <w:pPr>
              <w:spacing w:line="259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Значения атрибутов</w:t>
            </w:r>
          </w:p>
          <w:p w14:paraId="2F6C4A1E">
            <w:pPr>
              <w:spacing w:line="259" w:lineRule="auto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класса:</w:t>
            </w:r>
          </w:p>
        </w:tc>
      </w:tr>
      <w:tr w14:paraId="1BE08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9" w:hRule="atLeast"/>
        </w:trPr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69F62F0A">
            <w:pPr>
              <w:spacing w:before="240" w:line="259" w:lineRule="auto"/>
              <w:rPr>
                <w:sz w:val="20"/>
              </w:rPr>
            </w:pPr>
            <w:r>
              <w:rPr>
                <w:sz w:val="20"/>
              </w:rPr>
              <w:t>Костюм сварщика Сфинкс летний (куртка+брюки) синий р.52-54/170-176</w:t>
            </w:r>
          </w:p>
          <w:p w14:paraId="29F31F71">
            <w:pPr>
              <w:spacing w:before="240" w:line="259" w:lineRule="auto"/>
              <w:rPr>
                <w:sz w:val="20"/>
              </w:rPr>
            </w:pPr>
          </w:p>
          <w:p w14:paraId="1122C21B">
            <w:pPr>
              <w:spacing w:before="240" w:line="259" w:lineRule="auto"/>
              <w:rPr>
                <w:sz w:val="20"/>
              </w:rPr>
            </w:pPr>
          </w:p>
          <w:p w14:paraId="50F25B6B">
            <w:pPr>
              <w:spacing w:before="240" w:line="259" w:lineRule="auto"/>
              <w:rPr>
                <w:sz w:val="20"/>
              </w:rPr>
            </w:pPr>
          </w:p>
        </w:tc>
        <w:tc>
          <w:tcPr>
            <w:tcW w:w="2468" w:type="dxa"/>
            <w:tcBorders>
              <w:left w:val="single" w:color="auto" w:sz="4" w:space="0"/>
              <w:bottom w:val="single" w:color="auto" w:sz="4" w:space="0"/>
            </w:tcBorders>
          </w:tcPr>
          <w:p w14:paraId="7CAA04E3">
            <w:pPr>
              <w:spacing w:before="240" w:line="259" w:lineRule="auto"/>
              <w:rPr>
                <w:sz w:val="20"/>
              </w:rPr>
            </w:pPr>
            <w:r>
              <w:rPr>
                <w:sz w:val="20"/>
              </w:rPr>
              <w:t>«Спецодежда»</w:t>
            </w:r>
          </w:p>
        </w:tc>
        <w:tc>
          <w:tcPr>
            <w:tcW w:w="2479" w:type="dxa"/>
            <w:tcBorders>
              <w:bottom w:val="single" w:color="auto" w:sz="4" w:space="0"/>
            </w:tcBorders>
          </w:tcPr>
          <w:p w14:paraId="00C1EAF5">
            <w:pPr>
              <w:spacing w:before="240" w:line="259" w:lineRule="auto"/>
              <w:rPr>
                <w:sz w:val="20"/>
              </w:rPr>
            </w:pPr>
            <w:r>
              <w:rPr>
                <w:sz w:val="20"/>
              </w:rPr>
              <w:t>«['Вид продукции', 'Модель', 'Сезон', 'Цвет', 'Размер', 'Рост']»</w:t>
            </w:r>
          </w:p>
        </w:tc>
        <w:tc>
          <w:tcPr>
            <w:tcW w:w="2485" w:type="dxa"/>
            <w:tcBorders>
              <w:bottom w:val="single" w:color="auto" w:sz="4" w:space="0"/>
            </w:tcBorders>
          </w:tcPr>
          <w:p w14:paraId="75F6E5F3">
            <w:pPr>
              <w:spacing w:before="240" w:line="259" w:lineRule="auto"/>
              <w:rPr>
                <w:sz w:val="20"/>
              </w:rPr>
            </w:pPr>
            <w:r>
              <w:rPr>
                <w:sz w:val="20"/>
              </w:rPr>
              <w:t>«['Вид продукции': 'Костюм сварщика'], ['Модель': 'Сфинкс'], ['Сезон': 'летний'], ['Цвет': 'синий'], ['Размер': 'р.52-54']/ ['Рост': '170-176]'»</w:t>
            </w:r>
          </w:p>
        </w:tc>
      </w:tr>
      <w:tr w14:paraId="6BD44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2" w:hRule="atLeast"/>
        </w:trPr>
        <w:tc>
          <w:tcPr>
            <w:tcW w:w="2479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1063AA55">
            <w:pPr>
              <w:spacing w:line="259" w:lineRule="auto"/>
              <w:jc w:val="both"/>
              <w:rPr>
                <w:sz w:val="20"/>
              </w:rPr>
            </w:pPr>
          </w:p>
        </w:tc>
        <w:tc>
          <w:tcPr>
            <w:tcW w:w="7432" w:type="dxa"/>
            <w:gridSpan w:val="3"/>
            <w:tcBorders>
              <w:left w:val="single" w:color="auto" w:sz="4" w:space="0"/>
            </w:tcBorders>
          </w:tcPr>
          <w:p w14:paraId="5A8A460F">
            <w:pPr>
              <w:spacing w:line="259" w:lineRule="auto"/>
              <w:jc w:val="center"/>
              <w:rPr>
                <w:b/>
                <w:bCs/>
                <w:sz w:val="20"/>
              </w:rPr>
            </w:pPr>
          </w:p>
          <w:p w14:paraId="05AE9CB9">
            <w:pPr>
              <w:spacing w:line="259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Шаблон класса «Спецодежда»:</w:t>
            </w:r>
          </w:p>
          <w:p w14:paraId="16BF0E92">
            <w:pPr>
              <w:spacing w:line="259" w:lineRule="auto"/>
              <w:jc w:val="center"/>
              <w:rPr>
                <w:sz w:val="20"/>
              </w:rPr>
            </w:pPr>
          </w:p>
          <w:p w14:paraId="75874A09">
            <w:pPr>
              <w:spacing w:line="259" w:lineRule="auto"/>
              <w:rPr>
                <w:sz w:val="20"/>
              </w:rPr>
            </w:pPr>
            <w:r>
              <w:rPr>
                <w:sz w:val="20"/>
              </w:rPr>
              <w:t>«[Вид продукции] [Модель] [Сезон] [Цвет] [Размер] [Рост]»</w:t>
            </w:r>
          </w:p>
          <w:p w14:paraId="623023A5">
            <w:pPr>
              <w:spacing w:line="259" w:lineRule="auto"/>
              <w:jc w:val="center"/>
              <w:rPr>
                <w:sz w:val="20"/>
              </w:rPr>
            </w:pPr>
          </w:p>
        </w:tc>
      </w:tr>
      <w:tr w14:paraId="312B6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247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6DEA84">
            <w:pPr>
              <w:spacing w:line="259" w:lineRule="auto"/>
              <w:jc w:val="both"/>
              <w:rPr>
                <w:sz w:val="20"/>
              </w:rPr>
            </w:pPr>
          </w:p>
        </w:tc>
        <w:tc>
          <w:tcPr>
            <w:tcW w:w="7432" w:type="dxa"/>
            <w:gridSpan w:val="3"/>
            <w:tcBorders>
              <w:left w:val="single" w:color="auto" w:sz="4" w:space="0"/>
            </w:tcBorders>
            <w:vAlign w:val="center"/>
          </w:tcPr>
          <w:p w14:paraId="75CAB65F">
            <w:pPr>
              <w:spacing w:line="259" w:lineRule="auto"/>
              <w:rPr>
                <w:b/>
                <w:bCs/>
                <w:sz w:val="20"/>
              </w:rPr>
            </w:pPr>
          </w:p>
          <w:p w14:paraId="7CC35457">
            <w:pPr>
              <w:spacing w:line="259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Нормализованное наименование:</w:t>
            </w:r>
          </w:p>
          <w:p w14:paraId="10F1B6D8">
            <w:pPr>
              <w:spacing w:before="240" w:line="259" w:lineRule="auto"/>
              <w:rPr>
                <w:sz w:val="20"/>
              </w:rPr>
            </w:pPr>
            <w:r>
              <w:rPr>
                <w:sz w:val="20"/>
              </w:rPr>
              <w:t>Костюм сварщика Сфинкс летний синий р.52-54/170-176</w:t>
            </w:r>
          </w:p>
          <w:p w14:paraId="01EB0BAC">
            <w:pPr>
              <w:spacing w:line="259" w:lineRule="auto"/>
              <w:rPr>
                <w:sz w:val="20"/>
              </w:rPr>
            </w:pPr>
          </w:p>
        </w:tc>
      </w:tr>
    </w:tbl>
    <w:p w14:paraId="5041DA3E">
      <w:pPr>
        <w:spacing w:line="259" w:lineRule="auto"/>
        <w:ind w:firstLine="709"/>
        <w:rPr>
          <w:i/>
          <w:iCs/>
          <w:sz w:val="20"/>
          <w:szCs w:val="22"/>
        </w:rPr>
      </w:pPr>
    </w:p>
    <w:p w14:paraId="620550F3">
      <w:pPr>
        <w:spacing w:after="240"/>
        <w:ind w:firstLine="709"/>
        <w:jc w:val="both"/>
      </w:pPr>
      <w:r>
        <w:t>В таблице</w:t>
      </w:r>
      <w:r>
        <w:rPr>
          <w:lang w:val="en-US"/>
        </w:rPr>
        <w:t> </w:t>
      </w:r>
      <w:r>
        <w:t xml:space="preserve">№4 приведен пример правила формирования шаблона наименования номенклатуры </w:t>
      </w:r>
      <w:r>
        <w:rPr>
          <w:b/>
          <w:bCs/>
        </w:rPr>
        <w:t xml:space="preserve">с указанием комплектации: </w:t>
      </w:r>
      <w:r>
        <w:t>Определяющее слово + Тип + Материал + Форма + Комплектация.</w:t>
      </w:r>
    </w:p>
    <w:p w14:paraId="46848B60">
      <w:pPr>
        <w:pStyle w:val="15"/>
        <w:keepNext/>
        <w:jc w:val="right"/>
      </w:pPr>
      <w:r>
        <w:t>Таблица 4. Пример формирования наименования номенклатуры с учетом комплектации.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3"/>
        <w:gridCol w:w="2073"/>
        <w:gridCol w:w="1845"/>
        <w:gridCol w:w="1422"/>
        <w:gridCol w:w="2648"/>
      </w:tblGrid>
      <w:tr w14:paraId="476A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3" w:type="dxa"/>
            <w:shd w:val="pct10" w:color="auto" w:fill="auto"/>
            <w:vAlign w:val="center"/>
          </w:tcPr>
          <w:p w14:paraId="48E2CA8B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Определяющее слово</w:t>
            </w:r>
          </w:p>
        </w:tc>
        <w:tc>
          <w:tcPr>
            <w:tcW w:w="2073" w:type="dxa"/>
            <w:shd w:val="pct10" w:color="auto" w:fill="auto"/>
            <w:vAlign w:val="center"/>
          </w:tcPr>
          <w:p w14:paraId="3F811954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Тип</w:t>
            </w:r>
          </w:p>
        </w:tc>
        <w:tc>
          <w:tcPr>
            <w:tcW w:w="1845" w:type="dxa"/>
            <w:shd w:val="pct10" w:color="auto" w:fill="auto"/>
            <w:vAlign w:val="center"/>
          </w:tcPr>
          <w:p w14:paraId="56B57565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Материал</w:t>
            </w:r>
          </w:p>
        </w:tc>
        <w:tc>
          <w:tcPr>
            <w:tcW w:w="1422" w:type="dxa"/>
            <w:shd w:val="pct10" w:color="auto" w:fill="auto"/>
            <w:vAlign w:val="center"/>
          </w:tcPr>
          <w:p w14:paraId="0A658148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Форма</w:t>
            </w:r>
          </w:p>
        </w:tc>
        <w:tc>
          <w:tcPr>
            <w:tcW w:w="2648" w:type="dxa"/>
            <w:shd w:val="pct10" w:color="auto" w:fill="auto"/>
            <w:vAlign w:val="center"/>
          </w:tcPr>
          <w:p w14:paraId="731D559C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Комплектация</w:t>
            </w:r>
          </w:p>
        </w:tc>
      </w:tr>
      <w:tr w14:paraId="2EE5E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3" w:type="dxa"/>
            <w:vMerge w:val="restart"/>
            <w:vAlign w:val="center"/>
          </w:tcPr>
          <w:p w14:paraId="503A9978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Кольцо</w:t>
            </w:r>
          </w:p>
        </w:tc>
        <w:tc>
          <w:tcPr>
            <w:tcW w:w="2073" w:type="dxa"/>
          </w:tcPr>
          <w:p w14:paraId="731E730C">
            <w:pPr>
              <w:pStyle w:val="71"/>
              <w:rPr>
                <w:rFonts w:ascii="Cambria" w:hAnsi="Cambria" w:eastAsia="Times New Roman"/>
                <w:color w:val="auto"/>
                <w:sz w:val="20"/>
                <w:lang w:eastAsia="ru-RU"/>
                <w14:ligatures w14:val="none"/>
              </w:rPr>
            </w:pPr>
            <w:r>
              <w:rPr>
                <w:rFonts w:ascii="Cambria" w:hAnsi="Cambria" w:eastAsia="Times New Roman"/>
                <w:color w:val="auto"/>
                <w:sz w:val="20"/>
                <w:lang w:eastAsia="ru-RU"/>
                <w14:ligatures w14:val="none"/>
              </w:rPr>
              <w:t xml:space="preserve">активационное </w:t>
            </w:r>
          </w:p>
        </w:tc>
        <w:tc>
          <w:tcPr>
            <w:tcW w:w="1845" w:type="dxa"/>
          </w:tcPr>
          <w:p w14:paraId="7230871F">
            <w:pPr>
              <w:rPr>
                <w:sz w:val="20"/>
              </w:rPr>
            </w:pPr>
            <w:r>
              <w:rPr>
                <w:sz w:val="20"/>
              </w:rPr>
              <w:t xml:space="preserve">агатовое </w:t>
            </w:r>
          </w:p>
        </w:tc>
        <w:tc>
          <w:tcPr>
            <w:tcW w:w="1422" w:type="dxa"/>
          </w:tcPr>
          <w:p w14:paraId="4ABCA287">
            <w:pPr>
              <w:rPr>
                <w:sz w:val="20"/>
              </w:rPr>
            </w:pPr>
            <w:r>
              <w:rPr>
                <w:sz w:val="20"/>
              </w:rPr>
              <w:t xml:space="preserve">боковое </w:t>
            </w:r>
          </w:p>
        </w:tc>
        <w:tc>
          <w:tcPr>
            <w:tcW w:w="2648" w:type="dxa"/>
          </w:tcPr>
          <w:p w14:paraId="41B3EF08">
            <w:pPr>
              <w:pStyle w:val="71"/>
              <w:rPr>
                <w:rFonts w:ascii="Cambria" w:hAnsi="Cambria" w:eastAsia="Times New Roman"/>
                <w:color w:val="auto"/>
                <w:sz w:val="20"/>
                <w:lang w:eastAsia="ru-RU"/>
                <w14:ligatures w14:val="none"/>
              </w:rPr>
            </w:pPr>
            <w:r>
              <w:rPr>
                <w:rFonts w:ascii="Cambria" w:hAnsi="Cambria" w:eastAsia="Times New Roman"/>
                <w:color w:val="auto"/>
                <w:sz w:val="20"/>
                <w:lang w:eastAsia="ru-RU"/>
                <w14:ligatures w14:val="none"/>
              </w:rPr>
              <w:t xml:space="preserve">в ассортименте </w:t>
            </w:r>
          </w:p>
        </w:tc>
      </w:tr>
      <w:tr w14:paraId="7D89D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3" w:type="dxa"/>
            <w:vMerge w:val="continue"/>
          </w:tcPr>
          <w:p w14:paraId="44A2CA1A">
            <w:pPr>
              <w:rPr>
                <w:sz w:val="20"/>
              </w:rPr>
            </w:pPr>
          </w:p>
        </w:tc>
        <w:tc>
          <w:tcPr>
            <w:tcW w:w="2073" w:type="dxa"/>
          </w:tcPr>
          <w:p w14:paraId="3430166C">
            <w:pPr>
              <w:rPr>
                <w:sz w:val="20"/>
              </w:rPr>
            </w:pPr>
            <w:r>
              <w:rPr>
                <w:sz w:val="20"/>
              </w:rPr>
              <w:t xml:space="preserve">амортизационное </w:t>
            </w:r>
          </w:p>
        </w:tc>
        <w:tc>
          <w:tcPr>
            <w:tcW w:w="1845" w:type="dxa"/>
          </w:tcPr>
          <w:p w14:paraId="33D8F1F2">
            <w:pPr>
              <w:rPr>
                <w:sz w:val="20"/>
              </w:rPr>
            </w:pPr>
            <w:r>
              <w:rPr>
                <w:sz w:val="20"/>
              </w:rPr>
              <w:t xml:space="preserve">асбестовое </w:t>
            </w:r>
          </w:p>
        </w:tc>
        <w:tc>
          <w:tcPr>
            <w:tcW w:w="1422" w:type="dxa"/>
          </w:tcPr>
          <w:p w14:paraId="24C69A0C">
            <w:pPr>
              <w:rPr>
                <w:sz w:val="20"/>
              </w:rPr>
            </w:pPr>
            <w:r>
              <w:rPr>
                <w:sz w:val="20"/>
              </w:rPr>
              <w:t xml:space="preserve">ведомое </w:t>
            </w:r>
          </w:p>
        </w:tc>
        <w:tc>
          <w:tcPr>
            <w:tcW w:w="2648" w:type="dxa"/>
          </w:tcPr>
          <w:p w14:paraId="72107C9F">
            <w:pPr>
              <w:pStyle w:val="71"/>
              <w:rPr>
                <w:rFonts w:ascii="Cambria" w:hAnsi="Cambria" w:eastAsia="Times New Roman"/>
                <w:color w:val="auto"/>
                <w:sz w:val="20"/>
                <w:lang w:eastAsia="ru-RU"/>
                <w14:ligatures w14:val="none"/>
              </w:rPr>
            </w:pPr>
            <w:r>
              <w:rPr>
                <w:rFonts w:ascii="Cambria" w:hAnsi="Cambria" w:eastAsia="Times New Roman"/>
                <w:color w:val="auto"/>
                <w:sz w:val="20"/>
                <w:lang w:eastAsia="ru-RU"/>
                <w14:ligatures w14:val="none"/>
              </w:rPr>
              <w:t xml:space="preserve">в сборе </w:t>
            </w:r>
          </w:p>
        </w:tc>
      </w:tr>
      <w:tr w14:paraId="49A93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3" w:type="dxa"/>
            <w:vMerge w:val="continue"/>
          </w:tcPr>
          <w:p w14:paraId="2D0E7C4E">
            <w:pPr>
              <w:rPr>
                <w:sz w:val="20"/>
              </w:rPr>
            </w:pPr>
          </w:p>
        </w:tc>
        <w:tc>
          <w:tcPr>
            <w:tcW w:w="2073" w:type="dxa"/>
          </w:tcPr>
          <w:p w14:paraId="1FC381CC">
            <w:pPr>
              <w:rPr>
                <w:sz w:val="20"/>
              </w:rPr>
            </w:pPr>
            <w:r>
              <w:rPr>
                <w:sz w:val="20"/>
              </w:rPr>
              <w:t xml:space="preserve">амортизирующее </w:t>
            </w:r>
          </w:p>
        </w:tc>
        <w:tc>
          <w:tcPr>
            <w:tcW w:w="1845" w:type="dxa"/>
          </w:tcPr>
          <w:p w14:paraId="2A573133">
            <w:pPr>
              <w:rPr>
                <w:sz w:val="20"/>
              </w:rPr>
            </w:pPr>
            <w:r>
              <w:rPr>
                <w:sz w:val="20"/>
              </w:rPr>
              <w:t xml:space="preserve">асбографитовое </w:t>
            </w:r>
          </w:p>
        </w:tc>
        <w:tc>
          <w:tcPr>
            <w:tcW w:w="1422" w:type="dxa"/>
          </w:tcPr>
          <w:p w14:paraId="6E072CF1">
            <w:pPr>
              <w:rPr>
                <w:sz w:val="20"/>
              </w:rPr>
            </w:pPr>
            <w:r>
              <w:rPr>
                <w:sz w:val="20"/>
              </w:rPr>
              <w:t xml:space="preserve">ведущее </w:t>
            </w:r>
          </w:p>
        </w:tc>
        <w:tc>
          <w:tcPr>
            <w:tcW w:w="2648" w:type="dxa"/>
          </w:tcPr>
          <w:p w14:paraId="24541B54">
            <w:pPr>
              <w:pStyle w:val="71"/>
              <w:rPr>
                <w:rFonts w:ascii="Cambria" w:hAnsi="Cambria" w:eastAsia="Times New Roman"/>
                <w:color w:val="auto"/>
                <w:sz w:val="20"/>
                <w:lang w:eastAsia="ru-RU"/>
                <w14:ligatures w14:val="none"/>
              </w:rPr>
            </w:pPr>
            <w:r>
              <w:rPr>
                <w:rFonts w:ascii="Cambria" w:hAnsi="Cambria" w:eastAsia="Times New Roman"/>
                <w:color w:val="auto"/>
                <w:sz w:val="20"/>
                <w:lang w:eastAsia="ru-RU"/>
                <w14:ligatures w14:val="none"/>
              </w:rPr>
              <w:t xml:space="preserve">с винтами </w:t>
            </w:r>
          </w:p>
        </w:tc>
      </w:tr>
      <w:tr w14:paraId="3DDE5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3" w:type="dxa"/>
            <w:vMerge w:val="continue"/>
          </w:tcPr>
          <w:p w14:paraId="7AA5F21C">
            <w:pPr>
              <w:rPr>
                <w:sz w:val="20"/>
              </w:rPr>
            </w:pPr>
          </w:p>
        </w:tc>
        <w:tc>
          <w:tcPr>
            <w:tcW w:w="2073" w:type="dxa"/>
          </w:tcPr>
          <w:p w14:paraId="4B4618A1">
            <w:pPr>
              <w:rPr>
                <w:sz w:val="20"/>
              </w:rPr>
            </w:pPr>
            <w:r>
              <w:rPr>
                <w:sz w:val="20"/>
              </w:rPr>
              <w:t xml:space="preserve">армированное </w:t>
            </w:r>
          </w:p>
        </w:tc>
        <w:tc>
          <w:tcPr>
            <w:tcW w:w="1845" w:type="dxa"/>
          </w:tcPr>
          <w:p w14:paraId="5B2BA716">
            <w:pPr>
              <w:rPr>
                <w:sz w:val="20"/>
              </w:rPr>
            </w:pPr>
            <w:r>
              <w:rPr>
                <w:sz w:val="20"/>
              </w:rPr>
              <w:t xml:space="preserve">бетонное </w:t>
            </w:r>
          </w:p>
        </w:tc>
        <w:tc>
          <w:tcPr>
            <w:tcW w:w="1422" w:type="dxa"/>
          </w:tcPr>
          <w:p w14:paraId="34B5E596">
            <w:pPr>
              <w:rPr>
                <w:sz w:val="20"/>
              </w:rPr>
            </w:pPr>
            <w:r>
              <w:rPr>
                <w:sz w:val="20"/>
              </w:rPr>
              <w:t xml:space="preserve">внешнее </w:t>
            </w:r>
          </w:p>
        </w:tc>
        <w:tc>
          <w:tcPr>
            <w:tcW w:w="2648" w:type="dxa"/>
          </w:tcPr>
          <w:p w14:paraId="4135893A">
            <w:pPr>
              <w:pStyle w:val="71"/>
              <w:rPr>
                <w:rFonts w:ascii="Cambria" w:hAnsi="Cambria" w:eastAsia="Times New Roman"/>
                <w:color w:val="auto"/>
                <w:sz w:val="20"/>
                <w:lang w:eastAsia="ru-RU"/>
                <w14:ligatures w14:val="none"/>
              </w:rPr>
            </w:pPr>
            <w:r>
              <w:rPr>
                <w:rFonts w:ascii="Cambria" w:hAnsi="Cambria" w:eastAsia="Times New Roman"/>
                <w:color w:val="auto"/>
                <w:sz w:val="20"/>
                <w:lang w:eastAsia="ru-RU"/>
                <w14:ligatures w14:val="none"/>
              </w:rPr>
              <w:t xml:space="preserve">с витым расширителем и встречными фасками </w:t>
            </w:r>
          </w:p>
        </w:tc>
      </w:tr>
      <w:tr w14:paraId="2C6EE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3" w:type="dxa"/>
            <w:vMerge w:val="continue"/>
          </w:tcPr>
          <w:p w14:paraId="16027FEE">
            <w:pPr>
              <w:rPr>
                <w:sz w:val="20"/>
              </w:rPr>
            </w:pPr>
          </w:p>
        </w:tc>
        <w:tc>
          <w:tcPr>
            <w:tcW w:w="2073" w:type="dxa"/>
          </w:tcPr>
          <w:p w14:paraId="78F288CD">
            <w:pPr>
              <w:rPr>
                <w:sz w:val="20"/>
              </w:rPr>
            </w:pPr>
            <w:r>
              <w:rPr>
                <w:sz w:val="20"/>
              </w:rPr>
              <w:t xml:space="preserve">армирующее </w:t>
            </w:r>
          </w:p>
        </w:tc>
        <w:tc>
          <w:tcPr>
            <w:tcW w:w="1845" w:type="dxa"/>
          </w:tcPr>
          <w:p w14:paraId="0B771B49">
            <w:pPr>
              <w:rPr>
                <w:sz w:val="20"/>
              </w:rPr>
            </w:pPr>
            <w:r>
              <w:rPr>
                <w:sz w:val="20"/>
              </w:rPr>
              <w:t xml:space="preserve">бронзовое </w:t>
            </w:r>
          </w:p>
        </w:tc>
        <w:tc>
          <w:tcPr>
            <w:tcW w:w="1422" w:type="dxa"/>
          </w:tcPr>
          <w:p w14:paraId="735E67E7">
            <w:pPr>
              <w:rPr>
                <w:sz w:val="20"/>
              </w:rPr>
            </w:pPr>
            <w:r>
              <w:rPr>
                <w:sz w:val="20"/>
              </w:rPr>
              <w:t xml:space="preserve">внутреннее </w:t>
            </w:r>
          </w:p>
        </w:tc>
        <w:tc>
          <w:tcPr>
            <w:tcW w:w="2648" w:type="dxa"/>
          </w:tcPr>
          <w:p w14:paraId="07C50574">
            <w:pPr>
              <w:pStyle w:val="71"/>
              <w:rPr>
                <w:rFonts w:ascii="Cambria" w:hAnsi="Cambria" w:eastAsia="Times New Roman"/>
                <w:color w:val="auto"/>
                <w:sz w:val="20"/>
                <w:lang w:eastAsia="ru-RU"/>
                <w14:ligatures w14:val="none"/>
              </w:rPr>
            </w:pPr>
            <w:r>
              <w:rPr>
                <w:rFonts w:ascii="Cambria" w:hAnsi="Cambria" w:eastAsia="Times New Roman"/>
                <w:color w:val="auto"/>
                <w:sz w:val="20"/>
                <w:lang w:eastAsia="ru-RU"/>
                <w14:ligatures w14:val="none"/>
              </w:rPr>
              <w:t xml:space="preserve">с витым расширителем и параллельными фасками </w:t>
            </w:r>
          </w:p>
        </w:tc>
      </w:tr>
      <w:tr w14:paraId="6993E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3" w:type="dxa"/>
            <w:vMerge w:val="continue"/>
          </w:tcPr>
          <w:p w14:paraId="34F11450">
            <w:pPr>
              <w:rPr>
                <w:sz w:val="20"/>
              </w:rPr>
            </w:pPr>
          </w:p>
        </w:tc>
        <w:tc>
          <w:tcPr>
            <w:tcW w:w="2073" w:type="dxa"/>
          </w:tcPr>
          <w:p w14:paraId="1FA51B0E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845" w:type="dxa"/>
          </w:tcPr>
          <w:p w14:paraId="1C0BA155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22" w:type="dxa"/>
          </w:tcPr>
          <w:p w14:paraId="05390B08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2648" w:type="dxa"/>
          </w:tcPr>
          <w:p w14:paraId="7868DA84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</w:tr>
    </w:tbl>
    <w:p w14:paraId="69C606BF">
      <w:pPr>
        <w:spacing w:after="160" w:line="259" w:lineRule="auto"/>
        <w:rPr>
          <w:szCs w:val="22"/>
          <w:lang w:eastAsia="en-US"/>
        </w:rPr>
      </w:pPr>
    </w:p>
    <w:p w14:paraId="6CFDB8FB">
      <w:pPr>
        <w:pStyle w:val="66"/>
      </w:pPr>
      <w:bookmarkStart w:id="40" w:name="_Toc211008665"/>
      <w:r>
        <w:t>5.3. Правила заполнения единиц измерения</w:t>
      </w:r>
      <w:bookmarkEnd w:id="40"/>
    </w:p>
    <w:p w14:paraId="71F5EBD4">
      <w:pPr>
        <w:spacing w:after="240"/>
        <w:ind w:firstLine="709"/>
        <w:jc w:val="both"/>
      </w:pPr>
      <w:r>
        <w:rPr>
          <w:szCs w:val="22"/>
          <w:lang w:eastAsia="en-US"/>
        </w:rPr>
        <w:t xml:space="preserve">Единица измерения указывается на основании Общероссийского классификатора единиц </w:t>
      </w:r>
      <w:r>
        <w:t>измерения. Является реквизитом обязательным для заполнения.</w:t>
      </w:r>
    </w:p>
    <w:p w14:paraId="34716F50">
      <w:pPr>
        <w:spacing w:after="240"/>
        <w:ind w:firstLine="709"/>
        <w:jc w:val="both"/>
      </w:pPr>
      <w:r>
        <w:rPr>
          <w:szCs w:val="22"/>
          <w:lang w:eastAsia="en-US"/>
        </w:rPr>
        <w:t xml:space="preserve">Общероссийский классификатор единиц </w:t>
      </w:r>
      <w:r>
        <w:t>измерения представлен в Приложении 8.</w:t>
      </w:r>
    </w:p>
    <w:p w14:paraId="184433CF">
      <w:pPr>
        <w:spacing w:after="240"/>
        <w:ind w:firstLine="709"/>
        <w:jc w:val="both"/>
        <w:rPr>
          <w:szCs w:val="22"/>
          <w:lang w:eastAsia="en-US"/>
        </w:rPr>
      </w:pPr>
      <w:r>
        <w:t>Единица измерения заполняется значением, выбираемым из вспомогательного справочника единиц измерений. Единицы измерения, которые отсутствуют в ОКЕИ, могут быть использованы, если</w:t>
      </w:r>
      <w:r>
        <w:rPr>
          <w:szCs w:val="22"/>
          <w:lang w:eastAsia="en-US"/>
        </w:rPr>
        <w:t xml:space="preserve"> они необходимы для хозяйственной деятельности Заказчика.</w:t>
      </w:r>
    </w:p>
    <w:p w14:paraId="2AE8B394">
      <w:pPr>
        <w:pStyle w:val="15"/>
        <w:keepNext/>
        <w:jc w:val="right"/>
      </w:pPr>
      <w:r>
        <w:t>Таблица 5. Примеры обозначений из справочника единиц измерения.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3"/>
        <w:gridCol w:w="3304"/>
        <w:gridCol w:w="3304"/>
      </w:tblGrid>
      <w:tr w14:paraId="79E1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303" w:type="dxa"/>
            <w:shd w:val="pct15" w:color="auto" w:fill="auto"/>
            <w:vAlign w:val="center"/>
          </w:tcPr>
          <w:p w14:paraId="04A0678C">
            <w:pPr>
              <w:spacing w:after="160" w:line="259" w:lineRule="auto"/>
              <w:jc w:val="center"/>
              <w:rPr>
                <w:sz w:val="20"/>
                <w:szCs w:val="22"/>
                <w:lang w:eastAsia="en-US"/>
              </w:rPr>
            </w:pPr>
            <w:r>
              <w:rPr>
                <w:b/>
                <w:bCs/>
                <w:sz w:val="20"/>
                <w:szCs w:val="22"/>
                <w:lang w:eastAsia="en-US"/>
              </w:rPr>
              <w:t>Группа</w:t>
            </w:r>
          </w:p>
        </w:tc>
        <w:tc>
          <w:tcPr>
            <w:tcW w:w="3304" w:type="dxa"/>
            <w:shd w:val="pct15" w:color="auto" w:fill="auto"/>
            <w:vAlign w:val="center"/>
          </w:tcPr>
          <w:p w14:paraId="18B12075">
            <w:pPr>
              <w:spacing w:after="160" w:line="259" w:lineRule="auto"/>
              <w:jc w:val="center"/>
              <w:rPr>
                <w:sz w:val="20"/>
                <w:szCs w:val="22"/>
                <w:lang w:eastAsia="en-US"/>
              </w:rPr>
            </w:pPr>
            <w:r>
              <w:rPr>
                <w:b/>
                <w:bCs/>
                <w:sz w:val="20"/>
                <w:szCs w:val="22"/>
                <w:lang w:eastAsia="en-US"/>
              </w:rPr>
              <w:t>Наименование</w:t>
            </w:r>
          </w:p>
        </w:tc>
        <w:tc>
          <w:tcPr>
            <w:tcW w:w="3304" w:type="dxa"/>
            <w:shd w:val="pct15" w:color="auto" w:fill="auto"/>
            <w:vAlign w:val="center"/>
          </w:tcPr>
          <w:p w14:paraId="5E36DDA0">
            <w:pPr>
              <w:spacing w:after="160" w:line="259" w:lineRule="auto"/>
              <w:jc w:val="center"/>
              <w:rPr>
                <w:b/>
                <w:bCs/>
                <w:sz w:val="20"/>
                <w:szCs w:val="22"/>
                <w:lang w:eastAsia="en-US"/>
              </w:rPr>
            </w:pPr>
            <w:r>
              <w:rPr>
                <w:b/>
                <w:bCs/>
                <w:sz w:val="20"/>
                <w:szCs w:val="20"/>
              </w:rPr>
              <w:t>Условное обозначение</w:t>
            </w:r>
          </w:p>
        </w:tc>
      </w:tr>
      <w:tr w14:paraId="465C1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vMerge w:val="restart"/>
          </w:tcPr>
          <w:p w14:paraId="50A1AD8B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b/>
                <w:bCs/>
                <w:i/>
                <w:iCs/>
                <w:sz w:val="20"/>
                <w:szCs w:val="22"/>
                <w:lang w:eastAsia="en-US"/>
              </w:rPr>
              <w:t>Единицы длины</w:t>
            </w:r>
          </w:p>
        </w:tc>
        <w:tc>
          <w:tcPr>
            <w:tcW w:w="3304" w:type="dxa"/>
          </w:tcPr>
          <w:p w14:paraId="658B8409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Миллиметр </w:t>
            </w:r>
          </w:p>
        </w:tc>
        <w:tc>
          <w:tcPr>
            <w:tcW w:w="3304" w:type="dxa"/>
          </w:tcPr>
          <w:p w14:paraId="3455459B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i/>
                <w:iCs/>
                <w:sz w:val="20"/>
                <w:szCs w:val="22"/>
                <w:lang w:eastAsia="en-US"/>
              </w:rPr>
              <w:t xml:space="preserve">мм </w:t>
            </w:r>
          </w:p>
        </w:tc>
      </w:tr>
      <w:tr w14:paraId="2486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vMerge w:val="continue"/>
          </w:tcPr>
          <w:p w14:paraId="5666475B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</w:p>
        </w:tc>
        <w:tc>
          <w:tcPr>
            <w:tcW w:w="3304" w:type="dxa"/>
          </w:tcPr>
          <w:p w14:paraId="2CCC61AD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Сантиметр </w:t>
            </w:r>
          </w:p>
        </w:tc>
        <w:tc>
          <w:tcPr>
            <w:tcW w:w="3304" w:type="dxa"/>
          </w:tcPr>
          <w:p w14:paraId="37CBE7BD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i/>
                <w:iCs/>
                <w:sz w:val="20"/>
                <w:szCs w:val="22"/>
                <w:lang w:eastAsia="en-US"/>
              </w:rPr>
              <w:t xml:space="preserve">см </w:t>
            </w:r>
          </w:p>
        </w:tc>
      </w:tr>
      <w:tr w14:paraId="0C912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vMerge w:val="continue"/>
          </w:tcPr>
          <w:p w14:paraId="477418D8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</w:p>
        </w:tc>
        <w:tc>
          <w:tcPr>
            <w:tcW w:w="3304" w:type="dxa"/>
          </w:tcPr>
          <w:p w14:paraId="4BE9F268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Дециметр </w:t>
            </w:r>
          </w:p>
        </w:tc>
        <w:tc>
          <w:tcPr>
            <w:tcW w:w="3304" w:type="dxa"/>
          </w:tcPr>
          <w:p w14:paraId="690554BF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i/>
                <w:iCs/>
                <w:sz w:val="20"/>
                <w:szCs w:val="22"/>
                <w:lang w:eastAsia="en-US"/>
              </w:rPr>
              <w:t xml:space="preserve">дм </w:t>
            </w:r>
          </w:p>
        </w:tc>
      </w:tr>
      <w:tr w14:paraId="6C3BB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vMerge w:val="continue"/>
          </w:tcPr>
          <w:p w14:paraId="36F26AD2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</w:p>
        </w:tc>
        <w:tc>
          <w:tcPr>
            <w:tcW w:w="3304" w:type="dxa"/>
          </w:tcPr>
          <w:p w14:paraId="0CF8D687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Метр </w:t>
            </w:r>
          </w:p>
        </w:tc>
        <w:tc>
          <w:tcPr>
            <w:tcW w:w="3304" w:type="dxa"/>
          </w:tcPr>
          <w:p w14:paraId="414AC386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i/>
                <w:iCs/>
                <w:sz w:val="20"/>
                <w:szCs w:val="22"/>
                <w:lang w:eastAsia="en-US"/>
              </w:rPr>
              <w:t xml:space="preserve">м </w:t>
            </w:r>
          </w:p>
        </w:tc>
      </w:tr>
      <w:tr w14:paraId="00379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vMerge w:val="restart"/>
          </w:tcPr>
          <w:p w14:paraId="49802EBC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b/>
                <w:bCs/>
                <w:i/>
                <w:iCs/>
                <w:sz w:val="20"/>
                <w:szCs w:val="22"/>
                <w:lang w:eastAsia="en-US"/>
              </w:rPr>
              <w:t>Единицы площади</w:t>
            </w:r>
          </w:p>
        </w:tc>
        <w:tc>
          <w:tcPr>
            <w:tcW w:w="3304" w:type="dxa"/>
          </w:tcPr>
          <w:p w14:paraId="558DB072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Квадратный миллиметр </w:t>
            </w:r>
          </w:p>
        </w:tc>
        <w:tc>
          <w:tcPr>
            <w:tcW w:w="3304" w:type="dxa"/>
          </w:tcPr>
          <w:p w14:paraId="37B6F090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i/>
                <w:iCs/>
                <w:sz w:val="20"/>
                <w:szCs w:val="22"/>
                <w:lang w:eastAsia="en-US"/>
              </w:rPr>
              <w:t xml:space="preserve">мм2 </w:t>
            </w:r>
          </w:p>
        </w:tc>
      </w:tr>
      <w:tr w14:paraId="091FE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vMerge w:val="continue"/>
          </w:tcPr>
          <w:p w14:paraId="4AEBB695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</w:p>
        </w:tc>
        <w:tc>
          <w:tcPr>
            <w:tcW w:w="3304" w:type="dxa"/>
          </w:tcPr>
          <w:p w14:paraId="4FC85DA6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Квадратный сантиметр </w:t>
            </w:r>
          </w:p>
        </w:tc>
        <w:tc>
          <w:tcPr>
            <w:tcW w:w="3304" w:type="dxa"/>
          </w:tcPr>
          <w:p w14:paraId="54BD9C3E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i/>
                <w:iCs/>
                <w:sz w:val="20"/>
                <w:szCs w:val="22"/>
                <w:lang w:eastAsia="en-US"/>
              </w:rPr>
              <w:t xml:space="preserve">см2 </w:t>
            </w:r>
          </w:p>
        </w:tc>
      </w:tr>
      <w:tr w14:paraId="3ED39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vMerge w:val="continue"/>
          </w:tcPr>
          <w:p w14:paraId="515246E3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</w:p>
        </w:tc>
        <w:tc>
          <w:tcPr>
            <w:tcW w:w="3304" w:type="dxa"/>
          </w:tcPr>
          <w:p w14:paraId="5C765944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Квадратный метр </w:t>
            </w:r>
          </w:p>
        </w:tc>
        <w:tc>
          <w:tcPr>
            <w:tcW w:w="3304" w:type="dxa"/>
          </w:tcPr>
          <w:p w14:paraId="434B67A2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i/>
                <w:iCs/>
                <w:sz w:val="20"/>
                <w:szCs w:val="22"/>
                <w:lang w:eastAsia="en-US"/>
              </w:rPr>
              <w:t xml:space="preserve">м2 </w:t>
            </w:r>
          </w:p>
        </w:tc>
      </w:tr>
      <w:tr w14:paraId="6D3F1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vMerge w:val="continue"/>
          </w:tcPr>
          <w:p w14:paraId="701239A6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</w:p>
        </w:tc>
        <w:tc>
          <w:tcPr>
            <w:tcW w:w="3304" w:type="dxa"/>
          </w:tcPr>
          <w:p w14:paraId="063A822E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Гектар </w:t>
            </w:r>
          </w:p>
        </w:tc>
        <w:tc>
          <w:tcPr>
            <w:tcW w:w="3304" w:type="dxa"/>
          </w:tcPr>
          <w:p w14:paraId="0DA0CF58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i/>
                <w:iCs/>
                <w:sz w:val="20"/>
                <w:szCs w:val="22"/>
                <w:lang w:eastAsia="en-US"/>
              </w:rPr>
              <w:t xml:space="preserve">га </w:t>
            </w:r>
          </w:p>
        </w:tc>
      </w:tr>
      <w:tr w14:paraId="1EE83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vMerge w:val="continue"/>
          </w:tcPr>
          <w:p w14:paraId="41432343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</w:p>
        </w:tc>
        <w:tc>
          <w:tcPr>
            <w:tcW w:w="3304" w:type="dxa"/>
          </w:tcPr>
          <w:p w14:paraId="47AC9077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Ар </w:t>
            </w:r>
          </w:p>
        </w:tc>
        <w:tc>
          <w:tcPr>
            <w:tcW w:w="3304" w:type="dxa"/>
          </w:tcPr>
          <w:p w14:paraId="422EF7E0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i/>
                <w:iCs/>
                <w:sz w:val="20"/>
                <w:szCs w:val="22"/>
                <w:lang w:eastAsia="en-US"/>
              </w:rPr>
              <w:t xml:space="preserve">а </w:t>
            </w:r>
          </w:p>
        </w:tc>
      </w:tr>
      <w:tr w14:paraId="3BCF6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vMerge w:val="restart"/>
          </w:tcPr>
          <w:p w14:paraId="3E216CC2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b/>
                <w:bCs/>
                <w:i/>
                <w:iCs/>
                <w:sz w:val="20"/>
                <w:szCs w:val="22"/>
                <w:lang w:eastAsia="en-US"/>
              </w:rPr>
              <w:t>Единицы объема</w:t>
            </w:r>
          </w:p>
        </w:tc>
        <w:tc>
          <w:tcPr>
            <w:tcW w:w="3304" w:type="dxa"/>
          </w:tcPr>
          <w:p w14:paraId="2356356E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Кубический миллиметр </w:t>
            </w:r>
          </w:p>
        </w:tc>
        <w:tc>
          <w:tcPr>
            <w:tcW w:w="3304" w:type="dxa"/>
          </w:tcPr>
          <w:p w14:paraId="3D4C8677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i/>
                <w:iCs/>
                <w:sz w:val="20"/>
                <w:szCs w:val="22"/>
                <w:lang w:eastAsia="en-US"/>
              </w:rPr>
              <w:t xml:space="preserve">мм3 </w:t>
            </w:r>
          </w:p>
        </w:tc>
      </w:tr>
      <w:tr w14:paraId="75055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vMerge w:val="continue"/>
          </w:tcPr>
          <w:p w14:paraId="6C74653B">
            <w:pPr>
              <w:spacing w:after="160" w:line="259" w:lineRule="auto"/>
              <w:rPr>
                <w:b/>
                <w:bCs/>
                <w:i/>
                <w:iCs/>
                <w:sz w:val="20"/>
                <w:szCs w:val="22"/>
                <w:lang w:eastAsia="en-US"/>
              </w:rPr>
            </w:pPr>
          </w:p>
        </w:tc>
        <w:tc>
          <w:tcPr>
            <w:tcW w:w="3304" w:type="dxa"/>
          </w:tcPr>
          <w:p w14:paraId="485C754E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Кубический метр </w:t>
            </w:r>
          </w:p>
        </w:tc>
        <w:tc>
          <w:tcPr>
            <w:tcW w:w="3304" w:type="dxa"/>
          </w:tcPr>
          <w:p w14:paraId="1E0D0855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i/>
                <w:iCs/>
                <w:sz w:val="20"/>
                <w:szCs w:val="22"/>
                <w:lang w:eastAsia="en-US"/>
              </w:rPr>
              <w:t xml:space="preserve">м3 </w:t>
            </w:r>
          </w:p>
        </w:tc>
      </w:tr>
      <w:tr w14:paraId="153BB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vMerge w:val="continue"/>
          </w:tcPr>
          <w:p w14:paraId="594A8CE1">
            <w:pPr>
              <w:spacing w:after="160" w:line="259" w:lineRule="auto"/>
              <w:rPr>
                <w:b/>
                <w:bCs/>
                <w:i/>
                <w:iCs/>
                <w:sz w:val="20"/>
                <w:szCs w:val="22"/>
                <w:lang w:eastAsia="en-US"/>
              </w:rPr>
            </w:pPr>
          </w:p>
        </w:tc>
        <w:tc>
          <w:tcPr>
            <w:tcW w:w="3304" w:type="dxa"/>
          </w:tcPr>
          <w:p w14:paraId="1C0B79DE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Децилитр </w:t>
            </w:r>
          </w:p>
        </w:tc>
        <w:tc>
          <w:tcPr>
            <w:tcW w:w="3304" w:type="dxa"/>
          </w:tcPr>
          <w:p w14:paraId="7F4F0339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i/>
                <w:iCs/>
                <w:sz w:val="20"/>
                <w:szCs w:val="22"/>
                <w:lang w:eastAsia="en-US"/>
              </w:rPr>
              <w:t xml:space="preserve">дл </w:t>
            </w:r>
          </w:p>
        </w:tc>
      </w:tr>
      <w:tr w14:paraId="24893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vMerge w:val="continue"/>
          </w:tcPr>
          <w:p w14:paraId="0256F995">
            <w:pPr>
              <w:spacing w:after="160" w:line="259" w:lineRule="auto"/>
              <w:rPr>
                <w:b/>
                <w:bCs/>
                <w:i/>
                <w:iCs/>
                <w:sz w:val="20"/>
                <w:szCs w:val="22"/>
                <w:lang w:eastAsia="en-US"/>
              </w:rPr>
            </w:pPr>
          </w:p>
        </w:tc>
        <w:tc>
          <w:tcPr>
            <w:tcW w:w="3304" w:type="dxa"/>
          </w:tcPr>
          <w:p w14:paraId="5DB18DB0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Гектолитр </w:t>
            </w:r>
          </w:p>
        </w:tc>
        <w:tc>
          <w:tcPr>
            <w:tcW w:w="3304" w:type="dxa"/>
          </w:tcPr>
          <w:p w14:paraId="7F957A7E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i/>
                <w:iCs/>
                <w:sz w:val="20"/>
                <w:szCs w:val="22"/>
                <w:lang w:eastAsia="en-US"/>
              </w:rPr>
              <w:t xml:space="preserve">гл </w:t>
            </w:r>
          </w:p>
        </w:tc>
      </w:tr>
      <w:tr w14:paraId="05D11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vMerge w:val="restart"/>
          </w:tcPr>
          <w:p w14:paraId="6C6D26E4">
            <w:pPr>
              <w:spacing w:after="160" w:line="259" w:lineRule="auto"/>
              <w:rPr>
                <w:b/>
                <w:bCs/>
                <w:i/>
                <w:iCs/>
                <w:sz w:val="20"/>
                <w:szCs w:val="22"/>
                <w:lang w:eastAsia="en-US"/>
              </w:rPr>
            </w:pPr>
            <w:r>
              <w:rPr>
                <w:b/>
                <w:bCs/>
                <w:i/>
                <w:iCs/>
                <w:sz w:val="20"/>
                <w:szCs w:val="22"/>
                <w:lang w:eastAsia="en-US"/>
              </w:rPr>
              <w:t>Технические единицы</w:t>
            </w:r>
          </w:p>
        </w:tc>
        <w:tc>
          <w:tcPr>
            <w:tcW w:w="3304" w:type="dxa"/>
          </w:tcPr>
          <w:p w14:paraId="3279E241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Ватт </w:t>
            </w:r>
          </w:p>
        </w:tc>
        <w:tc>
          <w:tcPr>
            <w:tcW w:w="3304" w:type="dxa"/>
          </w:tcPr>
          <w:p w14:paraId="08E9A0F9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i/>
                <w:iCs/>
                <w:sz w:val="20"/>
                <w:szCs w:val="22"/>
                <w:lang w:eastAsia="en-US"/>
              </w:rPr>
              <w:t xml:space="preserve">Вт </w:t>
            </w:r>
          </w:p>
        </w:tc>
      </w:tr>
      <w:tr w14:paraId="3802E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vMerge w:val="continue"/>
          </w:tcPr>
          <w:p w14:paraId="3037A0CC">
            <w:pPr>
              <w:spacing w:after="160" w:line="259" w:lineRule="auto"/>
              <w:rPr>
                <w:b/>
                <w:bCs/>
                <w:i/>
                <w:iCs/>
                <w:sz w:val="20"/>
                <w:szCs w:val="22"/>
                <w:lang w:eastAsia="en-US"/>
              </w:rPr>
            </w:pPr>
          </w:p>
        </w:tc>
        <w:tc>
          <w:tcPr>
            <w:tcW w:w="3304" w:type="dxa"/>
          </w:tcPr>
          <w:p w14:paraId="61206ECD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Вольт </w:t>
            </w:r>
          </w:p>
        </w:tc>
        <w:tc>
          <w:tcPr>
            <w:tcW w:w="3304" w:type="dxa"/>
          </w:tcPr>
          <w:p w14:paraId="34478D42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i/>
                <w:iCs/>
                <w:sz w:val="20"/>
                <w:szCs w:val="22"/>
                <w:lang w:eastAsia="en-US"/>
              </w:rPr>
              <w:t xml:space="preserve">В </w:t>
            </w:r>
          </w:p>
        </w:tc>
      </w:tr>
      <w:tr w14:paraId="0DE0B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vMerge w:val="continue"/>
          </w:tcPr>
          <w:p w14:paraId="16B25CE8">
            <w:pPr>
              <w:spacing w:after="160" w:line="259" w:lineRule="auto"/>
              <w:rPr>
                <w:b/>
                <w:bCs/>
                <w:i/>
                <w:iCs/>
                <w:sz w:val="20"/>
                <w:szCs w:val="22"/>
                <w:lang w:eastAsia="en-US"/>
              </w:rPr>
            </w:pPr>
          </w:p>
        </w:tc>
        <w:tc>
          <w:tcPr>
            <w:tcW w:w="3304" w:type="dxa"/>
          </w:tcPr>
          <w:p w14:paraId="53A2F4FD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Кулон </w:t>
            </w:r>
          </w:p>
        </w:tc>
        <w:tc>
          <w:tcPr>
            <w:tcW w:w="3304" w:type="dxa"/>
          </w:tcPr>
          <w:p w14:paraId="2D9D7D68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i/>
                <w:iCs/>
                <w:sz w:val="20"/>
                <w:szCs w:val="22"/>
                <w:lang w:eastAsia="en-US"/>
              </w:rPr>
              <w:t xml:space="preserve">Кл </w:t>
            </w:r>
          </w:p>
        </w:tc>
      </w:tr>
      <w:tr w14:paraId="4DF8A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vMerge w:val="continue"/>
          </w:tcPr>
          <w:p w14:paraId="149FB4EB">
            <w:pPr>
              <w:spacing w:after="160" w:line="259" w:lineRule="auto"/>
              <w:rPr>
                <w:b/>
                <w:bCs/>
                <w:i/>
                <w:iCs/>
                <w:sz w:val="20"/>
                <w:szCs w:val="22"/>
                <w:lang w:eastAsia="en-US"/>
              </w:rPr>
            </w:pPr>
          </w:p>
        </w:tc>
        <w:tc>
          <w:tcPr>
            <w:tcW w:w="3304" w:type="dxa"/>
          </w:tcPr>
          <w:p w14:paraId="4DEC6181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Джоуль </w:t>
            </w:r>
          </w:p>
        </w:tc>
        <w:tc>
          <w:tcPr>
            <w:tcW w:w="3304" w:type="dxa"/>
          </w:tcPr>
          <w:p w14:paraId="00656C4E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i/>
                <w:iCs/>
                <w:sz w:val="20"/>
                <w:szCs w:val="22"/>
                <w:lang w:eastAsia="en-US"/>
              </w:rPr>
              <w:t xml:space="preserve">Дж </w:t>
            </w:r>
          </w:p>
        </w:tc>
      </w:tr>
      <w:tr w14:paraId="62AE6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vMerge w:val="continue"/>
          </w:tcPr>
          <w:p w14:paraId="448476A7">
            <w:pPr>
              <w:spacing w:after="160" w:line="259" w:lineRule="auto"/>
              <w:rPr>
                <w:b/>
                <w:bCs/>
                <w:i/>
                <w:iCs/>
                <w:sz w:val="20"/>
                <w:szCs w:val="22"/>
                <w:lang w:eastAsia="en-US"/>
              </w:rPr>
            </w:pPr>
          </w:p>
        </w:tc>
        <w:tc>
          <w:tcPr>
            <w:tcW w:w="3304" w:type="dxa"/>
          </w:tcPr>
          <w:p w14:paraId="28C8B751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 xml:space="preserve">Килоджоуль </w:t>
            </w:r>
          </w:p>
        </w:tc>
        <w:tc>
          <w:tcPr>
            <w:tcW w:w="3304" w:type="dxa"/>
          </w:tcPr>
          <w:p w14:paraId="372D5F51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i/>
                <w:iCs/>
                <w:sz w:val="20"/>
                <w:szCs w:val="22"/>
                <w:lang w:eastAsia="en-US"/>
              </w:rPr>
              <w:t xml:space="preserve">кДж </w:t>
            </w:r>
          </w:p>
        </w:tc>
      </w:tr>
      <w:tr w14:paraId="4E64E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3" w:type="dxa"/>
            <w:vMerge w:val="continue"/>
          </w:tcPr>
          <w:p w14:paraId="180D987C">
            <w:pPr>
              <w:spacing w:after="160" w:line="259" w:lineRule="auto"/>
              <w:rPr>
                <w:b/>
                <w:bCs/>
                <w:i/>
                <w:iCs/>
                <w:sz w:val="20"/>
                <w:szCs w:val="22"/>
                <w:lang w:eastAsia="en-US"/>
              </w:rPr>
            </w:pPr>
          </w:p>
        </w:tc>
        <w:tc>
          <w:tcPr>
            <w:tcW w:w="3304" w:type="dxa"/>
          </w:tcPr>
          <w:p w14:paraId="5C9F9859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sz w:val="20"/>
                <w:szCs w:val="22"/>
                <w:lang w:eastAsia="en-US"/>
              </w:rPr>
              <w:t>Ом</w:t>
            </w:r>
          </w:p>
        </w:tc>
        <w:tc>
          <w:tcPr>
            <w:tcW w:w="3304" w:type="dxa"/>
          </w:tcPr>
          <w:p w14:paraId="71A47D39">
            <w:pPr>
              <w:spacing w:after="160" w:line="259" w:lineRule="auto"/>
              <w:rPr>
                <w:sz w:val="20"/>
                <w:szCs w:val="22"/>
                <w:lang w:eastAsia="en-US"/>
              </w:rPr>
            </w:pPr>
            <w:r>
              <w:rPr>
                <w:i/>
                <w:iCs/>
                <w:sz w:val="20"/>
                <w:szCs w:val="22"/>
                <w:lang w:eastAsia="en-US"/>
              </w:rPr>
              <w:t xml:space="preserve">Ом </w:t>
            </w:r>
          </w:p>
        </w:tc>
      </w:tr>
    </w:tbl>
    <w:p w14:paraId="5BD36340">
      <w:pPr>
        <w:spacing w:after="160" w:line="259" w:lineRule="auto"/>
        <w:rPr>
          <w:szCs w:val="22"/>
          <w:lang w:eastAsia="en-US"/>
        </w:rPr>
      </w:pPr>
    </w:p>
    <w:p w14:paraId="548CA63B">
      <w:pPr>
        <w:spacing w:after="240"/>
        <w:rPr>
          <w:b/>
          <w:bCs/>
        </w:rPr>
      </w:pPr>
      <w:r>
        <w:rPr>
          <w:b/>
          <w:bCs/>
        </w:rPr>
        <w:t>5.3.2. Настройка и использование альтернативных единиц измерения</w:t>
      </w:r>
    </w:p>
    <w:p w14:paraId="32D21168">
      <w:pPr>
        <w:spacing w:after="240"/>
        <w:ind w:firstLine="709"/>
        <w:jc w:val="both"/>
      </w:pPr>
      <w:r>
        <w:t>В разделе описан процесс настройки альтернативных единиц измерения и процесс нормализации номенклатурных позиций.</w:t>
      </w:r>
    </w:p>
    <w:p w14:paraId="3FF292CE">
      <w:pPr>
        <w:pStyle w:val="38"/>
        <w:numPr>
          <w:ilvl w:val="3"/>
          <w:numId w:val="16"/>
        </w:numPr>
        <w:spacing w:after="160" w:line="259" w:lineRule="auto"/>
        <w:jc w:val="both"/>
        <w:rPr>
          <w:b/>
          <w:bCs/>
        </w:rPr>
      </w:pPr>
      <w:r>
        <w:rPr>
          <w:b/>
          <w:bCs/>
        </w:rPr>
        <w:t>Настройка альтернативных единиц измерения</w:t>
      </w:r>
    </w:p>
    <w:p w14:paraId="57F6C260">
      <w:pPr>
        <w:spacing w:after="240"/>
        <w:ind w:firstLine="709"/>
        <w:jc w:val="both"/>
      </w:pPr>
      <w:r>
        <w:t xml:space="preserve">В процессе эксплуатации справочника номенклатуры на уровне информационных систем должен быть реализован механизм использования альтернативных единиц измерения. Данное требование получено на этапе обследования, зафиксировано в Отчете об обследовании. </w:t>
      </w:r>
    </w:p>
    <w:p w14:paraId="308BB90A">
      <w:pPr>
        <w:pStyle w:val="38"/>
        <w:spacing w:after="160" w:line="259" w:lineRule="auto"/>
        <w:ind w:left="709"/>
        <w:jc w:val="both"/>
        <w:rPr>
          <w:b/>
          <w:bCs/>
        </w:rPr>
      </w:pPr>
      <w:r>
        <w:rPr>
          <w:b/>
          <w:bCs/>
        </w:rPr>
        <w:t>Использование коэффициентов пересчета:</w:t>
      </w:r>
    </w:p>
    <w:p w14:paraId="7B467824">
      <w:pPr>
        <w:numPr>
          <w:ilvl w:val="1"/>
          <w:numId w:val="17"/>
        </w:numPr>
        <w:spacing w:after="160" w:line="259" w:lineRule="auto"/>
        <w:jc w:val="both"/>
      </w:pPr>
      <w:r>
        <w:t xml:space="preserve">Эксперт, выполняющий нормализацию, по согласованию с Заказчиком может использовать коэффициенты пересчета описанные в приложениях к </w:t>
      </w:r>
      <w:r>
        <w:rPr>
          <w:b/>
          <w:bCs/>
        </w:rPr>
        <w:t>ГОСТ 8.417-2002 ГСИ. Единицы величин</w:t>
      </w:r>
      <w:r>
        <w:t xml:space="preserve">. </w:t>
      </w:r>
    </w:p>
    <w:p w14:paraId="597BF02B">
      <w:pPr>
        <w:numPr>
          <w:ilvl w:val="1"/>
          <w:numId w:val="17"/>
        </w:numPr>
        <w:spacing w:after="160" w:line="259" w:lineRule="auto"/>
        <w:jc w:val="both"/>
      </w:pPr>
      <w:r>
        <w:t xml:space="preserve">Например, в </w:t>
      </w:r>
      <w:r>
        <w:rPr>
          <w:b/>
          <w:bCs/>
        </w:rPr>
        <w:t xml:space="preserve">ГОСТ 8.417-2002 ГСИ. Единицы величин </w:t>
      </w:r>
      <w:r>
        <w:t>указано, что 1 метр — это основная единица длины в СИ, а сантиметр — это дольная единица, равная 1/100 метра.</w:t>
      </w:r>
    </w:p>
    <w:p w14:paraId="02B97B77">
      <w:pPr>
        <w:spacing w:after="240"/>
        <w:ind w:left="1418"/>
        <w:rPr>
          <w:b/>
          <w:bCs/>
          <w:i/>
          <w:iCs/>
        </w:rPr>
      </w:pPr>
      <w:r>
        <w:rPr>
          <w:b/>
          <w:bCs/>
          <w:i/>
          <w:iCs/>
        </w:rPr>
        <w:t>Пример применения:</w:t>
      </w:r>
    </w:p>
    <w:p w14:paraId="20C22F8B">
      <w:pPr>
        <w:numPr>
          <w:ilvl w:val="0"/>
          <w:numId w:val="18"/>
        </w:numPr>
        <w:tabs>
          <w:tab w:val="left" w:pos="1800"/>
          <w:tab w:val="clear" w:pos="720"/>
        </w:tabs>
        <w:spacing w:after="160" w:line="259" w:lineRule="auto"/>
        <w:ind w:left="1800"/>
        <w:rPr>
          <w:i/>
          <w:iCs/>
        </w:rPr>
      </w:pPr>
      <w:r>
        <w:rPr>
          <w:b/>
          <w:bCs/>
          <w:i/>
          <w:iCs/>
        </w:rPr>
        <w:t>Единица:</w:t>
      </w:r>
      <w:r>
        <w:rPr>
          <w:i/>
          <w:iCs/>
        </w:rPr>
        <w:t> Длина.</w:t>
      </w:r>
    </w:p>
    <w:p w14:paraId="54A69A86">
      <w:pPr>
        <w:numPr>
          <w:ilvl w:val="0"/>
          <w:numId w:val="18"/>
        </w:numPr>
        <w:tabs>
          <w:tab w:val="left" w:pos="1800"/>
          <w:tab w:val="clear" w:pos="720"/>
        </w:tabs>
        <w:spacing w:after="160" w:line="259" w:lineRule="auto"/>
        <w:ind w:left="1800"/>
        <w:rPr>
          <w:i/>
          <w:iCs/>
        </w:rPr>
      </w:pPr>
      <w:r>
        <w:rPr>
          <w:b/>
          <w:bCs/>
          <w:i/>
          <w:iCs/>
        </w:rPr>
        <w:t>Основная единица в СИ:</w:t>
      </w:r>
      <w:r>
        <w:rPr>
          <w:i/>
          <w:iCs/>
        </w:rPr>
        <w:t> Метр (м).</w:t>
      </w:r>
    </w:p>
    <w:p w14:paraId="1682EBE9">
      <w:pPr>
        <w:numPr>
          <w:ilvl w:val="0"/>
          <w:numId w:val="18"/>
        </w:numPr>
        <w:tabs>
          <w:tab w:val="left" w:pos="1800"/>
          <w:tab w:val="clear" w:pos="720"/>
        </w:tabs>
        <w:spacing w:after="160" w:line="259" w:lineRule="auto"/>
        <w:ind w:left="1800"/>
        <w:rPr>
          <w:i/>
          <w:iCs/>
        </w:rPr>
      </w:pPr>
      <w:r>
        <w:rPr>
          <w:b/>
          <w:bCs/>
          <w:i/>
          <w:iCs/>
        </w:rPr>
        <w:t>Приставка «санти-»:</w:t>
      </w:r>
      <w:r>
        <w:rPr>
          <w:i/>
          <w:iCs/>
        </w:rPr>
        <w:t xml:space="preserve"> означает множитель 10⁻² (что равно 1/100 = 0.01).</w:t>
      </w:r>
    </w:p>
    <w:p w14:paraId="37A10C55">
      <w:pPr>
        <w:numPr>
          <w:ilvl w:val="0"/>
          <w:numId w:val="18"/>
        </w:numPr>
        <w:tabs>
          <w:tab w:val="left" w:pos="1800"/>
          <w:tab w:val="clear" w:pos="720"/>
        </w:tabs>
        <w:spacing w:after="160" w:line="259" w:lineRule="auto"/>
        <w:ind w:left="1800"/>
        <w:rPr>
          <w:i/>
          <w:iCs/>
        </w:rPr>
      </w:pPr>
      <w:r>
        <w:rPr>
          <w:b/>
          <w:bCs/>
          <w:i/>
          <w:iCs/>
        </w:rPr>
        <w:t>Вывод коэффициента:</w:t>
      </w:r>
      <w:r>
        <w:rPr>
          <w:i/>
          <w:iCs/>
        </w:rPr>
        <w:t> 1 сантиметр = 1 * 10⁻² метра = 0.01 метра.</w:t>
      </w:r>
    </w:p>
    <w:p w14:paraId="3862E5AE">
      <w:pPr>
        <w:numPr>
          <w:ilvl w:val="0"/>
          <w:numId w:val="18"/>
        </w:numPr>
        <w:tabs>
          <w:tab w:val="left" w:pos="1800"/>
          <w:tab w:val="clear" w:pos="720"/>
        </w:tabs>
        <w:spacing w:after="160" w:line="259" w:lineRule="auto"/>
        <w:ind w:left="1800"/>
        <w:rPr>
          <w:i/>
          <w:iCs/>
        </w:rPr>
      </w:pPr>
      <w:r>
        <w:rPr>
          <w:b/>
          <w:bCs/>
          <w:i/>
          <w:iCs/>
        </w:rPr>
        <w:t>Коэффициент пересчета из см в м:</w:t>
      </w:r>
      <w:r>
        <w:rPr>
          <w:i/>
          <w:iCs/>
        </w:rPr>
        <w:t> </w:t>
      </w:r>
      <w:r>
        <w:rPr>
          <w:b/>
          <w:bCs/>
          <w:i/>
          <w:iCs/>
        </w:rPr>
        <w:t>0.01</w:t>
      </w:r>
      <w:r>
        <w:rPr>
          <w:i/>
          <w:iCs/>
        </w:rPr>
        <w:t>. Чтобы перевести сантиметры в метры, нужно значение в сантиметрах умножить на 0.01.</w:t>
      </w:r>
    </w:p>
    <w:p w14:paraId="6422FE5E">
      <w:pPr>
        <w:numPr>
          <w:ilvl w:val="1"/>
          <w:numId w:val="17"/>
        </w:numPr>
        <w:spacing w:after="160" w:line="259" w:lineRule="auto"/>
        <w:jc w:val="both"/>
      </w:pPr>
      <w:r>
        <w:t>Для уточнения и использования, в процессе нормализации, коэффициентов пересчета между единицами измерения необходимо следовать следующему алгоритму:</w:t>
      </w:r>
    </w:p>
    <w:p w14:paraId="2D8535EA">
      <w:pPr>
        <w:numPr>
          <w:ilvl w:val="0"/>
          <w:numId w:val="18"/>
        </w:numPr>
        <w:tabs>
          <w:tab w:val="left" w:pos="1800"/>
          <w:tab w:val="clear" w:pos="720"/>
        </w:tabs>
        <w:spacing w:after="160" w:line="259" w:lineRule="auto"/>
        <w:ind w:left="1800"/>
        <w:jc w:val="both"/>
        <w:rPr>
          <w:i/>
          <w:iCs/>
        </w:rPr>
      </w:pPr>
      <w:r>
        <w:rPr>
          <w:b/>
          <w:bCs/>
          <w:i/>
          <w:iCs/>
        </w:rPr>
        <w:t>Уточнение коэффициента пересчета:</w:t>
      </w:r>
      <w:r>
        <w:rPr>
          <w:i/>
          <w:iCs/>
        </w:rPr>
        <w:t xml:space="preserve"> эксперт, выполняющий нормализацию,</w:t>
      </w:r>
      <w:r>
        <w:t xml:space="preserve"> </w:t>
      </w:r>
      <w:r>
        <w:rPr>
          <w:i/>
          <w:iCs/>
        </w:rPr>
        <w:t>направляет запрос в Центр компетенции Заказчика.</w:t>
      </w:r>
    </w:p>
    <w:p w14:paraId="6A721CB6">
      <w:pPr>
        <w:numPr>
          <w:ilvl w:val="0"/>
          <w:numId w:val="18"/>
        </w:numPr>
        <w:tabs>
          <w:tab w:val="left" w:pos="1800"/>
          <w:tab w:val="clear" w:pos="720"/>
        </w:tabs>
        <w:spacing w:after="160" w:line="259" w:lineRule="auto"/>
        <w:ind w:left="1800"/>
        <w:jc w:val="both"/>
        <w:rPr>
          <w:i/>
          <w:iCs/>
        </w:rPr>
      </w:pPr>
      <w:r>
        <w:rPr>
          <w:b/>
          <w:bCs/>
          <w:i/>
          <w:iCs/>
        </w:rPr>
        <w:t xml:space="preserve">Детали запроса: </w:t>
      </w:r>
      <w:r>
        <w:rPr>
          <w:i/>
          <w:iCs/>
        </w:rPr>
        <w:t>в запросе</w:t>
      </w:r>
      <w:r>
        <w:rPr>
          <w:b/>
          <w:bCs/>
          <w:i/>
          <w:iCs/>
        </w:rPr>
        <w:t xml:space="preserve"> </w:t>
      </w:r>
      <w:r>
        <w:rPr>
          <w:i/>
          <w:iCs/>
        </w:rPr>
        <w:t>должны быть указаны: Описание и номер номенклатурной позиции, для которой требуется уточнить пересчет; Единица измерения текущего учета; Единица измерения, для которой требуется рассчитать коэффициент пересчета.</w:t>
      </w:r>
    </w:p>
    <w:p w14:paraId="36C44FA1">
      <w:pPr>
        <w:numPr>
          <w:ilvl w:val="0"/>
          <w:numId w:val="18"/>
        </w:numPr>
        <w:tabs>
          <w:tab w:val="left" w:pos="1800"/>
          <w:tab w:val="clear" w:pos="720"/>
        </w:tabs>
        <w:spacing w:after="160" w:line="259" w:lineRule="auto"/>
        <w:ind w:left="1800"/>
        <w:jc w:val="both"/>
        <w:rPr>
          <w:i/>
          <w:iCs/>
        </w:rPr>
      </w:pPr>
      <w:r>
        <w:rPr>
          <w:b/>
          <w:bCs/>
          <w:i/>
          <w:iCs/>
        </w:rPr>
        <w:t>Внутренний анализ запроса:</w:t>
      </w:r>
      <w:r>
        <w:rPr>
          <w:i/>
          <w:iCs/>
        </w:rPr>
        <w:t xml:space="preserve"> ответственный специалист Центра компетенции Заказчика должен связаться с материально ответственным лицом (МОЛ) склада, на котором ведется учет запасов и описать детали запроса. </w:t>
      </w:r>
    </w:p>
    <w:p w14:paraId="242FA157">
      <w:pPr>
        <w:numPr>
          <w:ilvl w:val="0"/>
          <w:numId w:val="18"/>
        </w:numPr>
        <w:tabs>
          <w:tab w:val="left" w:pos="1800"/>
          <w:tab w:val="clear" w:pos="720"/>
        </w:tabs>
        <w:spacing w:after="160" w:line="259" w:lineRule="auto"/>
        <w:ind w:left="1800"/>
        <w:jc w:val="both"/>
        <w:rPr>
          <w:i/>
          <w:iCs/>
        </w:rPr>
      </w:pPr>
      <w:r>
        <w:rPr>
          <w:b/>
          <w:bCs/>
          <w:i/>
          <w:iCs/>
        </w:rPr>
        <w:t xml:space="preserve">Предоставление коэффициента пересчета: </w:t>
      </w:r>
      <w:r>
        <w:rPr>
          <w:i/>
          <w:iCs/>
        </w:rPr>
        <w:t xml:space="preserve">материально ответственное лицо в соответствии с запросом рассчитывает коэффициент пересчета и информирует специалиста Центра компетенции и эксперта, выполняющего нормализацию номенклатурной позиции. </w:t>
      </w:r>
    </w:p>
    <w:p w14:paraId="524D55E1">
      <w:pPr>
        <w:ind w:left="1134"/>
        <w:jc w:val="both"/>
        <w:rPr>
          <w:i/>
          <w:iCs/>
        </w:rPr>
      </w:pPr>
      <w:r>
        <w:rPr>
          <w:b/>
          <w:bCs/>
          <w:i/>
          <w:iCs/>
        </w:rPr>
        <w:t>Пример Запроса:</w:t>
      </w:r>
      <w:r>
        <w:rPr>
          <w:i/>
          <w:iCs/>
        </w:rPr>
        <w:t xml:space="preserve"> Требуется уточнить коэффициент пересчета для номенклатурной позиции «Жадеит шлифованный для эл.печей», номенклатурный номер ЦБ-00007332. Текущая ЕИ – ведро, новая ЕИ – килограмм.</w:t>
      </w:r>
    </w:p>
    <w:p w14:paraId="7BE47951">
      <w:pPr>
        <w:spacing w:after="240"/>
        <w:ind w:left="1134"/>
        <w:rPr>
          <w:i/>
          <w:iCs/>
        </w:rPr>
      </w:pPr>
      <w:r>
        <w:rPr>
          <w:b/>
          <w:bCs/>
          <w:i/>
          <w:iCs/>
        </w:rPr>
        <w:t>Пример ответа:</w:t>
      </w:r>
      <w:r>
        <w:rPr>
          <w:i/>
          <w:iCs/>
        </w:rPr>
        <w:t xml:space="preserve"> Вес ведра «Жадеит шлифованный для эл.печей» номенклатурный номер ЦБ-00007332 – 25 килограмм.</w:t>
      </w:r>
    </w:p>
    <w:p w14:paraId="070F1DCD">
      <w:pPr>
        <w:spacing w:after="160" w:line="259" w:lineRule="auto"/>
        <w:ind w:left="709"/>
        <w:jc w:val="both"/>
        <w:rPr>
          <w:b/>
          <w:bCs/>
        </w:rPr>
      </w:pPr>
      <w:r>
        <w:rPr>
          <w:b/>
          <w:bCs/>
        </w:rPr>
        <w:t>Настройка альтернативной единицы измерения в информационной системе:</w:t>
      </w:r>
    </w:p>
    <w:p w14:paraId="69F7013C">
      <w:pPr>
        <w:numPr>
          <w:ilvl w:val="1"/>
          <w:numId w:val="17"/>
        </w:numPr>
        <w:spacing w:after="160" w:line="259" w:lineRule="auto"/>
        <w:jc w:val="both"/>
      </w:pPr>
      <w:r>
        <w:t>Эксперт по ведению справочника в информационной системе для номенклатурной позиции настраивает альтернативную единицу измерения в соответствии с инструкцией пользователя.</w:t>
      </w:r>
    </w:p>
    <w:p w14:paraId="43F74ABD">
      <w:pPr>
        <w:pStyle w:val="38"/>
        <w:numPr>
          <w:ilvl w:val="3"/>
          <w:numId w:val="16"/>
        </w:numPr>
        <w:spacing w:after="160" w:line="259" w:lineRule="auto"/>
        <w:jc w:val="both"/>
        <w:rPr>
          <w:b/>
          <w:bCs/>
        </w:rPr>
      </w:pPr>
      <w:r>
        <w:rPr>
          <w:b/>
          <w:bCs/>
        </w:rPr>
        <w:t>Нормализация номенклатур с разными единицами измерения</w:t>
      </w:r>
    </w:p>
    <w:p w14:paraId="00FB1CBD">
      <w:pPr>
        <w:spacing w:after="240"/>
        <w:ind w:firstLine="709"/>
        <w:jc w:val="both"/>
      </w:pPr>
      <w:r>
        <w:t>При обнаружении номенклатурной позиции с кодом и единицей измерения, отсутствующими в Общероссийском классификаторе единиц измерения (ОКЕИ), необходимо выполнить следующие действия:</w:t>
      </w:r>
    </w:p>
    <w:p w14:paraId="3C8A3D9A">
      <w:pPr>
        <w:spacing w:after="160" w:line="259" w:lineRule="auto"/>
        <w:ind w:left="709"/>
        <w:jc w:val="both"/>
      </w:pPr>
      <w:r>
        <w:rPr>
          <w:b/>
          <w:bCs/>
        </w:rPr>
        <w:t>Создание новой номенклатурной позиции:</w:t>
      </w:r>
    </w:p>
    <w:p w14:paraId="1E6A069A">
      <w:pPr>
        <w:numPr>
          <w:ilvl w:val="1"/>
          <w:numId w:val="17"/>
        </w:numPr>
        <w:spacing w:after="160" w:line="259" w:lineRule="auto"/>
        <w:jc w:val="both"/>
      </w:pPr>
      <w:r>
        <w:t>Эксперт по ведению справочника создает новую номенклатурную позицию в информационной системе.</w:t>
      </w:r>
    </w:p>
    <w:p w14:paraId="648C1616">
      <w:pPr>
        <w:numPr>
          <w:ilvl w:val="1"/>
          <w:numId w:val="17"/>
        </w:numPr>
        <w:spacing w:after="160" w:line="259" w:lineRule="auto"/>
        <w:jc w:val="both"/>
      </w:pPr>
      <w:r>
        <w:t>В качестве единицы измерения выбирается наиболее подходящая складская единица измерения, соответствующая ОКЕИ.</w:t>
      </w:r>
    </w:p>
    <w:p w14:paraId="6D384985">
      <w:pPr>
        <w:spacing w:after="160" w:line="259" w:lineRule="auto"/>
        <w:ind w:left="709"/>
        <w:jc w:val="both"/>
        <w:rPr>
          <w:b/>
          <w:bCs/>
        </w:rPr>
      </w:pPr>
      <w:r>
        <w:rPr>
          <w:b/>
          <w:bCs/>
        </w:rPr>
        <w:t>Уточнение коэффициента пересчета:</w:t>
      </w:r>
    </w:p>
    <w:p w14:paraId="23695300">
      <w:pPr>
        <w:numPr>
          <w:ilvl w:val="1"/>
          <w:numId w:val="17"/>
        </w:numPr>
        <w:spacing w:after="160" w:line="259" w:lineRule="auto"/>
        <w:jc w:val="both"/>
      </w:pPr>
      <w:r>
        <w:t>Эксперт, выполняющий нормализацию, направляет запрос в Центр компетенции Заказчика для уточнения коэффициента пересчета между текущей единицей измерения учета и единицей измерения, соответствующей ОКЕИ.</w:t>
      </w:r>
    </w:p>
    <w:p w14:paraId="1AA1FF31">
      <w:pPr>
        <w:numPr>
          <w:ilvl w:val="1"/>
          <w:numId w:val="17"/>
        </w:numPr>
        <w:spacing w:after="160" w:line="259" w:lineRule="auto"/>
        <w:jc w:val="both"/>
      </w:pPr>
      <w:r>
        <w:t>Коэффициент пересчета используется для корректного переноса складских запасов.</w:t>
      </w:r>
    </w:p>
    <w:p w14:paraId="53C7CC9F">
      <w:pPr>
        <w:spacing w:after="160" w:line="259" w:lineRule="auto"/>
        <w:ind w:left="709"/>
        <w:jc w:val="both"/>
        <w:rPr>
          <w:b/>
          <w:bCs/>
        </w:rPr>
      </w:pPr>
      <w:r>
        <w:rPr>
          <w:b/>
          <w:bCs/>
        </w:rPr>
        <w:t>Перенос складских запасов:</w:t>
      </w:r>
    </w:p>
    <w:p w14:paraId="3301D717">
      <w:pPr>
        <w:numPr>
          <w:ilvl w:val="1"/>
          <w:numId w:val="17"/>
        </w:numPr>
        <w:spacing w:after="160" w:line="259" w:lineRule="auto"/>
        <w:jc w:val="both"/>
      </w:pPr>
      <w:r>
        <w:t>Специалист Заказчика (МОЛ, Бухгалтерия) выполняет процедуру переноса текущего складского запаса на новую номенклатурную позицию. Информирует о завершении переноса Эксперта по ведению справочника.</w:t>
      </w:r>
    </w:p>
    <w:p w14:paraId="68A55356">
      <w:pPr>
        <w:numPr>
          <w:ilvl w:val="1"/>
          <w:numId w:val="17"/>
        </w:numPr>
        <w:spacing w:after="160" w:line="259" w:lineRule="auto"/>
        <w:jc w:val="both"/>
      </w:pPr>
      <w:r>
        <w:t>Количество запаса пересчитывается с использованием коэффициента пересчета, полученного на предыдущем этапе.</w:t>
      </w:r>
    </w:p>
    <w:p w14:paraId="297AFD1C">
      <w:pPr>
        <w:spacing w:after="160" w:line="259" w:lineRule="auto"/>
        <w:ind w:left="709"/>
        <w:jc w:val="both"/>
        <w:rPr>
          <w:b/>
          <w:bCs/>
        </w:rPr>
      </w:pPr>
      <w:r>
        <w:rPr>
          <w:b/>
          <w:bCs/>
        </w:rPr>
        <w:t>Деактивация некорректной позиции:</w:t>
      </w:r>
    </w:p>
    <w:p w14:paraId="6E4CE01A">
      <w:pPr>
        <w:numPr>
          <w:ilvl w:val="1"/>
          <w:numId w:val="17"/>
        </w:numPr>
        <w:spacing w:after="160" w:line="259" w:lineRule="auto"/>
        <w:jc w:val="both"/>
      </w:pPr>
      <w:r>
        <w:t xml:space="preserve">Эксперт по ведению справочника деактивирует в информационной системе текущую номенклатурную позицию с некорректной единицей измерения. Деактивация номенклатурной позиции в информационной системе выполняется только после получения уведомления о переносе складских запасов с устаревшей (дублирующей) номенклатуры на Эталон.  </w:t>
      </w:r>
    </w:p>
    <w:p w14:paraId="163E49D9">
      <w:pPr>
        <w:numPr>
          <w:ilvl w:val="1"/>
          <w:numId w:val="17"/>
        </w:numPr>
        <w:spacing w:after="160" w:line="259" w:lineRule="auto"/>
        <w:jc w:val="both"/>
      </w:pPr>
      <w:r>
        <w:rPr>
          <w:rFonts w:eastAsiaTheme="minorEastAsia"/>
        </w:rPr>
        <w:t>Настраивает ссылки между деактивированной позицией (дубль) на эталон (новая номенклатура с корректной ЕИ учета).</w:t>
      </w:r>
    </w:p>
    <w:p w14:paraId="6EA3BBCF">
      <w:pPr>
        <w:spacing w:after="160" w:line="259" w:lineRule="auto"/>
        <w:ind w:left="709"/>
        <w:jc w:val="both"/>
        <w:rPr>
          <w:b/>
          <w:bCs/>
        </w:rPr>
      </w:pPr>
      <w:r>
        <w:rPr>
          <w:b/>
          <w:bCs/>
        </w:rPr>
        <w:t>Корректировка заказов на поставку:</w:t>
      </w:r>
    </w:p>
    <w:p w14:paraId="1A68D3F6">
      <w:pPr>
        <w:numPr>
          <w:ilvl w:val="1"/>
          <w:numId w:val="17"/>
        </w:numPr>
        <w:spacing w:after="160" w:line="259" w:lineRule="auto"/>
        <w:jc w:val="both"/>
      </w:pPr>
      <w:r>
        <w:t>Специалист Заказчика проверяет текущие открытые заказы на поставку.</w:t>
      </w:r>
    </w:p>
    <w:p w14:paraId="3F089D48">
      <w:pPr>
        <w:numPr>
          <w:ilvl w:val="1"/>
          <w:numId w:val="17"/>
        </w:numPr>
        <w:spacing w:after="160" w:line="259" w:lineRule="auto"/>
        <w:jc w:val="both"/>
      </w:pPr>
      <w:r>
        <w:t>При необходимости вносит корректировки: заменяет выведенную из эксплуатации позицию на новую номенклатурную позицию с корректной единицей измерения.</w:t>
      </w:r>
    </w:p>
    <w:p w14:paraId="53744D68">
      <w:pPr>
        <w:pStyle w:val="66"/>
      </w:pPr>
      <w:bookmarkStart w:id="41" w:name="_Toc211008666"/>
      <w:r>
        <w:t>5.4. Правила заполнения размеров, габаритов и других атрибутов</w:t>
      </w:r>
      <w:bookmarkEnd w:id="41"/>
    </w:p>
    <w:p w14:paraId="4F5324A2">
      <w:pPr>
        <w:spacing w:after="240"/>
        <w:ind w:firstLine="709"/>
        <w:jc w:val="both"/>
      </w:pPr>
      <w:r>
        <w:t xml:space="preserve">5.4.1. Общие правила заполнения значений атрибутов: </w:t>
      </w:r>
    </w:p>
    <w:p w14:paraId="0141F056">
      <w:pPr>
        <w:pStyle w:val="38"/>
        <w:numPr>
          <w:ilvl w:val="0"/>
          <w:numId w:val="19"/>
        </w:numPr>
        <w:spacing w:after="240"/>
        <w:ind w:left="1418"/>
        <w:jc w:val="both"/>
      </w:pPr>
      <w:r>
        <w:t xml:space="preserve">Между атрибутами ставится не более одного пробела; </w:t>
      </w:r>
    </w:p>
    <w:p w14:paraId="0B5F4CE1">
      <w:pPr>
        <w:pStyle w:val="38"/>
        <w:numPr>
          <w:ilvl w:val="0"/>
          <w:numId w:val="19"/>
        </w:numPr>
        <w:ind w:left="1418"/>
        <w:jc w:val="both"/>
      </w:pPr>
      <w:r>
        <w:t>В конце описания любого атрибута точка не ставится;</w:t>
      </w:r>
    </w:p>
    <w:p w14:paraId="65121F66">
      <w:pPr>
        <w:pStyle w:val="38"/>
        <w:numPr>
          <w:ilvl w:val="0"/>
          <w:numId w:val="19"/>
        </w:numPr>
        <w:ind w:left="1418"/>
        <w:jc w:val="both"/>
      </w:pPr>
      <w:r>
        <w:t>При вводе значений атрибутов допускается применять сокращения в соответствии с ГОСТ Р 7.0.12-2011 Библиографическая запись сокращение слов и словосочетаний на русском языке от 13 декабря 2011 г.</w:t>
      </w:r>
    </w:p>
    <w:p w14:paraId="57B82DA9">
      <w:pPr>
        <w:spacing w:before="240" w:after="240"/>
        <w:ind w:firstLine="709"/>
        <w:jc w:val="both"/>
      </w:pPr>
      <w:r>
        <w:t>5.4.2. Атрибуты, описывающие размеры и габариты должны быть записаны в миллиметрах, если явно не указана другая единица измерения (например, дюймы).</w:t>
      </w:r>
    </w:p>
    <w:p w14:paraId="37829DA6">
      <w:pPr>
        <w:spacing w:after="240"/>
        <w:ind w:firstLine="709"/>
        <w:jc w:val="both"/>
        <w:rPr>
          <w:i/>
          <w:iCs/>
        </w:rPr>
      </w:pPr>
      <w:r>
        <w:rPr>
          <w:b/>
          <w:bCs/>
          <w:i/>
          <w:iCs/>
        </w:rPr>
        <w:t xml:space="preserve">Примечание: </w:t>
      </w:r>
      <w:r>
        <w:rPr>
          <w:i/>
          <w:iCs/>
        </w:rPr>
        <w:t>исключение составляют номенклатурные позиции, относящиеся к спецодежде, где размерная сетка включает параметр роста, выраженный в сантиметрах.</w:t>
      </w:r>
    </w:p>
    <w:p w14:paraId="2E602813">
      <w:pPr>
        <w:spacing w:after="240"/>
        <w:ind w:firstLine="709"/>
        <w:jc w:val="both"/>
      </w:pPr>
      <w:r>
        <w:t xml:space="preserve">5.4.3. </w:t>
      </w:r>
      <w:r>
        <w:rPr>
          <w:szCs w:val="22"/>
        </w:rPr>
        <w:t xml:space="preserve">Для буквенных обозначений некоторых геометрических атрибутов при формировании наименований </w:t>
      </w:r>
      <w:r>
        <w:t>номенклатурных позиций необходимо руководствоваться действующим ГОСТ 2.321</w:t>
      </w:r>
      <w:r>
        <w:noBreakHyphen/>
      </w:r>
      <w:r>
        <w:t>84 «Единая система конструкторской документации Обозначения буквенные». Стандарт устанавливает основные буквенные обозначения, используемые в конструкторской документации (чертежах, схемах, спецификациях) всех отраслей промышленности. Определяет, какой латинской или греческой буквой принято обозначать те или иные физические величины:</w:t>
      </w:r>
    </w:p>
    <w:p w14:paraId="3C85191E">
      <w:pPr>
        <w:spacing w:after="240"/>
        <w:ind w:firstLine="709"/>
        <w:jc w:val="both"/>
      </w:pPr>
    </w:p>
    <w:p w14:paraId="7F334CB0">
      <w:pPr>
        <w:pStyle w:val="38"/>
        <w:numPr>
          <w:ilvl w:val="0"/>
          <w:numId w:val="20"/>
        </w:numPr>
        <w:jc w:val="both"/>
      </w:pPr>
      <w:r>
        <w:t>Длина – L, l</w:t>
      </w:r>
    </w:p>
    <w:p w14:paraId="1550DADD">
      <w:pPr>
        <w:pStyle w:val="38"/>
        <w:numPr>
          <w:ilvl w:val="0"/>
          <w:numId w:val="20"/>
        </w:numPr>
        <w:jc w:val="both"/>
      </w:pPr>
      <w:r>
        <w:t>Ширина – В, b</w:t>
      </w:r>
    </w:p>
    <w:p w14:paraId="7737235D">
      <w:pPr>
        <w:pStyle w:val="38"/>
        <w:numPr>
          <w:ilvl w:val="0"/>
          <w:numId w:val="20"/>
        </w:numPr>
        <w:jc w:val="both"/>
      </w:pPr>
      <w:r>
        <w:t>Высота, глубина – Н, h</w:t>
      </w:r>
    </w:p>
    <w:p w14:paraId="699E6809">
      <w:pPr>
        <w:pStyle w:val="38"/>
        <w:numPr>
          <w:ilvl w:val="0"/>
          <w:numId w:val="20"/>
        </w:numPr>
        <w:jc w:val="both"/>
      </w:pPr>
      <w:r>
        <w:t>Толщина (листов, стенок, ребер и т.д.) – s</w:t>
      </w:r>
    </w:p>
    <w:p w14:paraId="50B31064">
      <w:pPr>
        <w:pStyle w:val="38"/>
        <w:numPr>
          <w:ilvl w:val="0"/>
          <w:numId w:val="20"/>
        </w:numPr>
        <w:jc w:val="both"/>
      </w:pPr>
      <w:r>
        <w:t>Диаметр – D, d</w:t>
      </w:r>
    </w:p>
    <w:p w14:paraId="61030F3F">
      <w:pPr>
        <w:pStyle w:val="38"/>
        <w:numPr>
          <w:ilvl w:val="0"/>
          <w:numId w:val="20"/>
        </w:numPr>
        <w:jc w:val="both"/>
      </w:pPr>
      <w:r>
        <w:t>Радиус – R, r</w:t>
      </w:r>
    </w:p>
    <w:p w14:paraId="0F4C2115">
      <w:pPr>
        <w:pStyle w:val="38"/>
        <w:numPr>
          <w:ilvl w:val="0"/>
          <w:numId w:val="20"/>
        </w:numPr>
        <w:jc w:val="both"/>
      </w:pPr>
      <w:r>
        <w:t>Межосевое и межцентровое расстояние – A, а</w:t>
      </w:r>
    </w:p>
    <w:p w14:paraId="013D5E2A">
      <w:pPr>
        <w:pStyle w:val="38"/>
        <w:numPr>
          <w:ilvl w:val="0"/>
          <w:numId w:val="20"/>
        </w:numPr>
        <w:spacing w:after="240"/>
        <w:jc w:val="both"/>
      </w:pPr>
      <w:r>
        <w:t>Шаг: винтовых пружин, болтовых соединений, заклепочных соединений и т.п., кроме зубчатых зацеплений и резьб – t</w:t>
      </w:r>
    </w:p>
    <w:p w14:paraId="4DF653D8">
      <w:pPr>
        <w:spacing w:after="240"/>
        <w:ind w:firstLine="709"/>
        <w:jc w:val="both"/>
      </w:pPr>
      <w:r>
        <w:t>Прописные буквы рекомендуется применять для обозначения габаритных и суммарных размеров.</w:t>
      </w:r>
    </w:p>
    <w:p w14:paraId="408D197F">
      <w:pPr>
        <w:spacing w:after="240"/>
        <w:ind w:firstLine="709"/>
        <w:jc w:val="both"/>
      </w:pPr>
      <w:r>
        <w:t>Пример применения буквенных обозначений согласно ГОСТ 2.321</w:t>
      </w:r>
      <w:r>
        <w:noBreakHyphen/>
      </w:r>
      <w:r>
        <w:t xml:space="preserve">84 «Единая система конструкторской документации Обозначения буквенные» представлен в таблице №6. </w:t>
      </w:r>
    </w:p>
    <w:p w14:paraId="6109C666">
      <w:pPr>
        <w:jc w:val="right"/>
      </w:pPr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>Таблица 6. Примеры использования буквенных обозначений в соответствии с ГОСТ 2.321</w:t>
      </w:r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noBreakHyphen/>
      </w:r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>84.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410"/>
        <w:gridCol w:w="4319"/>
        <w:gridCol w:w="2478"/>
      </w:tblGrid>
      <w:tr w14:paraId="0BCAB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04" w:type="dxa"/>
            <w:shd w:val="pct15" w:color="auto" w:fill="auto"/>
            <w:vAlign w:val="center"/>
          </w:tcPr>
          <w:p w14:paraId="464F6F8C">
            <w:pPr>
              <w:jc w:val="center"/>
              <w:rPr>
                <w:sz w:val="20"/>
              </w:rPr>
            </w:pPr>
            <w:r>
              <w:rPr>
                <w:b/>
                <w:bCs/>
                <w:sz w:val="20"/>
                <w:szCs w:val="20"/>
              </w:rPr>
              <w:t>№ п.п.</w:t>
            </w:r>
          </w:p>
        </w:tc>
        <w:tc>
          <w:tcPr>
            <w:tcW w:w="2410" w:type="dxa"/>
            <w:shd w:val="pct15" w:color="auto" w:fill="auto"/>
            <w:vAlign w:val="center"/>
          </w:tcPr>
          <w:p w14:paraId="70771C75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Атрибут</w:t>
            </w:r>
          </w:p>
        </w:tc>
        <w:tc>
          <w:tcPr>
            <w:tcW w:w="4319" w:type="dxa"/>
            <w:shd w:val="pct15" w:color="auto" w:fill="auto"/>
            <w:vAlign w:val="center"/>
          </w:tcPr>
          <w:p w14:paraId="248BBA1A">
            <w:pPr>
              <w:jc w:val="center"/>
              <w:rPr>
                <w:sz w:val="20"/>
              </w:rPr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2478" w:type="dxa"/>
            <w:shd w:val="pct15" w:color="auto" w:fill="auto"/>
            <w:vAlign w:val="center"/>
          </w:tcPr>
          <w:p w14:paraId="1F6F4C31">
            <w:pPr>
              <w:jc w:val="center"/>
              <w:rPr>
                <w:sz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Пример заполнения атрибута </w:t>
            </w:r>
          </w:p>
        </w:tc>
      </w:tr>
      <w:tr w14:paraId="652A1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4" w:type="dxa"/>
            <w:vAlign w:val="center"/>
          </w:tcPr>
          <w:p w14:paraId="7B01239F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10" w:type="dxa"/>
            <w:vAlign w:val="center"/>
          </w:tcPr>
          <w:p w14:paraId="75C08C3C">
            <w:pPr>
              <w:rPr>
                <w:sz w:val="20"/>
              </w:rPr>
            </w:pPr>
            <w:r>
              <w:rPr>
                <w:sz w:val="20"/>
                <w:szCs w:val="20"/>
              </w:rPr>
              <w:t>Длина</w:t>
            </w:r>
          </w:p>
        </w:tc>
        <w:tc>
          <w:tcPr>
            <w:tcW w:w="4319" w:type="dxa"/>
            <w:vAlign w:val="center"/>
          </w:tcPr>
          <w:p w14:paraId="76D0D533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10 см</w:t>
            </w:r>
          </w:p>
        </w:tc>
        <w:tc>
          <w:tcPr>
            <w:tcW w:w="2478" w:type="dxa"/>
            <w:vAlign w:val="center"/>
          </w:tcPr>
          <w:p w14:paraId="44900C06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L100мм</w:t>
            </w:r>
          </w:p>
        </w:tc>
      </w:tr>
      <w:tr w14:paraId="0BE7D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4" w:type="dxa"/>
            <w:vAlign w:val="center"/>
          </w:tcPr>
          <w:p w14:paraId="1BC6BA63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10" w:type="dxa"/>
            <w:vAlign w:val="center"/>
          </w:tcPr>
          <w:p w14:paraId="31E92B2D">
            <w:pPr>
              <w:rPr>
                <w:sz w:val="20"/>
              </w:rPr>
            </w:pPr>
            <w:r>
              <w:rPr>
                <w:sz w:val="20"/>
                <w:szCs w:val="20"/>
              </w:rPr>
              <w:t>Ширина</w:t>
            </w:r>
          </w:p>
        </w:tc>
        <w:tc>
          <w:tcPr>
            <w:tcW w:w="4319" w:type="dxa"/>
            <w:vAlign w:val="center"/>
          </w:tcPr>
          <w:p w14:paraId="592A3490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55 мм</w:t>
            </w:r>
          </w:p>
        </w:tc>
        <w:tc>
          <w:tcPr>
            <w:tcW w:w="2478" w:type="dxa"/>
            <w:vAlign w:val="center"/>
          </w:tcPr>
          <w:p w14:paraId="432F62A3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>B</w:t>
            </w:r>
            <w:r>
              <w:rPr>
                <w:sz w:val="20"/>
                <w:szCs w:val="20"/>
              </w:rPr>
              <w:t>55мм</w:t>
            </w:r>
          </w:p>
        </w:tc>
      </w:tr>
      <w:tr w14:paraId="364CB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4" w:type="dxa"/>
            <w:vAlign w:val="center"/>
          </w:tcPr>
          <w:p w14:paraId="583ED871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10" w:type="dxa"/>
            <w:vAlign w:val="center"/>
          </w:tcPr>
          <w:p w14:paraId="7E023AF8">
            <w:pPr>
              <w:rPr>
                <w:sz w:val="20"/>
              </w:rPr>
            </w:pPr>
            <w:r>
              <w:rPr>
                <w:sz w:val="20"/>
              </w:rPr>
              <w:t>Высота</w:t>
            </w:r>
          </w:p>
        </w:tc>
        <w:tc>
          <w:tcPr>
            <w:tcW w:w="4319" w:type="dxa"/>
            <w:vAlign w:val="center"/>
          </w:tcPr>
          <w:p w14:paraId="369D26B8">
            <w:pPr>
              <w:jc w:val="center"/>
              <w:rPr>
                <w:sz w:val="20"/>
              </w:rPr>
            </w:pPr>
            <w:r>
              <w:rPr>
                <w:sz w:val="20"/>
              </w:rPr>
              <w:t>2 м</w:t>
            </w:r>
          </w:p>
        </w:tc>
        <w:tc>
          <w:tcPr>
            <w:tcW w:w="2478" w:type="dxa"/>
            <w:vAlign w:val="center"/>
          </w:tcPr>
          <w:p w14:paraId="45E3269A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Н2000мм</w:t>
            </w:r>
          </w:p>
        </w:tc>
      </w:tr>
      <w:tr w14:paraId="35E3C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4" w:type="dxa"/>
            <w:vAlign w:val="center"/>
          </w:tcPr>
          <w:p w14:paraId="396AF894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10" w:type="dxa"/>
            <w:vAlign w:val="center"/>
          </w:tcPr>
          <w:p w14:paraId="57CF22AD">
            <w:pPr>
              <w:rPr>
                <w:sz w:val="20"/>
              </w:rPr>
            </w:pPr>
            <w:r>
              <w:rPr>
                <w:sz w:val="20"/>
                <w:szCs w:val="20"/>
              </w:rPr>
              <w:t xml:space="preserve">Диаметр </w:t>
            </w:r>
            <w:r>
              <w:rPr>
                <w:sz w:val="20"/>
              </w:rPr>
              <w:t>наружный</w:t>
            </w:r>
          </w:p>
        </w:tc>
        <w:tc>
          <w:tcPr>
            <w:tcW w:w="4319" w:type="dxa"/>
            <w:vAlign w:val="center"/>
          </w:tcPr>
          <w:p w14:paraId="407229AE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45мм</w:t>
            </w:r>
          </w:p>
        </w:tc>
        <w:tc>
          <w:tcPr>
            <w:tcW w:w="2478" w:type="dxa"/>
            <w:vAlign w:val="center"/>
          </w:tcPr>
          <w:p w14:paraId="76B5C216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D45мм</w:t>
            </w:r>
          </w:p>
        </w:tc>
      </w:tr>
      <w:tr w14:paraId="195D1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4" w:type="dxa"/>
            <w:vAlign w:val="center"/>
          </w:tcPr>
          <w:p w14:paraId="7EC6F771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10" w:type="dxa"/>
            <w:vAlign w:val="center"/>
          </w:tcPr>
          <w:p w14:paraId="320FA289">
            <w:pPr>
              <w:rPr>
                <w:sz w:val="20"/>
              </w:rPr>
            </w:pPr>
            <w:r>
              <w:rPr>
                <w:sz w:val="20"/>
                <w:szCs w:val="20"/>
              </w:rPr>
              <w:t>Диаметр внутренний</w:t>
            </w:r>
          </w:p>
        </w:tc>
        <w:tc>
          <w:tcPr>
            <w:tcW w:w="4319" w:type="dxa"/>
            <w:vAlign w:val="center"/>
          </w:tcPr>
          <w:p w14:paraId="1CDB3E9C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20 мм</w:t>
            </w:r>
          </w:p>
        </w:tc>
        <w:tc>
          <w:tcPr>
            <w:tcW w:w="2478" w:type="dxa"/>
            <w:vAlign w:val="center"/>
          </w:tcPr>
          <w:p w14:paraId="21FD9C2C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>d</w:t>
            </w:r>
            <w:r>
              <w:rPr>
                <w:sz w:val="20"/>
                <w:szCs w:val="20"/>
              </w:rPr>
              <w:t>20мм</w:t>
            </w:r>
          </w:p>
        </w:tc>
      </w:tr>
    </w:tbl>
    <w:p w14:paraId="01CA5F7C">
      <w:pPr>
        <w:spacing w:before="240" w:after="240"/>
        <w:ind w:firstLine="709"/>
        <w:jc w:val="both"/>
      </w:pPr>
      <w:r>
        <w:t>5.4.4. При внесении данных в номенклатуру, относящуюся к специальному форменному обмундированию необходимо указать атрибуты, описывающие размер одежды (см. таблицу №7)</w:t>
      </w:r>
    </w:p>
    <w:p w14:paraId="6CD67C6B">
      <w:pPr>
        <w:spacing w:before="240"/>
        <w:ind w:firstLine="709"/>
        <w:jc w:val="right"/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</w:pPr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>Таблица 7. Атрибуты, описывающие размер одежды.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768"/>
        <w:gridCol w:w="4292"/>
        <w:gridCol w:w="3214"/>
      </w:tblGrid>
      <w:tr w14:paraId="7E2A9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shd w:val="pct15" w:color="auto" w:fill="auto"/>
            <w:vAlign w:val="center"/>
          </w:tcPr>
          <w:p w14:paraId="3E8EDFE2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№ п.п.</w:t>
            </w:r>
          </w:p>
        </w:tc>
        <w:tc>
          <w:tcPr>
            <w:tcW w:w="1768" w:type="dxa"/>
            <w:shd w:val="pct15" w:color="auto" w:fill="auto"/>
            <w:vAlign w:val="center"/>
          </w:tcPr>
          <w:p w14:paraId="0A2FC2D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Атрибут</w:t>
            </w:r>
          </w:p>
        </w:tc>
        <w:tc>
          <w:tcPr>
            <w:tcW w:w="4292" w:type="dxa"/>
            <w:shd w:val="pct15" w:color="auto" w:fill="auto"/>
            <w:vAlign w:val="center"/>
          </w:tcPr>
          <w:p w14:paraId="65516207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Правило ввода</w:t>
            </w:r>
          </w:p>
        </w:tc>
        <w:tc>
          <w:tcPr>
            <w:tcW w:w="3214" w:type="dxa"/>
            <w:shd w:val="pct15" w:color="auto" w:fill="auto"/>
            <w:vAlign w:val="center"/>
          </w:tcPr>
          <w:p w14:paraId="0B42AA2F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Пример заполнения</w:t>
            </w:r>
          </w:p>
        </w:tc>
      </w:tr>
      <w:tr w14:paraId="54108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Align w:val="center"/>
          </w:tcPr>
          <w:p w14:paraId="42E77A9B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768" w:type="dxa"/>
            <w:vAlign w:val="center"/>
          </w:tcPr>
          <w:p w14:paraId="45576134">
            <w:pPr>
              <w:rPr>
                <w:sz w:val="20"/>
              </w:rPr>
            </w:pPr>
            <w:r>
              <w:rPr>
                <w:sz w:val="20"/>
              </w:rPr>
              <w:t>Размер</w:t>
            </w:r>
          </w:p>
        </w:tc>
        <w:tc>
          <w:tcPr>
            <w:tcW w:w="4292" w:type="dxa"/>
            <w:vAlign w:val="center"/>
          </w:tcPr>
          <w:p w14:paraId="4438DA03">
            <w:pPr>
              <w:rPr>
                <w:sz w:val="20"/>
              </w:rPr>
            </w:pPr>
            <w:r>
              <w:rPr>
                <w:sz w:val="20"/>
              </w:rPr>
              <w:t>Числовое значение в соответствии с принятой системой размеров, перед атрибутом ставится «р.»</w:t>
            </w:r>
          </w:p>
        </w:tc>
        <w:tc>
          <w:tcPr>
            <w:tcW w:w="3214" w:type="dxa"/>
            <w:vAlign w:val="center"/>
          </w:tcPr>
          <w:p w14:paraId="42FCC2AC">
            <w:pPr>
              <w:rPr>
                <w:sz w:val="20"/>
              </w:rPr>
            </w:pPr>
            <w:r>
              <w:rPr>
                <w:sz w:val="20"/>
                <w:szCs w:val="20"/>
              </w:rPr>
              <w:t>р.46-48</w:t>
            </w:r>
          </w:p>
        </w:tc>
      </w:tr>
      <w:tr w14:paraId="64032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637" w:type="dxa"/>
            <w:vAlign w:val="center"/>
          </w:tcPr>
          <w:p w14:paraId="38E94FEE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768" w:type="dxa"/>
            <w:vAlign w:val="center"/>
          </w:tcPr>
          <w:p w14:paraId="69AC276A">
            <w:pPr>
              <w:rPr>
                <w:sz w:val="20"/>
              </w:rPr>
            </w:pPr>
            <w:r>
              <w:rPr>
                <w:sz w:val="20"/>
              </w:rPr>
              <w:t>Рост</w:t>
            </w:r>
          </w:p>
        </w:tc>
        <w:tc>
          <w:tcPr>
            <w:tcW w:w="4292" w:type="dxa"/>
            <w:vAlign w:val="center"/>
          </w:tcPr>
          <w:p w14:paraId="0C70F211">
            <w:pPr>
              <w:rPr>
                <w:sz w:val="20"/>
              </w:rPr>
            </w:pPr>
            <w:r>
              <w:rPr>
                <w:sz w:val="20"/>
              </w:rPr>
              <w:t xml:space="preserve">Числовое значение в сантиметрах, «см» не указываются </w:t>
            </w:r>
          </w:p>
        </w:tc>
        <w:tc>
          <w:tcPr>
            <w:tcW w:w="3214" w:type="dxa"/>
            <w:vAlign w:val="center"/>
          </w:tcPr>
          <w:p w14:paraId="2619AD9E">
            <w:pPr>
              <w:rPr>
                <w:sz w:val="20"/>
              </w:rPr>
            </w:pPr>
            <w:r>
              <w:rPr>
                <w:sz w:val="20"/>
                <w:szCs w:val="20"/>
              </w:rPr>
              <w:t>180-186</w:t>
            </w:r>
          </w:p>
        </w:tc>
      </w:tr>
      <w:tr w14:paraId="57DA5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637" w:type="dxa"/>
            <w:vAlign w:val="center"/>
          </w:tcPr>
          <w:p w14:paraId="6762D04A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768" w:type="dxa"/>
            <w:vAlign w:val="center"/>
          </w:tcPr>
          <w:p w14:paraId="54DD982C">
            <w:pPr>
              <w:rPr>
                <w:sz w:val="20"/>
              </w:rPr>
            </w:pPr>
            <w:r>
              <w:rPr>
                <w:sz w:val="20"/>
                <w:szCs w:val="20"/>
              </w:rPr>
              <w:t>Размер и рост</w:t>
            </w:r>
          </w:p>
        </w:tc>
        <w:tc>
          <w:tcPr>
            <w:tcW w:w="4292" w:type="dxa"/>
            <w:vAlign w:val="center"/>
          </w:tcPr>
          <w:p w14:paraId="5423C266">
            <w:pPr>
              <w:rPr>
                <w:sz w:val="20"/>
              </w:rPr>
            </w:pPr>
            <w:r>
              <w:rPr>
                <w:sz w:val="20"/>
              </w:rPr>
              <w:t>Перед размером ставится «р.», указывается размер, ставится знак разделителя «/», указывается рост, «см» не указываются</w:t>
            </w:r>
          </w:p>
        </w:tc>
        <w:tc>
          <w:tcPr>
            <w:tcW w:w="3214" w:type="dxa"/>
            <w:vAlign w:val="center"/>
          </w:tcPr>
          <w:p w14:paraId="7AE5AAE7">
            <w:pPr>
              <w:rPr>
                <w:sz w:val="20"/>
              </w:rPr>
            </w:pPr>
            <w:r>
              <w:rPr>
                <w:sz w:val="20"/>
                <w:szCs w:val="20"/>
              </w:rPr>
              <w:t>р.46-48/180-186</w:t>
            </w:r>
          </w:p>
        </w:tc>
      </w:tr>
    </w:tbl>
    <w:p w14:paraId="48090CAC">
      <w:pPr>
        <w:spacing w:before="240" w:after="240"/>
        <w:ind w:firstLine="709"/>
        <w:jc w:val="both"/>
      </w:pPr>
      <w:r>
        <w:t xml:space="preserve">5.4.5. Чередующиеся размеры описывающие габариты записываются через строчную русскую букву “х” без пробелов. </w:t>
      </w:r>
    </w:p>
    <w:p w14:paraId="104EB3C0">
      <w:pPr>
        <w:spacing w:after="240"/>
        <w:ind w:firstLine="709"/>
        <w:jc w:val="both"/>
      </w:pPr>
      <w:r>
        <w:t>5.4.6. Размеры, описывающие СФО, разделяются через символ «/».</w:t>
      </w:r>
    </w:p>
    <w:p w14:paraId="3D73726E">
      <w:pPr>
        <w:spacing w:after="240"/>
        <w:ind w:firstLine="709"/>
        <w:jc w:val="both"/>
      </w:pPr>
      <w:r>
        <w:t xml:space="preserve">5.4.7. Если в шаблоне размеры/габариты разделены на отдельные атрибуты, например, «длина», «ширина», «высота», то их порядок в описании номенклатурной позиции регулируется нормативно-технической документацией. </w:t>
      </w:r>
    </w:p>
    <w:p w14:paraId="10F9CAD1">
      <w:pPr>
        <w:spacing w:after="240"/>
        <w:ind w:firstLine="709"/>
        <w:jc w:val="both"/>
      </w:pPr>
      <w:r>
        <w:t xml:space="preserve">5.4.8. Если в шаблоне размеры/габариты записываются в строку, как один атрибут, то следует добавлять значения в строку в следующей последовательности: </w:t>
      </w:r>
    </w:p>
    <w:p w14:paraId="59E67A22">
      <w:pPr>
        <w:pStyle w:val="38"/>
        <w:numPr>
          <w:ilvl w:val="0"/>
          <w:numId w:val="21"/>
        </w:numPr>
      </w:pPr>
      <w:r>
        <w:t>Dхd (наружный диаметр, внутренний диаметр);</w:t>
      </w:r>
    </w:p>
    <w:p w14:paraId="79E84BC1">
      <w:pPr>
        <w:pStyle w:val="38"/>
        <w:numPr>
          <w:ilvl w:val="0"/>
          <w:numId w:val="21"/>
        </w:numPr>
      </w:pPr>
      <w:r>
        <w:t>dхDхL (внутренний диаметр, наружный диаметр, длина);</w:t>
      </w:r>
    </w:p>
    <w:p w14:paraId="5FAF3069">
      <w:pPr>
        <w:pStyle w:val="38"/>
        <w:numPr>
          <w:ilvl w:val="0"/>
          <w:numId w:val="21"/>
        </w:numPr>
      </w:pPr>
      <w:r>
        <w:t>dхDхS (внутренний диаметр, наружный диаметр, толщина);</w:t>
      </w:r>
    </w:p>
    <w:p w14:paraId="5EE10B60">
      <w:pPr>
        <w:pStyle w:val="38"/>
        <w:numPr>
          <w:ilvl w:val="0"/>
          <w:numId w:val="21"/>
        </w:numPr>
      </w:pPr>
      <w:r>
        <w:t>dхDхLхS (внутренний диаметр, наружный диаметр, длина, толщина);</w:t>
      </w:r>
    </w:p>
    <w:p w14:paraId="7A7E5CE7">
      <w:pPr>
        <w:pStyle w:val="38"/>
        <w:numPr>
          <w:ilvl w:val="0"/>
          <w:numId w:val="21"/>
        </w:numPr>
      </w:pPr>
      <w:r>
        <w:t>DхL (диаметр, длина);</w:t>
      </w:r>
    </w:p>
    <w:p w14:paraId="5CBF13DC">
      <w:pPr>
        <w:pStyle w:val="38"/>
        <w:numPr>
          <w:ilvl w:val="0"/>
          <w:numId w:val="21"/>
        </w:numPr>
      </w:pPr>
      <w:r>
        <w:t>DхS (диаметр, толщина);</w:t>
      </w:r>
    </w:p>
    <w:p w14:paraId="2969C833">
      <w:pPr>
        <w:pStyle w:val="38"/>
        <w:numPr>
          <w:ilvl w:val="0"/>
          <w:numId w:val="21"/>
        </w:numPr>
      </w:pPr>
      <w:r>
        <w:t>DхLхS (диаметр, длина, толщина);</w:t>
      </w:r>
    </w:p>
    <w:p w14:paraId="5A3207DF">
      <w:pPr>
        <w:pStyle w:val="38"/>
        <w:numPr>
          <w:ilvl w:val="0"/>
          <w:numId w:val="21"/>
        </w:numPr>
      </w:pPr>
      <w:r>
        <w:t>DхH (диаметр, высота);</w:t>
      </w:r>
    </w:p>
    <w:p w14:paraId="4C64CA75">
      <w:pPr>
        <w:pStyle w:val="38"/>
        <w:numPr>
          <w:ilvl w:val="0"/>
          <w:numId w:val="21"/>
        </w:numPr>
      </w:pPr>
      <w:r>
        <w:t>DхHхS (диаметр, высота, толщина);</w:t>
      </w:r>
    </w:p>
    <w:p w14:paraId="51B7B92E">
      <w:pPr>
        <w:pStyle w:val="38"/>
        <w:numPr>
          <w:ilvl w:val="0"/>
          <w:numId w:val="21"/>
        </w:numPr>
      </w:pPr>
      <w:r>
        <w:t>DУхL (условный диаметр/проход, длина);</w:t>
      </w:r>
    </w:p>
    <w:p w14:paraId="1047E8EA">
      <w:pPr>
        <w:pStyle w:val="38"/>
        <w:numPr>
          <w:ilvl w:val="0"/>
          <w:numId w:val="21"/>
        </w:numPr>
      </w:pPr>
      <w:r>
        <w:t>DУхS (условный диаметр/проход, толщина);</w:t>
      </w:r>
    </w:p>
    <w:p w14:paraId="31BF0C43">
      <w:pPr>
        <w:pStyle w:val="38"/>
        <w:numPr>
          <w:ilvl w:val="0"/>
          <w:numId w:val="21"/>
        </w:numPr>
      </w:pPr>
      <w:r>
        <w:t>DУхLхS (условный диаметр/проход, длина, толщина);</w:t>
      </w:r>
    </w:p>
    <w:p w14:paraId="0946231C">
      <w:pPr>
        <w:pStyle w:val="38"/>
        <w:numPr>
          <w:ilvl w:val="0"/>
          <w:numId w:val="21"/>
        </w:numPr>
      </w:pPr>
      <w:r>
        <w:t>SQхL (B10хL300хH10)*;</w:t>
      </w:r>
    </w:p>
    <w:p w14:paraId="62BDA88F">
      <w:pPr>
        <w:pStyle w:val="38"/>
        <w:numPr>
          <w:ilvl w:val="0"/>
          <w:numId w:val="21"/>
        </w:numPr>
      </w:pPr>
      <w:r>
        <w:t>SQхS (B10хL10хS5);</w:t>
      </w:r>
    </w:p>
    <w:p w14:paraId="20F8696A">
      <w:pPr>
        <w:pStyle w:val="38"/>
        <w:numPr>
          <w:ilvl w:val="0"/>
          <w:numId w:val="21"/>
        </w:numPr>
      </w:pPr>
      <w:r>
        <w:t>SQхH (B10хL10хH25)*;</w:t>
      </w:r>
    </w:p>
    <w:p w14:paraId="74F0DDD3">
      <w:pPr>
        <w:pStyle w:val="38"/>
        <w:numPr>
          <w:ilvl w:val="0"/>
          <w:numId w:val="21"/>
        </w:numPr>
      </w:pPr>
      <w:r>
        <w:t>BхL (ширина, длина);</w:t>
      </w:r>
    </w:p>
    <w:p w14:paraId="577ACB15">
      <w:pPr>
        <w:pStyle w:val="38"/>
        <w:numPr>
          <w:ilvl w:val="0"/>
          <w:numId w:val="21"/>
        </w:numPr>
      </w:pPr>
      <w:r>
        <w:t>BхLхH (ширина, длина, высота);</w:t>
      </w:r>
    </w:p>
    <w:p w14:paraId="1CCDBFF8">
      <w:pPr>
        <w:pStyle w:val="38"/>
        <w:numPr>
          <w:ilvl w:val="0"/>
          <w:numId w:val="21"/>
        </w:numPr>
      </w:pPr>
      <w:r>
        <w:t>BхLхS (ширина, длина, толщина);</w:t>
      </w:r>
    </w:p>
    <w:p w14:paraId="1C4A50AE">
      <w:pPr>
        <w:pStyle w:val="38"/>
        <w:numPr>
          <w:ilvl w:val="0"/>
          <w:numId w:val="21"/>
        </w:numPr>
      </w:pPr>
      <w:r>
        <w:t>BхLхHхS (ширина, длина, высота, толщина);</w:t>
      </w:r>
    </w:p>
    <w:p w14:paraId="6A05F6E7">
      <w:pPr>
        <w:pStyle w:val="38"/>
        <w:numPr>
          <w:ilvl w:val="0"/>
          <w:numId w:val="21"/>
        </w:numPr>
      </w:pPr>
      <w:r>
        <w:t xml:space="preserve">BхLxh (ширина, длина, глубина); </w:t>
      </w:r>
    </w:p>
    <w:p w14:paraId="01DDF801">
      <w:pPr>
        <w:pStyle w:val="38"/>
        <w:numPr>
          <w:ilvl w:val="0"/>
          <w:numId w:val="21"/>
        </w:numPr>
      </w:pPr>
      <w:r>
        <w:t>B (сторона равностороннего треугольника или сторона квадрата).</w:t>
      </w:r>
    </w:p>
    <w:p w14:paraId="3B7FEA0C">
      <w:pPr>
        <w:spacing w:after="240"/>
        <w:jc w:val="both"/>
        <w:rPr>
          <w:i/>
          <w:iCs/>
        </w:rPr>
      </w:pPr>
      <w:r>
        <w:rPr>
          <w:i/>
          <w:iCs/>
        </w:rPr>
        <w:t>(*) при заполнении строк размерами/габаритами предпочтительно вместо h(глубина), использовать H(высота).</w:t>
      </w:r>
    </w:p>
    <w:p w14:paraId="4869737F">
      <w:pPr>
        <w:spacing w:after="240"/>
        <w:ind w:firstLine="709"/>
        <w:jc w:val="both"/>
      </w:pPr>
      <w:r>
        <w:t>5.4.9. При указании габаритных размеров для сложных изделий различных форм, в зависимости от функционального назначения и конструктивных особенностей, необходимо соблюдать следующий порядок записи:</w:t>
      </w:r>
    </w:p>
    <w:p w14:paraId="3E7312AC">
      <w:pPr>
        <w:pStyle w:val="38"/>
        <w:numPr>
          <w:ilvl w:val="0"/>
          <w:numId w:val="22"/>
        </w:numPr>
        <w:jc w:val="both"/>
      </w:pPr>
      <w:r>
        <w:t xml:space="preserve">для длинномерных изделий, имеющих </w:t>
      </w:r>
      <w:r>
        <w:rPr>
          <w:b/>
          <w:bCs/>
        </w:rPr>
        <w:t xml:space="preserve">плоскую </w:t>
      </w:r>
      <w:r>
        <w:t>форму (листы, плиты, ленты, полосы, пластины, и т.д.) в порядке: толщина – ширина – длина, например: 10х400х5000мм;</w:t>
      </w:r>
    </w:p>
    <w:p w14:paraId="4BF9B524">
      <w:pPr>
        <w:pStyle w:val="38"/>
        <w:numPr>
          <w:ilvl w:val="0"/>
          <w:numId w:val="22"/>
        </w:numPr>
        <w:jc w:val="both"/>
      </w:pPr>
      <w:r>
        <w:t xml:space="preserve">для остальных изделий, имеющих </w:t>
      </w:r>
      <w:r>
        <w:rPr>
          <w:b/>
          <w:bCs/>
        </w:rPr>
        <w:t>плоскую</w:t>
      </w:r>
      <w:r>
        <w:t xml:space="preserve"> форму (слитки, поковки, заготовки) в порядке: высота – ширина – длина, например: 100х200х500мм;</w:t>
      </w:r>
    </w:p>
    <w:p w14:paraId="575F5866">
      <w:pPr>
        <w:pStyle w:val="38"/>
        <w:numPr>
          <w:ilvl w:val="0"/>
          <w:numId w:val="22"/>
        </w:numPr>
        <w:jc w:val="both"/>
      </w:pPr>
      <w:r>
        <w:t xml:space="preserve">для длинномерных изделий </w:t>
      </w:r>
      <w:r>
        <w:rPr>
          <w:b/>
          <w:bCs/>
        </w:rPr>
        <w:t xml:space="preserve">круглого </w:t>
      </w:r>
      <w:r>
        <w:t>сечения (круги, прутки, катанка, проволока, валки, свёрла, развёртки) в порядке: диаметр – длина, например: 80х2000мм;</w:t>
      </w:r>
    </w:p>
    <w:p w14:paraId="7FC083D5">
      <w:pPr>
        <w:pStyle w:val="38"/>
        <w:numPr>
          <w:ilvl w:val="0"/>
          <w:numId w:val="22"/>
        </w:numPr>
        <w:jc w:val="both"/>
      </w:pPr>
      <w:r>
        <w:t xml:space="preserve">для остальных изделий </w:t>
      </w:r>
      <w:r>
        <w:rPr>
          <w:b/>
          <w:bCs/>
        </w:rPr>
        <w:t>цилиндрической</w:t>
      </w:r>
      <w:r>
        <w:t xml:space="preserve"> формы (цилиндрические слитки, поковки, заготовки и т.д.) в порядке: диаметр – высота, например: 100х200мм;</w:t>
      </w:r>
    </w:p>
    <w:p w14:paraId="54A66B1C">
      <w:pPr>
        <w:pStyle w:val="38"/>
        <w:numPr>
          <w:ilvl w:val="0"/>
          <w:numId w:val="22"/>
        </w:numPr>
        <w:jc w:val="both"/>
      </w:pPr>
      <w:r>
        <w:t xml:space="preserve">для труб </w:t>
      </w:r>
      <w:r>
        <w:rPr>
          <w:b/>
          <w:bCs/>
        </w:rPr>
        <w:t>общего назначения</w:t>
      </w:r>
      <w:r>
        <w:t xml:space="preserve">, кроме водопроводных (водогазопроводных) в порядке: наружный диаметр – толщина стенки – длина, например: 100х5х1000мм; </w:t>
      </w:r>
    </w:p>
    <w:p w14:paraId="77B10F63">
      <w:pPr>
        <w:pStyle w:val="38"/>
        <w:numPr>
          <w:ilvl w:val="0"/>
          <w:numId w:val="22"/>
        </w:numPr>
        <w:jc w:val="both"/>
      </w:pPr>
      <w:r>
        <w:t xml:space="preserve">для труб </w:t>
      </w:r>
      <w:r>
        <w:rPr>
          <w:b/>
          <w:bCs/>
        </w:rPr>
        <w:t>водопроводных (водогазопроводных)</w:t>
      </w:r>
      <w:r>
        <w:t xml:space="preserve"> в порядке: условный проход – толщина стенки – длина, например: 25х2х1000мм; </w:t>
      </w:r>
    </w:p>
    <w:p w14:paraId="15EE3257">
      <w:pPr>
        <w:pStyle w:val="38"/>
        <w:numPr>
          <w:ilvl w:val="0"/>
          <w:numId w:val="22"/>
        </w:numPr>
        <w:jc w:val="both"/>
      </w:pPr>
      <w:r>
        <w:t xml:space="preserve">для </w:t>
      </w:r>
      <w:r>
        <w:rPr>
          <w:b/>
          <w:bCs/>
        </w:rPr>
        <w:t>полуфабрикатов</w:t>
      </w:r>
      <w:r>
        <w:t xml:space="preserve"> и </w:t>
      </w:r>
      <w:r>
        <w:rPr>
          <w:b/>
          <w:bCs/>
        </w:rPr>
        <w:t>изделий круглого сечения</w:t>
      </w:r>
      <w:r>
        <w:t xml:space="preserve"> с внутренним отверстием (цилиндрические полые слитки, отливки, заготовки, кольца, втулки, трубные заготовки) в порядке: наружный диаметр – внутренний диаметр – высота, например: 25х10х20мм; </w:t>
      </w:r>
    </w:p>
    <w:p w14:paraId="3EB9C3B3">
      <w:pPr>
        <w:pStyle w:val="38"/>
        <w:numPr>
          <w:ilvl w:val="0"/>
          <w:numId w:val="22"/>
        </w:numPr>
        <w:jc w:val="both"/>
      </w:pPr>
      <w:r>
        <w:t xml:space="preserve">для </w:t>
      </w:r>
      <w:r>
        <w:rPr>
          <w:b/>
          <w:bCs/>
        </w:rPr>
        <w:t>инструментов круглой формы</w:t>
      </w:r>
      <w:r>
        <w:t xml:space="preserve"> с внутренним отверстием (диски абразивные, диски для дисковых пил, и т.п.) в порядке: наружный диаметр – ширина – диаметр отверстия, например: 250х30х20мм, или аналогичное обозначение по соответствующим стандартам. </w:t>
      </w:r>
    </w:p>
    <w:p w14:paraId="3A9A54B2"/>
    <w:p w14:paraId="59840DCF">
      <w:pPr>
        <w:spacing w:after="240"/>
        <w:ind w:firstLine="709"/>
        <w:jc w:val="both"/>
      </w:pPr>
      <w:r>
        <w:t>5.4.10. Перед марками сталей, которые состоят из одних только цифр (45, 20 и т.д.) в кратком наименовании ставится сокращенное слово “ст.” (со строчной буквы), например: ст.45. Перед другими марками сталей (Ст3, Ст4, 12Х18Н10Т и т.д.) слово “ст.” как правило не ставится. В виде исключения возможно написание слова «сталь» перед марками в наименованиях деталей трубопроводов.</w:t>
      </w:r>
    </w:p>
    <w:p w14:paraId="2E8841D8">
      <w:pPr>
        <w:spacing w:after="240"/>
        <w:ind w:firstLine="709"/>
        <w:jc w:val="both"/>
      </w:pPr>
      <w:r>
        <w:t xml:space="preserve">5.4.11. Атрибуты, определяющие характеристики веса, используемые в процессах складского хранения и логистики назначаются индивидуально в процессе создания Шаблонов класса. </w:t>
      </w:r>
    </w:p>
    <w:p w14:paraId="3C52C400">
      <w:pPr>
        <w:spacing w:after="240"/>
        <w:ind w:firstLine="709"/>
      </w:pPr>
      <w:r>
        <w:t>Примеры атрибутов, описывающих Вес представлены ниже</w:t>
      </w:r>
    </w:p>
    <w:p w14:paraId="4E36073F">
      <w:pPr>
        <w:pStyle w:val="38"/>
        <w:numPr>
          <w:ilvl w:val="0"/>
          <w:numId w:val="23"/>
        </w:numPr>
        <w:spacing w:after="160" w:line="259" w:lineRule="auto"/>
        <w:ind w:left="1134"/>
        <w:jc w:val="both"/>
      </w:pPr>
      <w:r>
        <w:t>Вес единицы (нетто) – Вес самого изделия без упаковки.</w:t>
      </w:r>
    </w:p>
    <w:p w14:paraId="09C0CE29">
      <w:pPr>
        <w:pStyle w:val="38"/>
        <w:numPr>
          <w:ilvl w:val="0"/>
          <w:numId w:val="23"/>
        </w:numPr>
        <w:spacing w:after="160" w:line="259" w:lineRule="auto"/>
        <w:ind w:left="1134"/>
        <w:jc w:val="both"/>
      </w:pPr>
      <w:r>
        <w:t>Вес брутто (единицы) – Вес изделия в потребительской упаковке.</w:t>
      </w:r>
    </w:p>
    <w:p w14:paraId="44B1BF4E">
      <w:pPr>
        <w:pStyle w:val="38"/>
        <w:numPr>
          <w:ilvl w:val="0"/>
          <w:numId w:val="23"/>
        </w:numPr>
        <w:spacing w:after="160" w:line="259" w:lineRule="auto"/>
        <w:ind w:left="1134"/>
        <w:jc w:val="both"/>
      </w:pPr>
      <w:r>
        <w:t>Вес упаковки – Вес упаковки = Вес брутто - Вес единицы.</w:t>
      </w:r>
    </w:p>
    <w:p w14:paraId="7204E6F4">
      <w:pPr>
        <w:pStyle w:val="38"/>
        <w:numPr>
          <w:ilvl w:val="0"/>
          <w:numId w:val="23"/>
        </w:numPr>
        <w:spacing w:after="160" w:line="259" w:lineRule="auto"/>
        <w:ind w:left="1134"/>
        <w:jc w:val="both"/>
      </w:pPr>
      <w:r>
        <w:t>Количество в коробе – Количество единиц продукции в базовой транспортной таре.</w:t>
      </w:r>
    </w:p>
    <w:p w14:paraId="411D13C1">
      <w:pPr>
        <w:pStyle w:val="38"/>
        <w:numPr>
          <w:ilvl w:val="0"/>
          <w:numId w:val="23"/>
        </w:numPr>
        <w:spacing w:after="160" w:line="259" w:lineRule="auto"/>
        <w:ind w:left="1134"/>
        <w:jc w:val="both"/>
      </w:pPr>
      <w:r>
        <w:t>Вес короба брутто – Полный вес короба с товаром.</w:t>
      </w:r>
    </w:p>
    <w:p w14:paraId="138BA95C">
      <w:pPr>
        <w:pStyle w:val="38"/>
        <w:numPr>
          <w:ilvl w:val="0"/>
          <w:numId w:val="23"/>
        </w:numPr>
        <w:spacing w:after="160" w:line="259" w:lineRule="auto"/>
        <w:ind w:left="1134"/>
        <w:jc w:val="both"/>
      </w:pPr>
      <w:r>
        <w:t>Количество коробов на паллете – Сколько коробов помещается на одну стандартную паллету (евро, финская и т.д.).</w:t>
      </w:r>
    </w:p>
    <w:p w14:paraId="6FECE484">
      <w:pPr>
        <w:pStyle w:val="38"/>
        <w:numPr>
          <w:ilvl w:val="0"/>
          <w:numId w:val="23"/>
        </w:numPr>
        <w:spacing w:after="160" w:line="259" w:lineRule="auto"/>
        <w:ind w:left="1134"/>
        <w:jc w:val="both"/>
      </w:pPr>
      <w:r>
        <w:t xml:space="preserve">Вес паллеты брутто – Вес паллеты = (Вес короба брутто </w:t>
      </w:r>
      <w:r>
        <w:rPr>
          <w:lang w:val="en-US"/>
        </w:rPr>
        <w:t>x</w:t>
      </w:r>
      <w:r>
        <w:t xml:space="preserve"> Кол-во коробов на паллете) + Вес паллеты.</w:t>
      </w:r>
    </w:p>
    <w:p w14:paraId="7F6E8579">
      <w:pPr>
        <w:spacing w:after="240"/>
        <w:ind w:firstLine="709"/>
        <w:jc w:val="both"/>
      </w:pPr>
      <w:r>
        <w:br w:type="page"/>
      </w:r>
    </w:p>
    <w:p w14:paraId="6239E4D4">
      <w:pPr>
        <w:spacing w:after="160" w:line="259" w:lineRule="auto"/>
        <w:rPr>
          <w:highlight w:val="yellow"/>
        </w:rPr>
      </w:pPr>
    </w:p>
    <w:p w14:paraId="2FF405A0">
      <w:pPr>
        <w:pStyle w:val="64"/>
        <w:numPr>
          <w:ilvl w:val="0"/>
          <w:numId w:val="10"/>
        </w:numPr>
      </w:pPr>
      <w:bookmarkStart w:id="42" w:name="_Toc211008667"/>
      <w:r>
        <w:t>ИСХОДНЫЕ ДАННЫЕ ДЛЯ НОРМАЛИЗАЦИИ</w:t>
      </w:r>
      <w:bookmarkEnd w:id="42"/>
    </w:p>
    <w:p w14:paraId="71CA5CE3">
      <w:pPr>
        <w:spacing w:after="240"/>
        <w:ind w:firstLine="709"/>
        <w:jc w:val="both"/>
        <w:rPr>
          <w:color w:val="EE0000"/>
          <w:lang w:eastAsia="en-US"/>
        </w:rPr>
      </w:pPr>
      <w:r>
        <w:rPr>
          <w:lang w:eastAsia="en-US"/>
        </w:rPr>
        <w:t xml:space="preserve">Исходными данными для нормализации справочника номенклатуры и вспомогательных справочников являются данные существующих информационных систем ООО "ГПМ Верхне Менкече", АО "Сарылах-Сурьма" и ООО "Звезда" – БД 1С БП КОРП.  </w:t>
      </w:r>
    </w:p>
    <w:p w14:paraId="7B5A63ED">
      <w:pPr>
        <w:spacing w:after="240"/>
        <w:ind w:firstLine="709"/>
        <w:jc w:val="both"/>
        <w:rPr>
          <w:lang w:eastAsia="en-US"/>
        </w:rPr>
      </w:pPr>
      <w:r>
        <w:rPr>
          <w:lang w:eastAsia="en-US"/>
        </w:rPr>
        <w:t xml:space="preserve">Кроме того, используются и другие источники данных, детальный состав которых для каждого справочника указан в п. 8.1.1 и 8.2.1 данной Методики. </w:t>
      </w:r>
    </w:p>
    <w:p w14:paraId="55B877DA">
      <w:pPr>
        <w:spacing w:after="240"/>
        <w:ind w:firstLine="709"/>
        <w:jc w:val="both"/>
        <w:rPr>
          <w:lang w:eastAsia="en-US"/>
        </w:rPr>
      </w:pPr>
      <w:r>
        <w:rPr>
          <w:lang w:eastAsia="en-US"/>
        </w:rPr>
        <w:t xml:space="preserve">Классификационные признаки номенклатуры определены в документе «Стандарт классификации справочника номенклатуры ООО «Горнорудный Майнинг». </w:t>
      </w:r>
    </w:p>
    <w:p w14:paraId="7EC54A8F">
      <w:pPr>
        <w:ind w:firstLine="709"/>
        <w:jc w:val="both"/>
        <w:rPr>
          <w:lang w:eastAsia="en-US"/>
        </w:rPr>
      </w:pPr>
    </w:p>
    <w:p w14:paraId="1B61335E">
      <w:pPr>
        <w:spacing w:after="160" w:line="259" w:lineRule="auto"/>
        <w:rPr>
          <w:rFonts w:eastAsiaTheme="minorEastAsia" w:cstheme="minorBidi"/>
          <w:b/>
          <w:szCs w:val="22"/>
          <w:lang w:eastAsia="en-US"/>
        </w:rPr>
      </w:pPr>
      <w:r>
        <w:br w:type="page"/>
      </w:r>
    </w:p>
    <w:p w14:paraId="71647C6C">
      <w:pPr>
        <w:pStyle w:val="64"/>
        <w:numPr>
          <w:ilvl w:val="0"/>
          <w:numId w:val="10"/>
        </w:numPr>
      </w:pPr>
      <w:bookmarkStart w:id="43" w:name="_Toc211008668"/>
      <w:r>
        <w:t>ПРЕДВАРИТЕЛЬНЫЕ МЕРОПРИЯТИЯ</w:t>
      </w:r>
      <w:bookmarkEnd w:id="43"/>
    </w:p>
    <w:p w14:paraId="21A27876">
      <w:pPr>
        <w:spacing w:after="240"/>
        <w:ind w:firstLine="709"/>
        <w:jc w:val="both"/>
        <w:rPr>
          <w:lang w:eastAsia="en-US"/>
        </w:rPr>
      </w:pPr>
      <w:r>
        <w:rPr>
          <w:lang w:eastAsia="en-US"/>
        </w:rPr>
        <w:t xml:space="preserve">Мероприятия, которые необходимо выполнить до старта работ по нормализации данных: </w:t>
      </w:r>
    </w:p>
    <w:p w14:paraId="70F3FC4A">
      <w:pPr>
        <w:pStyle w:val="38"/>
        <w:numPr>
          <w:ilvl w:val="0"/>
          <w:numId w:val="24"/>
        </w:numPr>
        <w:ind w:left="1134"/>
      </w:pPr>
      <w:r>
        <w:t xml:space="preserve">Согласование и утверждение проектной документации: </w:t>
      </w:r>
    </w:p>
    <w:p w14:paraId="5B229047">
      <w:pPr>
        <w:pStyle w:val="38"/>
        <w:numPr>
          <w:ilvl w:val="0"/>
          <w:numId w:val="25"/>
        </w:numPr>
      </w:pPr>
      <w:r>
        <w:t>Отчет об обследовании.</w:t>
      </w:r>
    </w:p>
    <w:p w14:paraId="5805D520">
      <w:pPr>
        <w:pStyle w:val="38"/>
        <w:numPr>
          <w:ilvl w:val="0"/>
          <w:numId w:val="25"/>
        </w:numPr>
      </w:pPr>
      <w:r>
        <w:t>Стандарт классификации.</w:t>
      </w:r>
    </w:p>
    <w:p w14:paraId="72CE0497">
      <w:pPr>
        <w:pStyle w:val="38"/>
        <w:numPr>
          <w:ilvl w:val="0"/>
          <w:numId w:val="25"/>
        </w:numPr>
      </w:pPr>
      <w:r>
        <w:t>Методика нормализации.</w:t>
      </w:r>
    </w:p>
    <w:p w14:paraId="6D2B8A91">
      <w:pPr>
        <w:pStyle w:val="38"/>
        <w:numPr>
          <w:ilvl w:val="0"/>
          <w:numId w:val="24"/>
        </w:numPr>
        <w:ind w:left="1134"/>
      </w:pPr>
      <w:r>
        <w:t>Выгрузка и предварительный анализ данных.</w:t>
      </w:r>
    </w:p>
    <w:p w14:paraId="3A6FCC18">
      <w:pPr>
        <w:pStyle w:val="38"/>
        <w:numPr>
          <w:ilvl w:val="0"/>
          <w:numId w:val="24"/>
        </w:numPr>
        <w:ind w:left="1134"/>
      </w:pPr>
      <w:r>
        <w:t>Описание решений по учету требований представителей Заказчика.</w:t>
      </w:r>
    </w:p>
    <w:p w14:paraId="6DF59274">
      <w:pPr>
        <w:pStyle w:val="38"/>
        <w:numPr>
          <w:ilvl w:val="0"/>
          <w:numId w:val="24"/>
        </w:numPr>
        <w:ind w:left="1134"/>
      </w:pPr>
      <w:r>
        <w:t xml:space="preserve">Решение методологических вопросов, влияющих на результаты нормализации.  </w:t>
      </w:r>
    </w:p>
    <w:p w14:paraId="03DF909F">
      <w:pPr>
        <w:spacing w:before="240" w:after="240"/>
        <w:ind w:firstLine="709"/>
        <w:jc w:val="both"/>
      </w:pPr>
      <w:r>
        <w:t xml:space="preserve">В случае невыполнения предварительных мероприятий сроки нормализации могут быть пересмотрены в большую сторону по согласованию Заказчика и Исполнителя. </w:t>
      </w:r>
    </w:p>
    <w:p w14:paraId="6FAB3912">
      <w:pPr>
        <w:pStyle w:val="66"/>
      </w:pPr>
      <w:bookmarkStart w:id="44" w:name="_Toc211008669"/>
      <w:r>
        <w:t>7.1. Выгрузка и предварительный анализ данных</w:t>
      </w:r>
      <w:bookmarkEnd w:id="44"/>
    </w:p>
    <w:p w14:paraId="16B96892">
      <w:pPr>
        <w:spacing w:after="240"/>
        <w:ind w:firstLine="709"/>
        <w:jc w:val="both"/>
      </w:pPr>
      <w:r>
        <w:t xml:space="preserve">Предварительный анализ данных выполнен в процессе обследования текущего состояния справочников номенклатуры. </w:t>
      </w:r>
    </w:p>
    <w:p w14:paraId="61ED546C">
      <w:pPr>
        <w:spacing w:after="240"/>
        <w:ind w:firstLine="709"/>
        <w:jc w:val="both"/>
        <w:rPr>
          <w:rFonts w:cstheme="majorHAnsi"/>
        </w:rPr>
      </w:pPr>
      <w:r>
        <w:t xml:space="preserve">Выполнена выгрузка данных из существующих </w:t>
      </w:r>
      <w:r>
        <w:rPr>
          <w:lang w:eastAsia="en-US"/>
        </w:rPr>
        <w:t xml:space="preserve">БД </w:t>
      </w:r>
      <w:r>
        <w:t xml:space="preserve">1С БП КОРП </w:t>
      </w:r>
      <w:r>
        <w:rPr>
          <w:rFonts w:cstheme="majorHAnsi"/>
        </w:rPr>
        <w:t xml:space="preserve">ООО "ГПМ Верхне Менкече", АО "Сарылах-Сурьма" и ООО "Звезда". Определен объем и глубина нормализации данных. </w:t>
      </w:r>
    </w:p>
    <w:p w14:paraId="68CC9397">
      <w:pPr>
        <w:spacing w:after="240"/>
        <w:ind w:firstLine="709"/>
        <w:jc w:val="both"/>
      </w:pPr>
      <w:r>
        <w:t xml:space="preserve">Результаты анализа данных зафиксированы в документе «Отчёт об обследовании справочника Номенклатура в части процессов нормализации для ООО «Горнорудный Майнинг». </w:t>
      </w:r>
    </w:p>
    <w:p w14:paraId="56CFBB3B">
      <w:pPr>
        <w:spacing w:after="240"/>
        <w:ind w:firstLine="709"/>
        <w:jc w:val="both"/>
      </w:pPr>
      <w:r>
        <w:t>Для проведения фактической нормализации необходимо предоставление выгрузки актуальных данных справочника номенклатуры и вспомогательных справочников в согласованных шаблонах и объеме данных на согласованную дату.</w:t>
      </w:r>
    </w:p>
    <w:p w14:paraId="79FB169C">
      <w:pPr>
        <w:pStyle w:val="66"/>
      </w:pPr>
      <w:bookmarkStart w:id="45" w:name="_Toc211008670"/>
      <w:r>
        <w:t>7.2. Реализация требований представителей Заказчика</w:t>
      </w:r>
      <w:bookmarkEnd w:id="45"/>
    </w:p>
    <w:p w14:paraId="309F5150">
      <w:pPr>
        <w:spacing w:after="240"/>
        <w:ind w:firstLine="709"/>
        <w:jc w:val="both"/>
      </w:pPr>
      <w:r>
        <w:t xml:space="preserve">Требования представителей Заказчика, которые должны быть реализованы на этапе разработки методики нормализации, зафиксированы в документе «Отчёт об обследовании справочника Номенклатура в части процессов нормализации для ООО «Горнорудный Майнинг» (см. п. 7 Отчета об обследовании). </w:t>
      </w:r>
    </w:p>
    <w:p w14:paraId="6AFF409A">
      <w:pPr>
        <w:spacing w:after="240"/>
        <w:ind w:firstLine="709"/>
        <w:jc w:val="both"/>
      </w:pPr>
      <w:r>
        <w:t xml:space="preserve">Информация по реализации данных требований приведена в таблице №8. </w:t>
      </w:r>
    </w:p>
    <w:p w14:paraId="05A13536">
      <w:pPr>
        <w:ind w:firstLine="360"/>
        <w:jc w:val="right"/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</w:pPr>
      <w:r>
        <w:t xml:space="preserve"> </w:t>
      </w:r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>Таблица 8. Реализация требований представителей Заказчика.</w:t>
      </w:r>
    </w:p>
    <w:tbl>
      <w:tblPr>
        <w:tblStyle w:val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968"/>
        <w:gridCol w:w="2804"/>
        <w:gridCol w:w="2804"/>
      </w:tblGrid>
      <w:tr w14:paraId="46A0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7" w:type="pct"/>
            <w:tcBorders>
              <w:bottom w:val="single" w:color="auto" w:sz="4" w:space="0"/>
            </w:tcBorders>
            <w:shd w:val="pct15" w:color="auto" w:fill="auto"/>
            <w:vAlign w:val="center"/>
          </w:tcPr>
          <w:p w14:paraId="1482FDEF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№ п.п.</w:t>
            </w:r>
          </w:p>
        </w:tc>
        <w:tc>
          <w:tcPr>
            <w:tcW w:w="1957" w:type="pct"/>
            <w:tcBorders>
              <w:bottom w:val="single" w:color="auto" w:sz="4" w:space="0"/>
            </w:tcBorders>
            <w:shd w:val="pct15" w:color="auto" w:fill="auto"/>
            <w:vAlign w:val="center"/>
          </w:tcPr>
          <w:p w14:paraId="00547ED6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Требование</w:t>
            </w:r>
          </w:p>
        </w:tc>
        <w:tc>
          <w:tcPr>
            <w:tcW w:w="1383" w:type="pct"/>
            <w:tcBorders>
              <w:bottom w:val="single" w:color="auto" w:sz="4" w:space="0"/>
            </w:tcBorders>
            <w:shd w:val="pct15" w:color="auto" w:fill="auto"/>
            <w:vAlign w:val="center"/>
          </w:tcPr>
          <w:p w14:paraId="44929662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Примечание, указанное в отчете об обследовании</w:t>
            </w:r>
          </w:p>
        </w:tc>
        <w:tc>
          <w:tcPr>
            <w:tcW w:w="1383" w:type="pct"/>
            <w:tcBorders>
              <w:bottom w:val="single" w:color="auto" w:sz="4" w:space="0"/>
            </w:tcBorders>
            <w:shd w:val="pct15" w:color="auto" w:fill="auto"/>
            <w:vAlign w:val="center"/>
          </w:tcPr>
          <w:p w14:paraId="52D6AC9A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Фактическая реализация</w:t>
            </w:r>
          </w:p>
        </w:tc>
      </w:tr>
      <w:tr w14:paraId="65684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5000" w:type="pct"/>
            <w:gridSpan w:val="4"/>
            <w:shd w:val="pct10" w:color="auto" w:fill="auto"/>
            <w:vAlign w:val="center"/>
          </w:tcPr>
          <w:p w14:paraId="0F39BA75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Требования, зафиксированные в таблице 20 отчета об обследовании</w:t>
            </w:r>
          </w:p>
          <w:p w14:paraId="28147403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(только в части методики нормализации)</w:t>
            </w:r>
          </w:p>
        </w:tc>
      </w:tr>
      <w:tr w14:paraId="5FCB2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" w:type="pct"/>
            <w:vAlign w:val="center"/>
          </w:tcPr>
          <w:p w14:paraId="6C150FD6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957" w:type="pct"/>
          </w:tcPr>
          <w:p w14:paraId="7F0D7E92">
            <w:pPr>
              <w:rPr>
                <w:sz w:val="20"/>
              </w:rPr>
            </w:pPr>
            <w:r>
              <w:rPr>
                <w:iCs/>
                <w:sz w:val="20"/>
              </w:rPr>
              <w:t>Требуется разработать правила ведения данных в поле Артикул.</w:t>
            </w:r>
          </w:p>
        </w:tc>
        <w:tc>
          <w:tcPr>
            <w:tcW w:w="1383" w:type="pct"/>
          </w:tcPr>
          <w:p w14:paraId="43BDB4BB">
            <w:pPr>
              <w:rPr>
                <w:sz w:val="20"/>
              </w:rPr>
            </w:pPr>
            <w:r>
              <w:rPr>
                <w:iCs/>
                <w:sz w:val="20"/>
              </w:rPr>
              <w:t>Будет отражено на этапе р</w:t>
            </w:r>
            <w:r>
              <w:rPr>
                <w:sz w:val="20"/>
              </w:rPr>
              <w:t>азработки</w:t>
            </w:r>
            <w:r>
              <w:rPr>
                <w:iCs/>
                <w:sz w:val="20"/>
              </w:rPr>
              <w:t xml:space="preserve"> методики нормализации</w:t>
            </w:r>
          </w:p>
        </w:tc>
        <w:tc>
          <w:tcPr>
            <w:tcW w:w="1383" w:type="pct"/>
          </w:tcPr>
          <w:p w14:paraId="03A7672A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см. раздел 5.1. Общие правила написания наименований номенклатурных позиций</w:t>
            </w:r>
          </w:p>
        </w:tc>
      </w:tr>
      <w:tr w14:paraId="336D3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" w:type="pct"/>
            <w:vAlign w:val="center"/>
          </w:tcPr>
          <w:p w14:paraId="10FCF6BF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957" w:type="pct"/>
          </w:tcPr>
          <w:p w14:paraId="5392BE33">
            <w:pPr>
              <w:rPr>
                <w:sz w:val="20"/>
              </w:rPr>
            </w:pPr>
            <w:r>
              <w:rPr>
                <w:iCs/>
                <w:sz w:val="20"/>
              </w:rPr>
              <w:t>Необходимо вести аналитику по номенклатурам, которые входят в категорию прослеживаемых товаров.</w:t>
            </w:r>
          </w:p>
        </w:tc>
        <w:tc>
          <w:tcPr>
            <w:tcW w:w="1383" w:type="pct"/>
          </w:tcPr>
          <w:p w14:paraId="3F9788F0">
            <w:pPr>
              <w:rPr>
                <w:sz w:val="20"/>
              </w:rPr>
            </w:pPr>
            <w:r>
              <w:rPr>
                <w:iCs/>
                <w:sz w:val="20"/>
              </w:rPr>
              <w:t>Будет отражено на этапе р</w:t>
            </w:r>
            <w:r>
              <w:rPr>
                <w:sz w:val="20"/>
              </w:rPr>
              <w:t>азработки</w:t>
            </w:r>
            <w:r>
              <w:rPr>
                <w:iCs/>
                <w:sz w:val="20"/>
              </w:rPr>
              <w:t xml:space="preserve"> методики нормализации.</w:t>
            </w:r>
          </w:p>
        </w:tc>
        <w:tc>
          <w:tcPr>
            <w:tcW w:w="1383" w:type="pct"/>
          </w:tcPr>
          <w:p w14:paraId="13C4E5E0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см. раздел 8.2.2. Описание структуры. Обязательные и опциональные реквизиты</w:t>
            </w:r>
          </w:p>
        </w:tc>
      </w:tr>
      <w:tr w14:paraId="6C398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" w:type="pct"/>
            <w:vAlign w:val="center"/>
          </w:tcPr>
          <w:p w14:paraId="7F6E1C01">
            <w:pPr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957" w:type="pct"/>
          </w:tcPr>
          <w:p w14:paraId="3E355DCE">
            <w:pPr>
              <w:pStyle w:val="38"/>
              <w:numPr>
                <w:ilvl w:val="0"/>
                <w:numId w:val="26"/>
              </w:numPr>
              <w:ind w:left="277"/>
              <w:rPr>
                <w:iCs/>
                <w:sz w:val="20"/>
              </w:rPr>
            </w:pPr>
            <w:r>
              <w:rPr>
                <w:iCs/>
                <w:sz w:val="20"/>
              </w:rPr>
              <w:t>Сделать поле ОКПД 2 обязательным для ведения справочника Номенклатура;</w:t>
            </w:r>
          </w:p>
          <w:p w14:paraId="205C8307">
            <w:pPr>
              <w:pStyle w:val="38"/>
              <w:numPr>
                <w:ilvl w:val="0"/>
                <w:numId w:val="26"/>
              </w:numPr>
              <w:ind w:left="277"/>
              <w:rPr>
                <w:sz w:val="20"/>
              </w:rPr>
            </w:pPr>
            <w:r>
              <w:rPr>
                <w:iCs/>
                <w:sz w:val="20"/>
              </w:rPr>
              <w:t>Необходимо разработать правила отнесения номенклатурных позиций к кодам ОКПД 2.</w:t>
            </w:r>
          </w:p>
        </w:tc>
        <w:tc>
          <w:tcPr>
            <w:tcW w:w="1383" w:type="pct"/>
          </w:tcPr>
          <w:p w14:paraId="181B5932">
            <w:pPr>
              <w:rPr>
                <w:sz w:val="20"/>
              </w:rPr>
            </w:pPr>
            <w:r>
              <w:rPr>
                <w:iCs/>
                <w:sz w:val="20"/>
              </w:rPr>
              <w:t>Будет отражено на этапе р</w:t>
            </w:r>
            <w:r>
              <w:rPr>
                <w:sz w:val="20"/>
              </w:rPr>
              <w:t>азработки</w:t>
            </w:r>
            <w:r>
              <w:rPr>
                <w:iCs/>
                <w:sz w:val="20"/>
              </w:rPr>
              <w:t xml:space="preserve"> методики нормализации.</w:t>
            </w:r>
          </w:p>
        </w:tc>
        <w:tc>
          <w:tcPr>
            <w:tcW w:w="1383" w:type="pct"/>
          </w:tcPr>
          <w:p w14:paraId="6D7AB118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 xml:space="preserve">Пункт 1: см. раздел 8.2.2. Описание структуры. Обязательные и опциональные реквизиты </w:t>
            </w:r>
          </w:p>
          <w:p w14:paraId="7BC72EB9">
            <w:pPr>
              <w:rPr>
                <w:iCs/>
                <w:sz w:val="20"/>
              </w:rPr>
            </w:pPr>
          </w:p>
          <w:p w14:paraId="3BC46427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Пункт 2: см. раздел 8.1.3.5. Порядок заполнения справочника ОКПД 2 и см. раздел 8.2.2. Описание структуры. Обязательные и опциональные реквизиты (Таблица 18. Структура справочника Номенклатура в 1C:MDM КОРП, реквизит "ОКПД 2")</w:t>
            </w:r>
          </w:p>
          <w:p w14:paraId="52CFCC14">
            <w:pPr>
              <w:rPr>
                <w:iCs/>
                <w:sz w:val="20"/>
              </w:rPr>
            </w:pPr>
          </w:p>
          <w:p w14:paraId="15B1A9E6">
            <w:pPr>
              <w:rPr>
                <w:iCs/>
                <w:sz w:val="20"/>
              </w:rPr>
            </w:pPr>
          </w:p>
        </w:tc>
      </w:tr>
      <w:tr w14:paraId="3D1E7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" w:type="pct"/>
            <w:vAlign w:val="center"/>
          </w:tcPr>
          <w:p w14:paraId="763F8FA0">
            <w:pPr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957" w:type="pct"/>
          </w:tcPr>
          <w:p w14:paraId="7F75ECB9">
            <w:pPr>
              <w:rPr>
                <w:sz w:val="20"/>
              </w:rPr>
            </w:pPr>
            <w:r>
              <w:rPr>
                <w:sz w:val="20"/>
              </w:rPr>
              <w:t>Разработать правила ведения наименований номенклатурных позиций</w:t>
            </w:r>
          </w:p>
        </w:tc>
        <w:tc>
          <w:tcPr>
            <w:tcW w:w="1383" w:type="pct"/>
          </w:tcPr>
          <w:p w14:paraId="6A07824B">
            <w:pPr>
              <w:rPr>
                <w:sz w:val="20"/>
              </w:rPr>
            </w:pPr>
            <w:r>
              <w:rPr>
                <w:iCs/>
                <w:sz w:val="20"/>
              </w:rPr>
              <w:t>Будет отражено на этапе р</w:t>
            </w:r>
            <w:r>
              <w:rPr>
                <w:sz w:val="20"/>
              </w:rPr>
              <w:t>азработки</w:t>
            </w:r>
            <w:r>
              <w:rPr>
                <w:iCs/>
                <w:sz w:val="20"/>
              </w:rPr>
              <w:t xml:space="preserve"> методики нормализации.</w:t>
            </w:r>
          </w:p>
        </w:tc>
        <w:tc>
          <w:tcPr>
            <w:tcW w:w="1383" w:type="pct"/>
          </w:tcPr>
          <w:p w14:paraId="44B5B600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см. раздел 5. Правила унификации наименований номенклатуры</w:t>
            </w:r>
          </w:p>
        </w:tc>
      </w:tr>
      <w:tr w14:paraId="19C74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" w:type="pct"/>
            <w:vAlign w:val="center"/>
          </w:tcPr>
          <w:p w14:paraId="55074661">
            <w:pPr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957" w:type="pct"/>
          </w:tcPr>
          <w:p w14:paraId="1323DB6C">
            <w:pPr>
              <w:rPr>
                <w:sz w:val="20"/>
              </w:rPr>
            </w:pPr>
            <w:r>
              <w:rPr>
                <w:sz w:val="20"/>
              </w:rPr>
              <w:t>Необходимо:</w:t>
            </w:r>
          </w:p>
          <w:p w14:paraId="61A56C17">
            <w:pPr>
              <w:pStyle w:val="38"/>
              <w:numPr>
                <w:ilvl w:val="0"/>
                <w:numId w:val="27"/>
              </w:numPr>
              <w:ind w:left="327"/>
              <w:rPr>
                <w:sz w:val="20"/>
              </w:rPr>
            </w:pPr>
            <w:r>
              <w:rPr>
                <w:sz w:val="20"/>
              </w:rPr>
              <w:t>Связывать номенклатуру с кодом производителя;</w:t>
            </w:r>
          </w:p>
          <w:p w14:paraId="22308E7E">
            <w:pPr>
              <w:pStyle w:val="38"/>
              <w:numPr>
                <w:ilvl w:val="0"/>
                <w:numId w:val="27"/>
              </w:numPr>
              <w:ind w:left="327"/>
              <w:rPr>
                <w:sz w:val="20"/>
              </w:rPr>
            </w:pPr>
            <w:r>
              <w:rPr>
                <w:sz w:val="20"/>
              </w:rPr>
              <w:t>Вести номер детали производителя (артикул)</w:t>
            </w:r>
          </w:p>
        </w:tc>
        <w:tc>
          <w:tcPr>
            <w:tcW w:w="1383" w:type="pct"/>
          </w:tcPr>
          <w:p w14:paraId="3BD72CF9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Пункты 1 и 2 будут отражены на этапе р</w:t>
            </w:r>
            <w:r>
              <w:rPr>
                <w:sz w:val="20"/>
              </w:rPr>
              <w:t>азработки</w:t>
            </w:r>
            <w:r>
              <w:rPr>
                <w:iCs/>
                <w:sz w:val="20"/>
              </w:rPr>
              <w:t xml:space="preserve"> методики нормализации</w:t>
            </w:r>
          </w:p>
          <w:p w14:paraId="48E524F2">
            <w:pPr>
              <w:rPr>
                <w:sz w:val="20"/>
              </w:rPr>
            </w:pPr>
          </w:p>
        </w:tc>
        <w:tc>
          <w:tcPr>
            <w:tcW w:w="1383" w:type="pct"/>
          </w:tcPr>
          <w:p w14:paraId="3C11D987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см. раздел 8.2.2. Описание структуры. Обязательные и опциональные реквизиты</w:t>
            </w:r>
          </w:p>
        </w:tc>
      </w:tr>
      <w:tr w14:paraId="5E178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" w:type="pct"/>
            <w:vAlign w:val="center"/>
          </w:tcPr>
          <w:p w14:paraId="0CC64884">
            <w:pPr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957" w:type="pct"/>
          </w:tcPr>
          <w:p w14:paraId="2DD8B770">
            <w:pPr>
              <w:rPr>
                <w:sz w:val="20"/>
              </w:rPr>
            </w:pPr>
            <w:r>
              <w:rPr>
                <w:sz w:val="20"/>
              </w:rPr>
              <w:t>Необходимо разработать набор атрибутов по каждому виду номенклатуры (запчасти, материалы, СИЗ и др.)</w:t>
            </w:r>
          </w:p>
        </w:tc>
        <w:tc>
          <w:tcPr>
            <w:tcW w:w="1383" w:type="pct"/>
          </w:tcPr>
          <w:p w14:paraId="6E02021A">
            <w:pPr>
              <w:rPr>
                <w:sz w:val="20"/>
              </w:rPr>
            </w:pPr>
            <w:r>
              <w:rPr>
                <w:iCs/>
                <w:sz w:val="20"/>
              </w:rPr>
              <w:t>Будет отражено на этапе р</w:t>
            </w:r>
            <w:r>
              <w:rPr>
                <w:sz w:val="20"/>
              </w:rPr>
              <w:t>азработки</w:t>
            </w:r>
            <w:r>
              <w:rPr>
                <w:iCs/>
                <w:sz w:val="20"/>
              </w:rPr>
              <w:t xml:space="preserve"> методики нормализации.</w:t>
            </w:r>
          </w:p>
        </w:tc>
        <w:tc>
          <w:tcPr>
            <w:tcW w:w="1383" w:type="pct"/>
          </w:tcPr>
          <w:p w14:paraId="027F29F0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 xml:space="preserve">см. раздел 8.2.4. Обработка текущих номенклатурных позиций </w:t>
            </w:r>
          </w:p>
          <w:p w14:paraId="1B554C71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>«Шаблоны номенклатурных позиций разрабатываются непосредственно в процессе проведения нормализации»</w:t>
            </w:r>
          </w:p>
        </w:tc>
      </w:tr>
      <w:tr w14:paraId="198EC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" w:type="pct"/>
            <w:vAlign w:val="center"/>
          </w:tcPr>
          <w:p w14:paraId="475802E3">
            <w:pPr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1957" w:type="pct"/>
          </w:tcPr>
          <w:p w14:paraId="16739D07">
            <w:pPr>
              <w:rPr>
                <w:sz w:val="20"/>
              </w:rPr>
            </w:pPr>
            <w:r>
              <w:rPr>
                <w:sz w:val="20"/>
              </w:rPr>
              <w:t>Определить ключи для исключения ввода дублей</w:t>
            </w:r>
          </w:p>
        </w:tc>
        <w:tc>
          <w:tcPr>
            <w:tcW w:w="1383" w:type="pct"/>
          </w:tcPr>
          <w:p w14:paraId="6C5BD1DC">
            <w:pPr>
              <w:rPr>
                <w:sz w:val="20"/>
              </w:rPr>
            </w:pPr>
            <w:r>
              <w:rPr>
                <w:iCs/>
                <w:sz w:val="20"/>
              </w:rPr>
              <w:t>Будет отражено на этапе р</w:t>
            </w:r>
            <w:r>
              <w:rPr>
                <w:sz w:val="20"/>
              </w:rPr>
              <w:t>азработки</w:t>
            </w:r>
            <w:r>
              <w:rPr>
                <w:iCs/>
                <w:sz w:val="20"/>
              </w:rPr>
              <w:t xml:space="preserve"> методики нормализации.</w:t>
            </w:r>
          </w:p>
        </w:tc>
        <w:tc>
          <w:tcPr>
            <w:tcW w:w="1383" w:type="pct"/>
          </w:tcPr>
          <w:p w14:paraId="01BD07E9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см. раздел 9.2.3. Ключи уникальности</w:t>
            </w:r>
          </w:p>
        </w:tc>
      </w:tr>
      <w:tr w14:paraId="21977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" w:type="pct"/>
            <w:vAlign w:val="center"/>
          </w:tcPr>
          <w:p w14:paraId="157DE1E7">
            <w:pPr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957" w:type="pct"/>
          </w:tcPr>
          <w:p w14:paraId="2E67B453">
            <w:pPr>
              <w:rPr>
                <w:bCs/>
                <w:iCs/>
                <w:sz w:val="20"/>
              </w:rPr>
            </w:pPr>
            <w:r>
              <w:rPr>
                <w:bCs/>
                <w:iCs/>
                <w:sz w:val="20"/>
              </w:rPr>
              <w:t xml:space="preserve">Требуется реализовать функционал расширения характеристик номенклатуры для детализации позиций без необходимости создания отдельных записей в справочнике. </w:t>
            </w:r>
          </w:p>
        </w:tc>
        <w:tc>
          <w:tcPr>
            <w:tcW w:w="1383" w:type="pct"/>
          </w:tcPr>
          <w:p w14:paraId="5B7D9198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Будет отражено на этапе р</w:t>
            </w:r>
            <w:r>
              <w:rPr>
                <w:sz w:val="20"/>
              </w:rPr>
              <w:t>азработки</w:t>
            </w:r>
            <w:r>
              <w:rPr>
                <w:iCs/>
                <w:sz w:val="20"/>
              </w:rPr>
              <w:t xml:space="preserve"> методики нормализации.</w:t>
            </w:r>
          </w:p>
          <w:p w14:paraId="7B474BF5">
            <w:pPr>
              <w:rPr>
                <w:iCs/>
                <w:sz w:val="20"/>
              </w:rPr>
            </w:pPr>
          </w:p>
          <w:p w14:paraId="7939EABD">
            <w:pPr>
              <w:rPr>
                <w:sz w:val="20"/>
              </w:rPr>
            </w:pPr>
          </w:p>
          <w:p w14:paraId="3DEF54DD">
            <w:pPr>
              <w:rPr>
                <w:iCs/>
                <w:sz w:val="20"/>
              </w:rPr>
            </w:pPr>
          </w:p>
        </w:tc>
        <w:tc>
          <w:tcPr>
            <w:tcW w:w="1383" w:type="pct"/>
          </w:tcPr>
          <w:p w14:paraId="33514EC7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см. раздел 8.2.2. Описание структуры. Обязательные и опциональные реквизиты</w:t>
            </w:r>
          </w:p>
          <w:p w14:paraId="4E1FD6B8">
            <w:pPr>
              <w:rPr>
                <w:iCs/>
                <w:sz w:val="20"/>
              </w:rPr>
            </w:pPr>
          </w:p>
          <w:p w14:paraId="367D2E6E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 xml:space="preserve">см. раздел 8.2.4. Обработка текущих номенклатурных позиций </w:t>
            </w:r>
          </w:p>
          <w:p w14:paraId="1DA308E9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>«Шаблоны номенклатурных позиций разрабатываются непосредственно в процессе проведения нормализации»</w:t>
            </w:r>
          </w:p>
          <w:p w14:paraId="33E29F5B">
            <w:pPr>
              <w:rPr>
                <w:iCs/>
                <w:sz w:val="20"/>
              </w:rPr>
            </w:pPr>
          </w:p>
        </w:tc>
      </w:tr>
      <w:tr w14:paraId="4816A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" w:type="pct"/>
            <w:vAlign w:val="center"/>
          </w:tcPr>
          <w:p w14:paraId="4A4B3744">
            <w:pPr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957" w:type="pct"/>
          </w:tcPr>
          <w:p w14:paraId="4293F5CF">
            <w:pPr>
              <w:rPr>
                <w:sz w:val="20"/>
              </w:rPr>
            </w:pPr>
            <w:r>
              <w:rPr>
                <w:bCs/>
                <w:iCs/>
                <w:sz w:val="20"/>
              </w:rPr>
              <w:t>Необходимо реализовать ведение РНПТ (регистрационного номера партии товара) и ДТ (декларации на товары), а также присвоение кодов ТН ВЭД для импортной номенклатуры.</w:t>
            </w:r>
          </w:p>
        </w:tc>
        <w:tc>
          <w:tcPr>
            <w:tcW w:w="1383" w:type="pct"/>
          </w:tcPr>
          <w:p w14:paraId="4149D254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Будет рассмотрено на этапе р</w:t>
            </w:r>
            <w:r>
              <w:rPr>
                <w:sz w:val="20"/>
              </w:rPr>
              <w:t>азработки</w:t>
            </w:r>
            <w:r>
              <w:rPr>
                <w:iCs/>
                <w:sz w:val="20"/>
              </w:rPr>
              <w:t xml:space="preserve"> методики нормализации в части учета соответствующего признака номенклатуры.</w:t>
            </w:r>
          </w:p>
        </w:tc>
        <w:tc>
          <w:tcPr>
            <w:tcW w:w="1383" w:type="pct"/>
          </w:tcPr>
          <w:p w14:paraId="0EA7F651">
            <w:pPr>
              <w:rPr>
                <w:sz w:val="20"/>
              </w:rPr>
            </w:pPr>
            <w:r>
              <w:rPr>
                <w:sz w:val="20"/>
              </w:rPr>
              <w:t xml:space="preserve">Требование снимается, так как не относится к справочнику номенклатура, т.к. являются учетными данными конкретных партий/серийных номеров. </w:t>
            </w:r>
          </w:p>
        </w:tc>
      </w:tr>
      <w:tr w14:paraId="62D82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7" w:type="pct"/>
            <w:vAlign w:val="center"/>
          </w:tcPr>
          <w:p w14:paraId="285D24BC">
            <w:pPr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957" w:type="pct"/>
          </w:tcPr>
          <w:p w14:paraId="185716B1">
            <w:pPr>
              <w:pStyle w:val="38"/>
              <w:numPr>
                <w:ilvl w:val="0"/>
                <w:numId w:val="28"/>
              </w:numPr>
              <w:ind w:left="443"/>
              <w:rPr>
                <w:bCs/>
                <w:sz w:val="20"/>
              </w:rPr>
            </w:pPr>
            <w:r>
              <w:rPr>
                <w:bCs/>
                <w:sz w:val="20"/>
              </w:rPr>
              <w:t>Для обеспечения унификации номенклатуры при импортных и отечественных закупках рекомендуется создавать отдельные позиции номенклатуры. Для импортных товаров необходимо вести детализированный учет следующих параметров:</w:t>
            </w:r>
          </w:p>
          <w:p w14:paraId="600E4856">
            <w:pPr>
              <w:numPr>
                <w:ilvl w:val="0"/>
                <w:numId w:val="29"/>
              </w:numPr>
              <w:tabs>
                <w:tab w:val="left" w:pos="551"/>
              </w:tabs>
              <w:ind w:left="726" w:hanging="250"/>
              <w:rPr>
                <w:bCs/>
                <w:sz w:val="20"/>
              </w:rPr>
            </w:pPr>
            <w:r>
              <w:rPr>
                <w:bCs/>
                <w:sz w:val="20"/>
              </w:rPr>
              <w:t>Страна происхождения;</w:t>
            </w:r>
          </w:p>
          <w:p w14:paraId="1EF9E263">
            <w:pPr>
              <w:numPr>
                <w:ilvl w:val="0"/>
                <w:numId w:val="29"/>
              </w:numPr>
              <w:tabs>
                <w:tab w:val="left" w:pos="551"/>
              </w:tabs>
              <w:ind w:left="726" w:hanging="250"/>
              <w:rPr>
                <w:bCs/>
                <w:sz w:val="20"/>
              </w:rPr>
            </w:pPr>
            <w:r>
              <w:rPr>
                <w:bCs/>
                <w:sz w:val="20"/>
              </w:rPr>
              <w:t>Код ТН ВЭД;</w:t>
            </w:r>
          </w:p>
          <w:p w14:paraId="736EACF4">
            <w:pPr>
              <w:numPr>
                <w:ilvl w:val="0"/>
                <w:numId w:val="29"/>
              </w:numPr>
              <w:tabs>
                <w:tab w:val="left" w:pos="551"/>
              </w:tabs>
              <w:ind w:left="726" w:hanging="250"/>
              <w:rPr>
                <w:bCs/>
                <w:sz w:val="20"/>
              </w:rPr>
            </w:pPr>
            <w:r>
              <w:rPr>
                <w:bCs/>
                <w:sz w:val="20"/>
              </w:rPr>
              <w:t>Таможенные ставки;</w:t>
            </w:r>
          </w:p>
          <w:p w14:paraId="77EE074C">
            <w:pPr>
              <w:numPr>
                <w:ilvl w:val="0"/>
                <w:numId w:val="29"/>
              </w:numPr>
              <w:tabs>
                <w:tab w:val="left" w:pos="551"/>
              </w:tabs>
              <w:ind w:left="726" w:hanging="250"/>
              <w:rPr>
                <w:bCs/>
                <w:sz w:val="20"/>
              </w:rPr>
            </w:pPr>
            <w:r>
              <w:rPr>
                <w:bCs/>
                <w:sz w:val="20"/>
              </w:rPr>
              <w:t>Дополнительные сборы;</w:t>
            </w:r>
          </w:p>
          <w:p w14:paraId="019AD5CA">
            <w:pPr>
              <w:numPr>
                <w:ilvl w:val="0"/>
                <w:numId w:val="29"/>
              </w:numPr>
              <w:tabs>
                <w:tab w:val="left" w:pos="551"/>
              </w:tabs>
              <w:ind w:left="726" w:hanging="250"/>
              <w:rPr>
                <w:bCs/>
                <w:sz w:val="20"/>
              </w:rPr>
            </w:pPr>
            <w:r>
              <w:rPr>
                <w:bCs/>
                <w:sz w:val="20"/>
              </w:rPr>
              <w:t>Ставки НДС.</w:t>
            </w:r>
          </w:p>
          <w:p w14:paraId="2C085E81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Перечисленные данные необходимы для корректного учета внешнеэкономической деятельности, формирования таможенных деклараций и расчета себестоимости с учетом импортных пошлин.</w:t>
            </w:r>
          </w:p>
          <w:p w14:paraId="581E5693">
            <w:pPr>
              <w:rPr>
                <w:bCs/>
                <w:sz w:val="20"/>
              </w:rPr>
            </w:pPr>
          </w:p>
          <w:p w14:paraId="1EEC3755">
            <w:pPr>
              <w:pStyle w:val="38"/>
              <w:numPr>
                <w:ilvl w:val="0"/>
                <w:numId w:val="28"/>
              </w:numPr>
              <w:ind w:left="301"/>
              <w:rPr>
                <w:bCs/>
                <w:sz w:val="20"/>
              </w:rPr>
            </w:pPr>
            <w:r>
              <w:rPr>
                <w:bCs/>
                <w:sz w:val="20"/>
              </w:rPr>
              <w:t>Ведение альтернативных единиц измерения, например, единица измерения для складского учета, единица измерения для заказа у поставщика;</w:t>
            </w:r>
          </w:p>
          <w:p w14:paraId="671385A7">
            <w:pPr>
              <w:rPr>
                <w:bCs/>
                <w:sz w:val="20"/>
              </w:rPr>
            </w:pPr>
          </w:p>
          <w:p w14:paraId="72FB4656">
            <w:pPr>
              <w:pStyle w:val="38"/>
              <w:numPr>
                <w:ilvl w:val="0"/>
                <w:numId w:val="28"/>
              </w:numPr>
              <w:ind w:left="301"/>
              <w:rPr>
                <w:bCs/>
                <w:sz w:val="20"/>
              </w:rPr>
            </w:pPr>
            <w:r>
              <w:rPr>
                <w:bCs/>
                <w:sz w:val="20"/>
              </w:rPr>
              <w:t>Использовать расширенный атрибутивный состав, например, для спецодежды – размерный ряд;</w:t>
            </w:r>
          </w:p>
          <w:p w14:paraId="2CC635F3">
            <w:pPr>
              <w:pStyle w:val="38"/>
              <w:rPr>
                <w:bCs/>
                <w:sz w:val="20"/>
              </w:rPr>
            </w:pPr>
          </w:p>
          <w:p w14:paraId="4B10638C">
            <w:pPr>
              <w:pStyle w:val="38"/>
              <w:numPr>
                <w:ilvl w:val="0"/>
                <w:numId w:val="28"/>
              </w:numPr>
              <w:ind w:left="301"/>
              <w:rPr>
                <w:bCs/>
                <w:sz w:val="20"/>
              </w:rPr>
            </w:pPr>
            <w:r>
              <w:rPr>
                <w:bCs/>
                <w:sz w:val="20"/>
              </w:rPr>
              <w:t>Разработать единые правила формирования наименования номенклатурных позиций;</w:t>
            </w:r>
          </w:p>
          <w:p w14:paraId="4EC7DB82">
            <w:pPr>
              <w:pStyle w:val="38"/>
              <w:rPr>
                <w:bCs/>
                <w:sz w:val="20"/>
              </w:rPr>
            </w:pPr>
          </w:p>
          <w:p w14:paraId="643CE869">
            <w:pPr>
              <w:pStyle w:val="38"/>
              <w:numPr>
                <w:ilvl w:val="0"/>
                <w:numId w:val="28"/>
              </w:numPr>
              <w:ind w:left="301"/>
              <w:rPr>
                <w:bCs/>
                <w:sz w:val="20"/>
              </w:rPr>
            </w:pPr>
            <w:r>
              <w:rPr>
                <w:bCs/>
                <w:sz w:val="20"/>
              </w:rPr>
              <w:t>Разработать правила мэппинга между номенклатурной позицией и счетом учета.</w:t>
            </w:r>
          </w:p>
          <w:p w14:paraId="0FACEA5A">
            <w:pPr>
              <w:rPr>
                <w:sz w:val="20"/>
              </w:rPr>
            </w:pPr>
          </w:p>
        </w:tc>
        <w:tc>
          <w:tcPr>
            <w:tcW w:w="1383" w:type="pct"/>
          </w:tcPr>
          <w:p w14:paraId="77A728E0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Будет рассмотрено на этапе р</w:t>
            </w:r>
            <w:r>
              <w:rPr>
                <w:sz w:val="20"/>
              </w:rPr>
              <w:t>азработки</w:t>
            </w:r>
            <w:r>
              <w:rPr>
                <w:iCs/>
                <w:sz w:val="20"/>
              </w:rPr>
              <w:t xml:space="preserve"> методики нормализации.</w:t>
            </w:r>
          </w:p>
        </w:tc>
        <w:tc>
          <w:tcPr>
            <w:tcW w:w="1383" w:type="pct"/>
          </w:tcPr>
          <w:p w14:paraId="73E0A2ED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Пункт 1: см. р</w:t>
            </w:r>
            <w:r>
              <w:rPr>
                <w:sz w:val="20"/>
              </w:rPr>
              <w:t>аздел 8.1.2.5</w:t>
            </w:r>
          </w:p>
          <w:p w14:paraId="0BD760A0">
            <w:pPr>
              <w:rPr>
                <w:iCs/>
                <w:sz w:val="20"/>
              </w:rPr>
            </w:pPr>
          </w:p>
          <w:p w14:paraId="60A29DC9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 xml:space="preserve">Реквизиты </w:t>
            </w:r>
          </w:p>
          <w:p w14:paraId="598C02AE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>«</w:t>
            </w:r>
            <w:r>
              <w:rPr>
                <w:bCs/>
                <w:i/>
                <w:sz w:val="20"/>
              </w:rPr>
              <w:t>Страна происхождения»</w:t>
            </w:r>
          </w:p>
          <w:p w14:paraId="6B4FC52B">
            <w:pPr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>«Ставки НДС»</w:t>
            </w:r>
          </w:p>
          <w:p w14:paraId="6E4BFB67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будут реализованы в 1С:</w:t>
            </w:r>
            <w:r>
              <w:rPr>
                <w:bCs/>
                <w:sz w:val="20"/>
                <w:lang w:val="en-US"/>
              </w:rPr>
              <w:t>MDM</w:t>
            </w:r>
          </w:p>
          <w:p w14:paraId="73F89720">
            <w:pPr>
              <w:rPr>
                <w:bCs/>
                <w:sz w:val="20"/>
              </w:rPr>
            </w:pPr>
          </w:p>
          <w:p w14:paraId="22CA9871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Реквизиты:</w:t>
            </w:r>
          </w:p>
          <w:p w14:paraId="5146FD98">
            <w:pPr>
              <w:rPr>
                <w:bCs/>
                <w:i/>
                <w:sz w:val="20"/>
              </w:rPr>
            </w:pPr>
            <w:r>
              <w:rPr>
                <w:i/>
                <w:sz w:val="20"/>
              </w:rPr>
              <w:t>«</w:t>
            </w:r>
            <w:r>
              <w:rPr>
                <w:bCs/>
                <w:i/>
                <w:sz w:val="20"/>
              </w:rPr>
              <w:t>Код ТН ВЭД»</w:t>
            </w:r>
          </w:p>
          <w:p w14:paraId="2B7B8231">
            <w:pPr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>«Таможенные ставки»</w:t>
            </w:r>
          </w:p>
          <w:p w14:paraId="3C3E60B3">
            <w:pPr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>«Дополнительные сборы»</w:t>
            </w:r>
          </w:p>
          <w:p w14:paraId="40109722">
            <w:pPr>
              <w:rPr>
                <w:bCs/>
                <w:sz w:val="20"/>
              </w:rPr>
            </w:pPr>
            <w:r>
              <w:rPr>
                <w:sz w:val="20"/>
              </w:rPr>
              <w:t>не относятся к справочнику номенклатура, т.к. являются учетными данными конкретных партий/серийных номеров</w:t>
            </w:r>
            <w:r>
              <w:rPr>
                <w:bCs/>
                <w:sz w:val="20"/>
              </w:rPr>
              <w:t>. Требование снимается.</w:t>
            </w:r>
          </w:p>
          <w:p w14:paraId="5782C09A">
            <w:pPr>
              <w:rPr>
                <w:sz w:val="20"/>
              </w:rPr>
            </w:pPr>
          </w:p>
          <w:p w14:paraId="4E23B833">
            <w:pPr>
              <w:rPr>
                <w:sz w:val="20"/>
              </w:rPr>
            </w:pPr>
            <w:r>
              <w:rPr>
                <w:iCs/>
                <w:sz w:val="20"/>
              </w:rPr>
              <w:t>Пункт 2: см. р</w:t>
            </w:r>
            <w:r>
              <w:rPr>
                <w:sz w:val="20"/>
              </w:rPr>
              <w:t>аздел 8.1.2.7. Описание структуры справочника Пересчет единиц измерения и</w:t>
            </w:r>
          </w:p>
          <w:p w14:paraId="4B5E57B7">
            <w:pPr>
              <w:rPr>
                <w:sz w:val="20"/>
              </w:rPr>
            </w:pPr>
            <w:r>
              <w:rPr>
                <w:sz w:val="20"/>
              </w:rPr>
              <w:t>раздел 8.1.3.5. Правила заполнения справочника Единиц измерения</w:t>
            </w:r>
          </w:p>
          <w:p w14:paraId="7D57E37D">
            <w:pPr>
              <w:rPr>
                <w:iCs/>
                <w:sz w:val="20"/>
              </w:rPr>
            </w:pPr>
          </w:p>
          <w:p w14:paraId="2FBF34B6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 xml:space="preserve">Пункт 3: см. раздел 8.2.4. Обработка текущих номенклатурных позиций </w:t>
            </w:r>
          </w:p>
          <w:p w14:paraId="5555FF29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>«Шаблоны номенклатурных позиций разрабатываются непосредственно в процессе проведения нормализации»</w:t>
            </w:r>
          </w:p>
          <w:p w14:paraId="5F2AA7F3">
            <w:pPr>
              <w:rPr>
                <w:sz w:val="20"/>
              </w:rPr>
            </w:pPr>
          </w:p>
          <w:p w14:paraId="027A103D">
            <w:pPr>
              <w:rPr>
                <w:sz w:val="20"/>
              </w:rPr>
            </w:pPr>
            <w:r>
              <w:rPr>
                <w:iCs/>
                <w:sz w:val="20"/>
              </w:rPr>
              <w:t>Пункт 4: см. р</w:t>
            </w:r>
            <w:r>
              <w:rPr>
                <w:sz w:val="20"/>
              </w:rPr>
              <w:t>аздел 5. Правила унификации наименований номенклатуры</w:t>
            </w:r>
          </w:p>
          <w:p w14:paraId="1FCDAA69">
            <w:pPr>
              <w:rPr>
                <w:sz w:val="20"/>
              </w:rPr>
            </w:pPr>
          </w:p>
          <w:p w14:paraId="3193BB47">
            <w:pPr>
              <w:rPr>
                <w:bCs/>
                <w:sz w:val="20"/>
              </w:rPr>
            </w:pPr>
            <w:r>
              <w:rPr>
                <w:iCs/>
                <w:sz w:val="20"/>
              </w:rPr>
              <w:t>Пункт 5: «План счетов» не будет вестись в 1С:</w:t>
            </w:r>
            <w:r>
              <w:rPr>
                <w:iCs/>
                <w:sz w:val="20"/>
                <w:lang w:val="en-US"/>
              </w:rPr>
              <w:t>MDM</w:t>
            </w:r>
            <w:r>
              <w:rPr>
                <w:iCs/>
                <w:sz w:val="20"/>
              </w:rPr>
              <w:t xml:space="preserve"> как вспомогательный справочник для номенклатуры, поэтому разработка </w:t>
            </w:r>
            <w:r>
              <w:rPr>
                <w:sz w:val="20"/>
              </w:rPr>
              <w:t xml:space="preserve">правил мэпинга между </w:t>
            </w:r>
            <w:r>
              <w:rPr>
                <w:bCs/>
                <w:sz w:val="20"/>
              </w:rPr>
              <w:t>номенклатурной позицией и счетами учета не входят в проект нормализации. Требование снимается.</w:t>
            </w:r>
          </w:p>
        </w:tc>
      </w:tr>
      <w:tr w14:paraId="1A57A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" w:type="pct"/>
            <w:vAlign w:val="center"/>
          </w:tcPr>
          <w:p w14:paraId="18DE2322">
            <w:pPr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957" w:type="pct"/>
          </w:tcPr>
          <w:p w14:paraId="1CF67D0F">
            <w:pPr>
              <w:rPr>
                <w:rFonts w:cstheme="minorHAnsi"/>
                <w:bCs/>
                <w:sz w:val="20"/>
              </w:rPr>
            </w:pPr>
            <w:r>
              <w:rPr>
                <w:rFonts w:cstheme="minorHAnsi"/>
                <w:bCs/>
                <w:sz w:val="20"/>
              </w:rPr>
              <w:t>Требуется нормализация НСИ;</w:t>
            </w:r>
          </w:p>
          <w:p w14:paraId="011770BA">
            <w:pPr>
              <w:pStyle w:val="38"/>
              <w:numPr>
                <w:ilvl w:val="0"/>
                <w:numId w:val="30"/>
              </w:numPr>
              <w:ind w:left="301"/>
              <w:rPr>
                <w:rFonts w:cstheme="minorHAnsi"/>
                <w:bCs/>
                <w:sz w:val="20"/>
              </w:rPr>
            </w:pPr>
            <w:r>
              <w:rPr>
                <w:rFonts w:cstheme="minorHAnsi"/>
                <w:bCs/>
                <w:sz w:val="20"/>
              </w:rPr>
              <w:t>Необходима разработка методик и регламентов ведения НСИ;</w:t>
            </w:r>
          </w:p>
          <w:p w14:paraId="26F5EFBF">
            <w:pPr>
              <w:pStyle w:val="38"/>
              <w:numPr>
                <w:ilvl w:val="0"/>
                <w:numId w:val="30"/>
              </w:numPr>
              <w:ind w:left="301"/>
              <w:rPr>
                <w:rFonts w:cstheme="minorHAnsi"/>
                <w:bCs/>
                <w:sz w:val="20"/>
              </w:rPr>
            </w:pPr>
            <w:r>
              <w:rPr>
                <w:rFonts w:cstheme="minorHAnsi"/>
                <w:bCs/>
                <w:sz w:val="20"/>
              </w:rPr>
              <w:t xml:space="preserve">Необходимо разработать правила заполнения полей в карточке номенклатуры  </w:t>
            </w:r>
          </w:p>
        </w:tc>
        <w:tc>
          <w:tcPr>
            <w:tcW w:w="1383" w:type="pct"/>
          </w:tcPr>
          <w:p w14:paraId="43FB4A21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Будет рассмотрено на этапе р</w:t>
            </w:r>
            <w:r>
              <w:rPr>
                <w:sz w:val="20"/>
              </w:rPr>
              <w:t>азработки</w:t>
            </w:r>
            <w:r>
              <w:rPr>
                <w:iCs/>
                <w:sz w:val="20"/>
              </w:rPr>
              <w:t xml:space="preserve"> методики нормализации.</w:t>
            </w:r>
          </w:p>
        </w:tc>
        <w:tc>
          <w:tcPr>
            <w:tcW w:w="1383" w:type="pct"/>
          </w:tcPr>
          <w:p w14:paraId="2E18F717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Пункт 1: В проекте нормализации предусмотрена разработка следующих документов:</w:t>
            </w:r>
          </w:p>
          <w:p w14:paraId="0ECC0087">
            <w:pPr>
              <w:pStyle w:val="38"/>
              <w:numPr>
                <w:ilvl w:val="0"/>
                <w:numId w:val="31"/>
              </w:numPr>
              <w:ind w:left="229" w:hanging="142"/>
              <w:rPr>
                <w:iCs/>
                <w:sz w:val="20"/>
              </w:rPr>
            </w:pPr>
            <w:r>
              <w:rPr>
                <w:iCs/>
                <w:sz w:val="20"/>
              </w:rPr>
              <w:t>Методика нормализации</w:t>
            </w:r>
          </w:p>
          <w:p w14:paraId="433D0659">
            <w:pPr>
              <w:pStyle w:val="38"/>
              <w:numPr>
                <w:ilvl w:val="0"/>
                <w:numId w:val="31"/>
              </w:numPr>
              <w:ind w:left="229" w:hanging="142"/>
              <w:rPr>
                <w:iCs/>
                <w:sz w:val="20"/>
              </w:rPr>
            </w:pPr>
            <w:r>
              <w:rPr>
                <w:iCs/>
                <w:sz w:val="20"/>
              </w:rPr>
              <w:t>Стандарт Классификации</w:t>
            </w:r>
          </w:p>
          <w:p w14:paraId="17294CDE">
            <w:pPr>
              <w:rPr>
                <w:iCs/>
                <w:sz w:val="20"/>
              </w:rPr>
            </w:pPr>
          </w:p>
          <w:p w14:paraId="26768D88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Разработка Регламента ведения НСИ не входит в проект нормализации. Требование снимается.</w:t>
            </w:r>
          </w:p>
          <w:p w14:paraId="2D206CAE">
            <w:pPr>
              <w:rPr>
                <w:iCs/>
                <w:sz w:val="20"/>
              </w:rPr>
            </w:pPr>
          </w:p>
          <w:p w14:paraId="7117A23B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Пункт 2: см. раздел 8.2.2. Описание структуры. Обязательные и опциональные реквизиты</w:t>
            </w:r>
          </w:p>
        </w:tc>
      </w:tr>
      <w:tr w14:paraId="2B5C6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" w:type="pct"/>
            <w:tcBorders>
              <w:bottom w:val="single" w:color="auto" w:sz="4" w:space="0"/>
            </w:tcBorders>
            <w:vAlign w:val="center"/>
          </w:tcPr>
          <w:p w14:paraId="2EFCA37A">
            <w:pPr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957" w:type="pct"/>
            <w:tcBorders>
              <w:bottom w:val="single" w:color="auto" w:sz="4" w:space="0"/>
            </w:tcBorders>
          </w:tcPr>
          <w:p w14:paraId="2D18430F">
            <w:pPr>
              <w:rPr>
                <w:sz w:val="20"/>
              </w:rPr>
            </w:pPr>
            <w:r>
              <w:rPr>
                <w:sz w:val="20"/>
              </w:rPr>
              <w:t>2) Определить ключи для исключения ввода дублей</w:t>
            </w:r>
          </w:p>
          <w:p w14:paraId="16D151B8">
            <w:pPr>
              <w:rPr>
                <w:sz w:val="20"/>
              </w:rPr>
            </w:pPr>
          </w:p>
        </w:tc>
        <w:tc>
          <w:tcPr>
            <w:tcW w:w="1383" w:type="pct"/>
            <w:tcBorders>
              <w:bottom w:val="single" w:color="auto" w:sz="4" w:space="0"/>
            </w:tcBorders>
          </w:tcPr>
          <w:p w14:paraId="7738CD51">
            <w:pPr>
              <w:rPr>
                <w:iCs/>
                <w:sz w:val="20"/>
              </w:rPr>
            </w:pPr>
            <w:r>
              <w:rPr>
                <w:sz w:val="20"/>
              </w:rPr>
              <w:t>Пункт 2 б</w:t>
            </w:r>
            <w:r>
              <w:rPr>
                <w:iCs/>
                <w:sz w:val="20"/>
              </w:rPr>
              <w:t>удет рассмотрен на этапе р</w:t>
            </w:r>
            <w:r>
              <w:rPr>
                <w:sz w:val="20"/>
              </w:rPr>
              <w:t>азработки</w:t>
            </w:r>
            <w:r>
              <w:rPr>
                <w:iCs/>
                <w:sz w:val="20"/>
              </w:rPr>
              <w:t xml:space="preserve"> методики нормализации.</w:t>
            </w:r>
          </w:p>
          <w:p w14:paraId="59299595">
            <w:pPr>
              <w:rPr>
                <w:iCs/>
                <w:sz w:val="20"/>
              </w:rPr>
            </w:pPr>
          </w:p>
        </w:tc>
        <w:tc>
          <w:tcPr>
            <w:tcW w:w="1383" w:type="pct"/>
            <w:tcBorders>
              <w:bottom w:val="single" w:color="auto" w:sz="4" w:space="0"/>
            </w:tcBorders>
          </w:tcPr>
          <w:p w14:paraId="488EB558">
            <w:pPr>
              <w:rPr>
                <w:sz w:val="20"/>
              </w:rPr>
            </w:pPr>
            <w:r>
              <w:rPr>
                <w:iCs/>
                <w:sz w:val="20"/>
              </w:rPr>
              <w:t>см. Раздел 9.2.3. Ключи уникальности</w:t>
            </w:r>
          </w:p>
        </w:tc>
      </w:tr>
      <w:tr w14:paraId="3A2F3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shd w:val="pct10" w:color="auto" w:fill="auto"/>
            <w:vAlign w:val="center"/>
          </w:tcPr>
          <w:p w14:paraId="565A7AC1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Требования, зафиксированные в таблице 21 отчета об обследовании</w:t>
            </w:r>
          </w:p>
          <w:p w14:paraId="32C634C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(только в части методики нормализации)</w:t>
            </w:r>
          </w:p>
        </w:tc>
      </w:tr>
      <w:tr w14:paraId="72B7F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7" w:type="pct"/>
            <w:vAlign w:val="center"/>
          </w:tcPr>
          <w:p w14:paraId="3F6A785F">
            <w:pPr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957" w:type="pct"/>
          </w:tcPr>
          <w:p w14:paraId="11AAEBE6">
            <w:pPr>
              <w:rPr>
                <w:sz w:val="20"/>
              </w:rPr>
            </w:pPr>
            <w:r>
              <w:rPr>
                <w:sz w:val="20"/>
              </w:rPr>
              <w:t>2) Разработать правила отнесения номенклатуры к группе (классификации);</w:t>
            </w:r>
          </w:p>
          <w:p w14:paraId="65288BC0">
            <w:pPr>
              <w:rPr>
                <w:sz w:val="20"/>
              </w:rPr>
            </w:pPr>
            <w:r>
              <w:rPr>
                <w:sz w:val="20"/>
              </w:rPr>
              <w:t>3) Разработать шаблоны для каждой группы номенклатуры;</w:t>
            </w:r>
          </w:p>
          <w:p w14:paraId="5F86439A">
            <w:pPr>
              <w:rPr>
                <w:sz w:val="20"/>
              </w:rPr>
            </w:pPr>
            <w:r>
              <w:rPr>
                <w:sz w:val="20"/>
              </w:rPr>
              <w:t>4) Разработать единый (централизованный) план счетов;</w:t>
            </w:r>
          </w:p>
          <w:p w14:paraId="7406C701">
            <w:pPr>
              <w:rPr>
                <w:sz w:val="20"/>
              </w:rPr>
            </w:pPr>
            <w:r>
              <w:rPr>
                <w:sz w:val="20"/>
              </w:rPr>
              <w:t>5) Разработать маппинг между классификацией и счетами учета – определить правила автоматического выбора счета учета для номенклатуры в соответствии с отнесением к конкретной категории, подкатегории классификации;</w:t>
            </w:r>
          </w:p>
        </w:tc>
        <w:tc>
          <w:tcPr>
            <w:tcW w:w="1383" w:type="pct"/>
          </w:tcPr>
          <w:p w14:paraId="430D6979">
            <w:pPr>
              <w:rPr>
                <w:sz w:val="20"/>
              </w:rPr>
            </w:pPr>
            <w:r>
              <w:rPr>
                <w:sz w:val="20"/>
              </w:rPr>
              <w:t>Пункты 2-5 будут отражены на этапе разработки методики нормализации.</w:t>
            </w:r>
          </w:p>
          <w:p w14:paraId="74942763">
            <w:pPr>
              <w:rPr>
                <w:iCs/>
                <w:sz w:val="20"/>
              </w:rPr>
            </w:pPr>
          </w:p>
        </w:tc>
        <w:tc>
          <w:tcPr>
            <w:tcW w:w="1383" w:type="pct"/>
          </w:tcPr>
          <w:p w14:paraId="6CEA7704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 xml:space="preserve">Пункт 2: </w:t>
            </w:r>
          </w:p>
          <w:p w14:paraId="79E4BA77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см. документ «Стандарт Классификации»</w:t>
            </w:r>
          </w:p>
          <w:p w14:paraId="56D25FF0">
            <w:pPr>
              <w:rPr>
                <w:iCs/>
                <w:sz w:val="20"/>
              </w:rPr>
            </w:pPr>
          </w:p>
          <w:p w14:paraId="5FB76C01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Пункт 3:</w:t>
            </w:r>
          </w:p>
          <w:p w14:paraId="1AB738D5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 xml:space="preserve">см. раздел 8.2.4. Обработка текущих номенклатурных позиций </w:t>
            </w:r>
          </w:p>
          <w:p w14:paraId="020C0E63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>«Шаблоны номенклатурных позиций разрабатываются непосредственно в процессе проведения нормализации»</w:t>
            </w:r>
          </w:p>
          <w:p w14:paraId="239098A0">
            <w:pPr>
              <w:rPr>
                <w:sz w:val="20"/>
              </w:rPr>
            </w:pPr>
          </w:p>
          <w:p w14:paraId="7D3BEF7D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 xml:space="preserve">Пункты 4 и 5: </w:t>
            </w:r>
          </w:p>
          <w:p w14:paraId="5E765237">
            <w:pPr>
              <w:rPr>
                <w:sz w:val="20"/>
              </w:rPr>
            </w:pPr>
            <w:r>
              <w:rPr>
                <w:iCs/>
                <w:sz w:val="20"/>
              </w:rPr>
              <w:t>«План счетов» не будет вестись в 1С:</w:t>
            </w:r>
            <w:r>
              <w:rPr>
                <w:iCs/>
                <w:sz w:val="20"/>
                <w:lang w:val="en-US"/>
              </w:rPr>
              <w:t>MDM</w:t>
            </w:r>
            <w:r>
              <w:rPr>
                <w:iCs/>
                <w:sz w:val="20"/>
              </w:rPr>
              <w:t xml:space="preserve"> как вспомогательный справочник для номенклатуры, поэтому разработка </w:t>
            </w:r>
            <w:r>
              <w:rPr>
                <w:sz w:val="20"/>
              </w:rPr>
              <w:t xml:space="preserve">правил мэпинга между </w:t>
            </w:r>
            <w:r>
              <w:rPr>
                <w:bCs/>
                <w:sz w:val="20"/>
              </w:rPr>
              <w:t>номенклатурной позицией и счетами учета не входят в проект нормализации. Требование снимается.</w:t>
            </w:r>
          </w:p>
        </w:tc>
      </w:tr>
      <w:tr w14:paraId="6229A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" w:type="pct"/>
            <w:vAlign w:val="center"/>
          </w:tcPr>
          <w:p w14:paraId="16C14F94">
            <w:pPr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957" w:type="pct"/>
          </w:tcPr>
          <w:p w14:paraId="1116913F">
            <w:pPr>
              <w:rPr>
                <w:sz w:val="20"/>
              </w:rPr>
            </w:pPr>
            <w:r>
              <w:rPr>
                <w:sz w:val="20"/>
              </w:rPr>
              <w:t>1) Разработать правила формирования наименований материалов;</w:t>
            </w:r>
          </w:p>
          <w:p w14:paraId="29CEE55F">
            <w:pPr>
              <w:rPr>
                <w:sz w:val="20"/>
              </w:rPr>
            </w:pPr>
            <w:r>
              <w:rPr>
                <w:sz w:val="20"/>
              </w:rPr>
              <w:t>2) Разработать правила заполнения поля "Артикул";</w:t>
            </w:r>
          </w:p>
          <w:p w14:paraId="01422BEE">
            <w:pPr>
              <w:rPr>
                <w:sz w:val="20"/>
              </w:rPr>
            </w:pPr>
            <w:r>
              <w:rPr>
                <w:sz w:val="20"/>
              </w:rPr>
              <w:t>3) Разработать правила заполнения поля "Производитель";</w:t>
            </w:r>
          </w:p>
          <w:p w14:paraId="629C08B3">
            <w:pPr>
              <w:rPr>
                <w:sz w:val="20"/>
              </w:rPr>
            </w:pPr>
            <w:r>
              <w:rPr>
                <w:sz w:val="20"/>
              </w:rPr>
              <w:t>4) Определить ключи для исключения ввода дублей.</w:t>
            </w:r>
          </w:p>
        </w:tc>
        <w:tc>
          <w:tcPr>
            <w:tcW w:w="1383" w:type="pct"/>
          </w:tcPr>
          <w:p w14:paraId="1706A08F">
            <w:pPr>
              <w:rPr>
                <w:sz w:val="20"/>
              </w:rPr>
            </w:pPr>
            <w:r>
              <w:rPr>
                <w:sz w:val="20"/>
              </w:rPr>
              <w:t>Пункты 1-4 будут отражены на этапе разработки методики нормализации.</w:t>
            </w:r>
          </w:p>
          <w:p w14:paraId="744A519B">
            <w:pPr>
              <w:rPr>
                <w:sz w:val="20"/>
              </w:rPr>
            </w:pPr>
          </w:p>
        </w:tc>
        <w:tc>
          <w:tcPr>
            <w:tcW w:w="1383" w:type="pct"/>
          </w:tcPr>
          <w:p w14:paraId="628F823D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Пункты 1-2: см. раздел 5. Правила унификации наименований номенклатуры</w:t>
            </w:r>
          </w:p>
          <w:p w14:paraId="0B64D2A8">
            <w:pPr>
              <w:rPr>
                <w:sz w:val="20"/>
              </w:rPr>
            </w:pPr>
          </w:p>
          <w:p w14:paraId="7B7AFF73">
            <w:pPr>
              <w:rPr>
                <w:sz w:val="20"/>
              </w:rPr>
            </w:pPr>
            <w:r>
              <w:rPr>
                <w:sz w:val="20"/>
              </w:rPr>
              <w:t>Пункт 3:</w:t>
            </w:r>
          </w:p>
          <w:p w14:paraId="5CF06D22">
            <w:pPr>
              <w:rPr>
                <w:sz w:val="20"/>
              </w:rPr>
            </w:pPr>
            <w:r>
              <w:rPr>
                <w:iCs/>
                <w:sz w:val="20"/>
              </w:rPr>
              <w:t xml:space="preserve">см. раздел </w:t>
            </w:r>
            <w:r>
              <w:rPr>
                <w:sz w:val="20"/>
              </w:rPr>
              <w:t>8.2.2. Описание структуры. Обязательные и опциональные реквизиты</w:t>
            </w:r>
          </w:p>
          <w:p w14:paraId="30BB543D">
            <w:pPr>
              <w:rPr>
                <w:sz w:val="20"/>
              </w:rPr>
            </w:pPr>
          </w:p>
          <w:p w14:paraId="5BA2923E">
            <w:pPr>
              <w:rPr>
                <w:sz w:val="20"/>
              </w:rPr>
            </w:pPr>
            <w:r>
              <w:rPr>
                <w:sz w:val="20"/>
              </w:rPr>
              <w:t>и раздел 8.1.3.4. Правила заполнения справочника Производители</w:t>
            </w:r>
          </w:p>
          <w:p w14:paraId="7DBDDFB6">
            <w:pPr>
              <w:rPr>
                <w:sz w:val="20"/>
              </w:rPr>
            </w:pPr>
          </w:p>
          <w:p w14:paraId="46D28569">
            <w:pPr>
              <w:rPr>
                <w:sz w:val="20"/>
              </w:rPr>
            </w:pPr>
            <w:r>
              <w:rPr>
                <w:sz w:val="20"/>
              </w:rPr>
              <w:t xml:space="preserve">Пункт 4: см. раздел 9.2.3. Ключи уникальности </w:t>
            </w:r>
          </w:p>
        </w:tc>
      </w:tr>
      <w:tr w14:paraId="40A81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" w:type="pct"/>
            <w:vAlign w:val="center"/>
          </w:tcPr>
          <w:p w14:paraId="732BBCFC">
            <w:pPr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1957" w:type="pct"/>
          </w:tcPr>
          <w:p w14:paraId="6FFE1644">
            <w:pPr>
              <w:rPr>
                <w:sz w:val="20"/>
              </w:rPr>
            </w:pPr>
            <w:r>
              <w:rPr>
                <w:sz w:val="20"/>
              </w:rPr>
              <w:t>1) Разработать правила формирования наименований материалов, включая правила порядка слов, написания брендов, маркировки и др.;</w:t>
            </w:r>
          </w:p>
          <w:p w14:paraId="01A91F53">
            <w:pPr>
              <w:rPr>
                <w:sz w:val="20"/>
              </w:rPr>
            </w:pPr>
            <w:r>
              <w:rPr>
                <w:sz w:val="20"/>
              </w:rPr>
              <w:t>2) Разработать единый классификатор единиц измерения;</w:t>
            </w:r>
          </w:p>
          <w:p w14:paraId="502366ED">
            <w:pPr>
              <w:rPr>
                <w:sz w:val="20"/>
              </w:rPr>
            </w:pPr>
          </w:p>
        </w:tc>
        <w:tc>
          <w:tcPr>
            <w:tcW w:w="1383" w:type="pct"/>
          </w:tcPr>
          <w:p w14:paraId="79307FA4">
            <w:pPr>
              <w:rPr>
                <w:sz w:val="20"/>
              </w:rPr>
            </w:pPr>
            <w:r>
              <w:rPr>
                <w:sz w:val="20"/>
              </w:rPr>
              <w:t>Пункты 1-2 будут отражены на этапе разработки методики нормализации.</w:t>
            </w:r>
          </w:p>
          <w:p w14:paraId="549DB14F">
            <w:pPr>
              <w:rPr>
                <w:sz w:val="20"/>
              </w:rPr>
            </w:pPr>
          </w:p>
        </w:tc>
        <w:tc>
          <w:tcPr>
            <w:tcW w:w="1383" w:type="pct"/>
          </w:tcPr>
          <w:p w14:paraId="3C422BBA">
            <w:pPr>
              <w:rPr>
                <w:sz w:val="20"/>
              </w:rPr>
            </w:pPr>
            <w:r>
              <w:rPr>
                <w:sz w:val="20"/>
              </w:rPr>
              <w:t xml:space="preserve">Пункт 1: </w:t>
            </w:r>
            <w:r>
              <w:rPr>
                <w:iCs/>
                <w:sz w:val="20"/>
              </w:rPr>
              <w:t>см. р</w:t>
            </w:r>
            <w:r>
              <w:rPr>
                <w:sz w:val="20"/>
              </w:rPr>
              <w:t>аздел 5. Правила унификации наименований номенклатуры</w:t>
            </w:r>
          </w:p>
          <w:p w14:paraId="430AC613">
            <w:pPr>
              <w:rPr>
                <w:sz w:val="20"/>
              </w:rPr>
            </w:pPr>
          </w:p>
          <w:p w14:paraId="408940EF">
            <w:pPr>
              <w:rPr>
                <w:sz w:val="20"/>
              </w:rPr>
            </w:pPr>
            <w:r>
              <w:rPr>
                <w:sz w:val="20"/>
              </w:rPr>
              <w:t>Пункт 2:</w:t>
            </w:r>
          </w:p>
          <w:p w14:paraId="61A201AD">
            <w:pPr>
              <w:rPr>
                <w:sz w:val="20"/>
              </w:rPr>
            </w:pPr>
            <w:r>
              <w:rPr>
                <w:iCs/>
                <w:sz w:val="20"/>
              </w:rPr>
              <w:t>см. р</w:t>
            </w:r>
            <w:r>
              <w:rPr>
                <w:sz w:val="20"/>
              </w:rPr>
              <w:t>аздел 5.3. Правила заполнения единиц измерения</w:t>
            </w:r>
          </w:p>
          <w:p w14:paraId="737936E0">
            <w:pPr>
              <w:rPr>
                <w:sz w:val="20"/>
              </w:rPr>
            </w:pPr>
            <w:r>
              <w:rPr>
                <w:iCs/>
                <w:sz w:val="20"/>
              </w:rPr>
              <w:t>см. р</w:t>
            </w:r>
            <w:r>
              <w:rPr>
                <w:sz w:val="20"/>
              </w:rPr>
              <w:t>аздел 8.1.3.6. Правила заполнения справочника Единиц измерения</w:t>
            </w:r>
          </w:p>
        </w:tc>
      </w:tr>
      <w:tr w14:paraId="1EA30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" w:type="pct"/>
            <w:vAlign w:val="center"/>
          </w:tcPr>
          <w:p w14:paraId="0AC445A2">
            <w:pPr>
              <w:jc w:val="center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1957" w:type="pct"/>
          </w:tcPr>
          <w:p w14:paraId="26B0027D">
            <w:pPr>
              <w:rPr>
                <w:sz w:val="20"/>
              </w:rPr>
            </w:pPr>
            <w:r>
              <w:rPr>
                <w:sz w:val="20"/>
              </w:rPr>
              <w:t>1) Разработать правила ведения агрегированных позиций;</w:t>
            </w:r>
          </w:p>
          <w:p w14:paraId="495C3673">
            <w:pPr>
              <w:rPr>
                <w:sz w:val="20"/>
              </w:rPr>
            </w:pPr>
            <w:r>
              <w:rPr>
                <w:sz w:val="20"/>
              </w:rPr>
              <w:t>2) Определить ключи для исключения ввода дублей.</w:t>
            </w:r>
          </w:p>
          <w:p w14:paraId="71A1A6BA">
            <w:pPr>
              <w:rPr>
                <w:sz w:val="20"/>
              </w:rPr>
            </w:pPr>
          </w:p>
        </w:tc>
        <w:tc>
          <w:tcPr>
            <w:tcW w:w="1383" w:type="pct"/>
          </w:tcPr>
          <w:p w14:paraId="61861C50">
            <w:pPr>
              <w:rPr>
                <w:sz w:val="20"/>
              </w:rPr>
            </w:pPr>
            <w:r>
              <w:rPr>
                <w:sz w:val="20"/>
              </w:rPr>
              <w:t>Пункты 1-2 будут отражены на этапе разработки методики нормализации.</w:t>
            </w:r>
          </w:p>
          <w:p w14:paraId="70F914E2">
            <w:pPr>
              <w:rPr>
                <w:sz w:val="20"/>
              </w:rPr>
            </w:pPr>
          </w:p>
        </w:tc>
        <w:tc>
          <w:tcPr>
            <w:tcW w:w="1383" w:type="pct"/>
          </w:tcPr>
          <w:p w14:paraId="69A40301">
            <w:pPr>
              <w:rPr>
                <w:sz w:val="20"/>
              </w:rPr>
            </w:pPr>
            <w:r>
              <w:rPr>
                <w:iCs/>
                <w:sz w:val="20"/>
              </w:rPr>
              <w:t>Пункт 1:</w:t>
            </w:r>
            <w:r>
              <w:rPr>
                <w:sz w:val="20"/>
              </w:rPr>
              <w:t xml:space="preserve"> </w:t>
            </w:r>
            <w:r>
              <w:rPr>
                <w:iCs/>
                <w:sz w:val="20"/>
              </w:rPr>
              <w:t>см. раздел 5. Правила унификации наименований номенклатуры</w:t>
            </w:r>
            <w:r>
              <w:rPr>
                <w:sz w:val="20"/>
              </w:rPr>
              <w:t xml:space="preserve">: </w:t>
            </w:r>
          </w:p>
          <w:p w14:paraId="3DC0AA98">
            <w:pPr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</w:rPr>
              <w:t>Для стандартизированных материалов, изготавливающихся по ГОСТ, ОСТ, ТУ, DIN и другим стандартам, в наименованиях номенклатурных позиций не указывается бренд, артикул, номер детали производителя и производитель.</w:t>
            </w:r>
          </w:p>
          <w:p w14:paraId="4D66ADE2">
            <w:pPr>
              <w:rPr>
                <w:i/>
                <w:iCs/>
                <w:sz w:val="20"/>
              </w:rPr>
            </w:pPr>
          </w:p>
          <w:p w14:paraId="49140001">
            <w:pPr>
              <w:rPr>
                <w:sz w:val="20"/>
              </w:rPr>
            </w:pPr>
            <w:r>
              <w:rPr>
                <w:sz w:val="20"/>
              </w:rPr>
              <w:t>Если есть потребность агрегации на более высоком уровне, то необходимо внести изменения в учетную политику Заказчика. Например, предлагается объединить канцтовары в одну запись.</w:t>
            </w:r>
          </w:p>
          <w:p w14:paraId="02285511">
            <w:pPr>
              <w:rPr>
                <w:sz w:val="20"/>
              </w:rPr>
            </w:pPr>
          </w:p>
          <w:p w14:paraId="00786CF1">
            <w:pPr>
              <w:rPr>
                <w:sz w:val="20"/>
              </w:rPr>
            </w:pPr>
            <w:r>
              <w:rPr>
                <w:iCs/>
                <w:sz w:val="20"/>
              </w:rPr>
              <w:t>Пункт 2:</w:t>
            </w:r>
            <w:r>
              <w:rPr>
                <w:sz w:val="20"/>
              </w:rPr>
              <w:t xml:space="preserve"> см. раздел 9.2.3. Ключи уникальности</w:t>
            </w:r>
          </w:p>
          <w:p w14:paraId="51AEFFC7">
            <w:pPr>
              <w:rPr>
                <w:sz w:val="20"/>
              </w:rPr>
            </w:pPr>
          </w:p>
        </w:tc>
      </w:tr>
      <w:tr w14:paraId="58846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" w:type="pct"/>
            <w:vAlign w:val="center"/>
          </w:tcPr>
          <w:p w14:paraId="6FD8A527">
            <w:pPr>
              <w:jc w:val="center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1957" w:type="pct"/>
          </w:tcPr>
          <w:p w14:paraId="6544B284">
            <w:pPr>
              <w:rPr>
                <w:sz w:val="20"/>
              </w:rPr>
            </w:pPr>
            <w:r>
              <w:rPr>
                <w:sz w:val="20"/>
              </w:rPr>
              <w:t>1) Разработать правила формирования наименований материалов в части ведения в одной классификационной группировке</w:t>
            </w:r>
          </w:p>
        </w:tc>
        <w:tc>
          <w:tcPr>
            <w:tcW w:w="1383" w:type="pct"/>
          </w:tcPr>
          <w:p w14:paraId="17815AC8">
            <w:pPr>
              <w:rPr>
                <w:sz w:val="20"/>
              </w:rPr>
            </w:pPr>
            <w:r>
              <w:rPr>
                <w:sz w:val="20"/>
              </w:rPr>
              <w:t>Входит в проект нормализации справочника Номенклатура.</w:t>
            </w:r>
          </w:p>
        </w:tc>
        <w:tc>
          <w:tcPr>
            <w:tcW w:w="1383" w:type="pct"/>
          </w:tcPr>
          <w:p w14:paraId="168CD539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см. раздел 5. Правила унификации наименований</w:t>
            </w:r>
          </w:p>
          <w:p w14:paraId="6163BA21">
            <w:pPr>
              <w:rPr>
                <w:sz w:val="20"/>
              </w:rPr>
            </w:pPr>
            <w:r>
              <w:rPr>
                <w:sz w:val="20"/>
              </w:rPr>
              <w:t>и р</w:t>
            </w:r>
            <w:r>
              <w:rPr>
                <w:iCs/>
                <w:sz w:val="20"/>
              </w:rPr>
              <w:t xml:space="preserve">аздел 8.2.4. Обработка текущих номенклатурных позиций </w:t>
            </w:r>
          </w:p>
          <w:p w14:paraId="49E87521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>«Шаблоны номенклатурных позиций разрабатываются непосредственно в процессе проведения нормализации»</w:t>
            </w:r>
          </w:p>
          <w:p w14:paraId="636D8C69">
            <w:pPr>
              <w:rPr>
                <w:sz w:val="20"/>
              </w:rPr>
            </w:pPr>
          </w:p>
        </w:tc>
      </w:tr>
      <w:tr w14:paraId="51B57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" w:type="pct"/>
            <w:vAlign w:val="center"/>
          </w:tcPr>
          <w:p w14:paraId="69C5A864">
            <w:pPr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957" w:type="pct"/>
          </w:tcPr>
          <w:p w14:paraId="1BFF6B76">
            <w:pPr>
              <w:rPr>
                <w:sz w:val="20"/>
              </w:rPr>
            </w:pPr>
            <w:r>
              <w:rPr>
                <w:sz w:val="20"/>
              </w:rPr>
              <w:t>"Дополнительные атрибуты должны быть установлены и заполнены для классификационных групп нормируемых материалов, для «общих» групп, к какому ОС подходят?"</w:t>
            </w:r>
          </w:p>
          <w:p w14:paraId="30CA5CD8">
            <w:pPr>
              <w:rPr>
                <w:sz w:val="20"/>
              </w:rPr>
            </w:pPr>
          </w:p>
          <w:p w14:paraId="6AEA1E3A">
            <w:pPr>
              <w:rPr>
                <w:sz w:val="20"/>
              </w:rPr>
            </w:pPr>
            <w:r>
              <w:rPr>
                <w:i/>
                <w:iCs/>
                <w:sz w:val="20"/>
              </w:rPr>
              <w:t>Производство – к группам позиций, например, "Фильтры", "Масло" должны быть связка один ко многим для целей применения данного материала к ОС. Это позволит, например, вовлечь существующие остатки "Фильтров" на складе. Это позволит планировать данный материал для ОС. Ответить на вопросы. Все ли нормы для планирования установили? Какие материалы взаимозаменяемы? Сколько и какого материала у нас есть определенного типа? Это группировки: "Масла", "Фильтры", "Шины", "Аккумуляторы". Цель - спланировать по нормам с учётом остатка. См. цель выше.</w:t>
            </w:r>
          </w:p>
        </w:tc>
        <w:tc>
          <w:tcPr>
            <w:tcW w:w="1383" w:type="pct"/>
          </w:tcPr>
          <w:p w14:paraId="5EE853DE">
            <w:pPr>
              <w:rPr>
                <w:sz w:val="20"/>
              </w:rPr>
            </w:pPr>
            <w:r>
              <w:rPr>
                <w:sz w:val="20"/>
              </w:rPr>
              <w:t>Необходимо:</w:t>
            </w:r>
          </w:p>
          <w:p w14:paraId="11E65BBF">
            <w:pPr>
              <w:rPr>
                <w:sz w:val="20"/>
              </w:rPr>
            </w:pPr>
            <w:r>
              <w:rPr>
                <w:sz w:val="20"/>
              </w:rPr>
              <w:t>Рассмотреть функциональность 1С на возможность ведения аналитики</w:t>
            </w:r>
          </w:p>
          <w:p w14:paraId="3296793A">
            <w:pPr>
              <w:rPr>
                <w:sz w:val="20"/>
                <w:highlight w:val="yellow"/>
              </w:rPr>
            </w:pPr>
          </w:p>
        </w:tc>
        <w:tc>
          <w:tcPr>
            <w:tcW w:w="1383" w:type="pct"/>
          </w:tcPr>
          <w:p w14:paraId="3B250176">
            <w:pPr>
              <w:rPr>
                <w:sz w:val="20"/>
              </w:rPr>
            </w:pPr>
            <w:r>
              <w:rPr>
                <w:sz w:val="20"/>
              </w:rPr>
              <w:t>Правила и принципы построения классификации определены в документе</w:t>
            </w:r>
          </w:p>
          <w:p w14:paraId="70BE79E4">
            <w:pPr>
              <w:rPr>
                <w:sz w:val="20"/>
              </w:rPr>
            </w:pPr>
            <w:r>
              <w:rPr>
                <w:sz w:val="20"/>
              </w:rPr>
              <w:t>«Стандарт Классификации»</w:t>
            </w:r>
          </w:p>
          <w:p w14:paraId="47C914A7">
            <w:pPr>
              <w:rPr>
                <w:color w:val="EE0000"/>
                <w:sz w:val="20"/>
              </w:rPr>
            </w:pPr>
          </w:p>
          <w:p w14:paraId="1C810F23">
            <w:pPr>
              <w:rPr>
                <w:sz w:val="20"/>
              </w:rPr>
            </w:pPr>
          </w:p>
        </w:tc>
      </w:tr>
      <w:tr w14:paraId="1C1A3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" w:type="pct"/>
            <w:vAlign w:val="center"/>
          </w:tcPr>
          <w:p w14:paraId="3AB3E26C">
            <w:pPr>
              <w:jc w:val="center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1957" w:type="pct"/>
          </w:tcPr>
          <w:p w14:paraId="22021271">
            <w:pPr>
              <w:rPr>
                <w:sz w:val="20"/>
              </w:rPr>
            </w:pPr>
            <w:r>
              <w:rPr>
                <w:sz w:val="20"/>
              </w:rPr>
              <w:t>Необходимо:</w:t>
            </w:r>
          </w:p>
          <w:p w14:paraId="448A3E49">
            <w:pPr>
              <w:rPr>
                <w:sz w:val="20"/>
              </w:rPr>
            </w:pPr>
            <w:r>
              <w:rPr>
                <w:sz w:val="20"/>
              </w:rPr>
              <w:t>1) Разработать правила ведения габаритов и веса в интересах логистики/склада.</w:t>
            </w:r>
          </w:p>
        </w:tc>
        <w:tc>
          <w:tcPr>
            <w:tcW w:w="1383" w:type="pct"/>
          </w:tcPr>
          <w:p w14:paraId="06844A12">
            <w:pPr>
              <w:rPr>
                <w:sz w:val="20"/>
              </w:rPr>
            </w:pPr>
            <w:r>
              <w:rPr>
                <w:sz w:val="20"/>
              </w:rPr>
              <w:t>Входит в проект нормализации справочника Номенклатура.</w:t>
            </w:r>
          </w:p>
        </w:tc>
        <w:tc>
          <w:tcPr>
            <w:tcW w:w="1383" w:type="pct"/>
          </w:tcPr>
          <w:p w14:paraId="7822F57B">
            <w:pPr>
              <w:rPr>
                <w:sz w:val="20"/>
              </w:rPr>
            </w:pPr>
            <w:r>
              <w:rPr>
                <w:iCs/>
                <w:sz w:val="20"/>
              </w:rPr>
              <w:t xml:space="preserve">см. раздел </w:t>
            </w:r>
            <w:r>
              <w:rPr>
                <w:sz w:val="20"/>
              </w:rPr>
              <w:t>5.4. Правила заполнения размеров, габаритов и других технических атрибутов</w:t>
            </w:r>
          </w:p>
        </w:tc>
      </w:tr>
      <w:tr w14:paraId="7D069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" w:type="pct"/>
            <w:vAlign w:val="center"/>
          </w:tcPr>
          <w:p w14:paraId="3494D24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1957" w:type="pct"/>
          </w:tcPr>
          <w:p w14:paraId="4C545C5D">
            <w:pPr>
              <w:rPr>
                <w:sz w:val="20"/>
              </w:rPr>
            </w:pPr>
            <w:r>
              <w:rPr>
                <w:sz w:val="20"/>
              </w:rPr>
              <w:t>Необходимо:</w:t>
            </w:r>
          </w:p>
          <w:p w14:paraId="5B6842CF">
            <w:pPr>
              <w:rPr>
                <w:sz w:val="20"/>
              </w:rPr>
            </w:pPr>
            <w:r>
              <w:rPr>
                <w:sz w:val="20"/>
              </w:rPr>
              <w:t>1) Разработать правила проверки по качеству данных.</w:t>
            </w:r>
          </w:p>
        </w:tc>
        <w:tc>
          <w:tcPr>
            <w:tcW w:w="1383" w:type="pct"/>
          </w:tcPr>
          <w:p w14:paraId="49D7F609">
            <w:pPr>
              <w:rPr>
                <w:sz w:val="20"/>
              </w:rPr>
            </w:pPr>
            <w:r>
              <w:rPr>
                <w:sz w:val="20"/>
              </w:rPr>
              <w:t>Входит в проект нормализации справочника Номенклатура.</w:t>
            </w:r>
          </w:p>
        </w:tc>
        <w:tc>
          <w:tcPr>
            <w:tcW w:w="1383" w:type="pct"/>
          </w:tcPr>
          <w:p w14:paraId="0EC817A0">
            <w:pPr>
              <w:rPr>
                <w:sz w:val="20"/>
              </w:rPr>
            </w:pPr>
            <w:r>
              <w:rPr>
                <w:iCs/>
                <w:sz w:val="20"/>
              </w:rPr>
              <w:t xml:space="preserve">см. раздел </w:t>
            </w:r>
            <w:r>
              <w:rPr>
                <w:sz w:val="20"/>
              </w:rPr>
              <w:t>9.2. Качественная оценка нормализованных данных</w:t>
            </w:r>
          </w:p>
        </w:tc>
      </w:tr>
    </w:tbl>
    <w:p w14:paraId="00726B6B">
      <w:pPr>
        <w:ind w:firstLine="360"/>
        <w:jc w:val="right"/>
        <w:rPr>
          <w:highlight w:val="green"/>
        </w:rPr>
      </w:pPr>
    </w:p>
    <w:p w14:paraId="3EF66B85">
      <w:pPr>
        <w:pStyle w:val="66"/>
      </w:pPr>
      <w:bookmarkStart w:id="46" w:name="_Toc211008671"/>
      <w:r>
        <w:t>7.3. Методологические вопросы, влияющие на результаты нормализации</w:t>
      </w:r>
      <w:bookmarkEnd w:id="46"/>
    </w:p>
    <w:p w14:paraId="0E87A237">
      <w:pPr>
        <w:spacing w:after="240"/>
        <w:ind w:firstLine="709"/>
        <w:jc w:val="both"/>
      </w:pPr>
      <w:r>
        <w:t>До выполнения нормализации справочника номенклатуры необходимо решить вопросы методологии, не входящие в функциональный объем проекта нормализации:</w:t>
      </w:r>
    </w:p>
    <w:p w14:paraId="575B4274">
      <w:pPr>
        <w:pStyle w:val="38"/>
        <w:numPr>
          <w:ilvl w:val="0"/>
          <w:numId w:val="32"/>
        </w:numPr>
        <w:ind w:left="1134"/>
        <w:jc w:val="both"/>
      </w:pPr>
      <w:r>
        <w:t>Со стороны Заказчика передать Исполнителю единый справочник Номенклатурных групп, методологию отнесения номенклатурных позиций к Номенклатурным группам.</w:t>
      </w:r>
    </w:p>
    <w:p w14:paraId="7FAE71DB">
      <w:pPr>
        <w:pStyle w:val="38"/>
        <w:numPr>
          <w:ilvl w:val="0"/>
          <w:numId w:val="32"/>
        </w:numPr>
        <w:ind w:left="1134"/>
        <w:jc w:val="both"/>
      </w:pPr>
      <w:r>
        <w:t>Со стороны Заказчика передать Исполнителю единый справочник Видов материалов, методологию отнесения номенклатурных позиций к Видам материалов.</w:t>
      </w:r>
    </w:p>
    <w:p w14:paraId="6252E1C2">
      <w:pPr>
        <w:pStyle w:val="64"/>
        <w:numPr>
          <w:ilvl w:val="0"/>
          <w:numId w:val="10"/>
        </w:numPr>
      </w:pPr>
      <w:bookmarkStart w:id="47" w:name="_Toc211008672"/>
      <w:r>
        <w:t>ПОРЯДОК ВЫПОЛНЕНИЯ НОРМАЛИЗАЦИИ</w:t>
      </w:r>
      <w:bookmarkEnd w:id="47"/>
    </w:p>
    <w:p w14:paraId="4A4878D0">
      <w:pPr>
        <w:spacing w:after="240"/>
        <w:ind w:firstLine="709"/>
        <w:jc w:val="both"/>
        <w:rPr>
          <w:lang w:eastAsia="en-US"/>
        </w:rPr>
      </w:pPr>
      <w:r>
        <w:rPr>
          <w:lang w:eastAsia="en-US"/>
        </w:rPr>
        <w:t>Нормализация базируется на основании разработанных утвержденных документов: Методика нормализации и Стандарт Классификации.</w:t>
      </w:r>
    </w:p>
    <w:p w14:paraId="43B5AEE1">
      <w:pPr>
        <w:spacing w:after="240"/>
        <w:ind w:firstLine="709"/>
      </w:pPr>
      <w:r>
        <w:t>В ходе нормализации выполняются следующие работы:</w:t>
      </w:r>
    </w:p>
    <w:p w14:paraId="62E02A76">
      <w:pPr>
        <w:pStyle w:val="38"/>
        <w:numPr>
          <w:ilvl w:val="0"/>
          <w:numId w:val="33"/>
        </w:numPr>
        <w:ind w:left="1418"/>
      </w:pPr>
      <w:r>
        <w:t>Первичный анализ переданных на нормализацию данных.</w:t>
      </w:r>
    </w:p>
    <w:p w14:paraId="2C02D657">
      <w:pPr>
        <w:pStyle w:val="38"/>
        <w:numPr>
          <w:ilvl w:val="0"/>
          <w:numId w:val="33"/>
        </w:numPr>
        <w:ind w:left="1418"/>
      </w:pPr>
      <w:r>
        <w:t>Нормализация вспомогательных справочников (например, справочник ЕИ и т.п.).</w:t>
      </w:r>
    </w:p>
    <w:p w14:paraId="03E590F7">
      <w:pPr>
        <w:pStyle w:val="38"/>
        <w:numPr>
          <w:ilvl w:val="0"/>
          <w:numId w:val="33"/>
        </w:numPr>
        <w:ind w:left="1418"/>
      </w:pPr>
      <w:r>
        <w:t>Классификация номенклатурных позиций в соответствии с разработанным классификатором.</w:t>
      </w:r>
    </w:p>
    <w:p w14:paraId="18F7008A">
      <w:pPr>
        <w:pStyle w:val="38"/>
        <w:numPr>
          <w:ilvl w:val="0"/>
          <w:numId w:val="33"/>
        </w:numPr>
        <w:ind w:left="1418"/>
      </w:pPr>
      <w:r>
        <w:t>Разработка шаблонов (пример представлен в Приложении 5), включая определение атрибутов шаблонов, определение значений атрибутов, настройку (создание) шаблонов.</w:t>
      </w:r>
    </w:p>
    <w:p w14:paraId="56DC796F">
      <w:pPr>
        <w:pStyle w:val="38"/>
        <w:numPr>
          <w:ilvl w:val="0"/>
          <w:numId w:val="33"/>
        </w:numPr>
        <w:ind w:left="1418"/>
      </w:pPr>
      <w:r>
        <w:t>Предварительный анализ и нормализация номенклатурных позиций справочника, у которых отсутствуют значения атрибутов, указанных в шаблоне.</w:t>
      </w:r>
    </w:p>
    <w:p w14:paraId="632B8637">
      <w:pPr>
        <w:pStyle w:val="38"/>
        <w:numPr>
          <w:ilvl w:val="0"/>
          <w:numId w:val="33"/>
        </w:numPr>
        <w:ind w:left="1418"/>
      </w:pPr>
      <w:r>
        <w:t>Дообогащение номенклатурных позиций в части атрибутов.</w:t>
      </w:r>
    </w:p>
    <w:p w14:paraId="17C8E598">
      <w:pPr>
        <w:pStyle w:val="38"/>
        <w:numPr>
          <w:ilvl w:val="0"/>
          <w:numId w:val="33"/>
        </w:numPr>
        <w:ind w:left="1418"/>
      </w:pPr>
      <w:r>
        <w:t>Выявление некорректной и невостребованной номенклатуры.</w:t>
      </w:r>
    </w:p>
    <w:p w14:paraId="111CA421">
      <w:pPr>
        <w:pStyle w:val="38"/>
        <w:numPr>
          <w:ilvl w:val="0"/>
          <w:numId w:val="33"/>
        </w:numPr>
        <w:ind w:left="1418"/>
      </w:pPr>
      <w:r>
        <w:t>Выявление дубликатов записей, на основании разработанных правил.</w:t>
      </w:r>
    </w:p>
    <w:p w14:paraId="12D14A67">
      <w:pPr>
        <w:pStyle w:val="38"/>
        <w:numPr>
          <w:ilvl w:val="0"/>
          <w:numId w:val="33"/>
        </w:numPr>
        <w:ind w:left="1418"/>
      </w:pPr>
      <w:r>
        <w:t>Формирование результирующих документов.</w:t>
      </w:r>
    </w:p>
    <w:p w14:paraId="021FFEAE"/>
    <w:p w14:paraId="207A0199">
      <w:pPr>
        <w:spacing w:after="240"/>
        <w:ind w:firstLine="709"/>
        <w:jc w:val="both"/>
      </w:pPr>
      <w:r>
        <w:t>Результатом нормализации справочника номенклатура является сформированный в соответствии с разработанными правилами массив данных, зафиксированный «Реестре нормализованных данных номенклатуры» (пример представлен в Приложении 1). Данный реестр включает кросс-таблицу с мэппингом исторических и нормализованных номенклатур.</w:t>
      </w:r>
    </w:p>
    <w:p w14:paraId="039C20C2">
      <w:pPr>
        <w:spacing w:after="240"/>
        <w:ind w:firstLine="709"/>
        <w:jc w:val="both"/>
      </w:pPr>
      <w:r>
        <w:t xml:space="preserve">Перечень результирующих документов представлен в разделе 10.2. </w:t>
      </w:r>
    </w:p>
    <w:p w14:paraId="13A6E826">
      <w:pPr>
        <w:spacing w:after="240"/>
        <w:jc w:val="both"/>
        <w:rPr>
          <w:b/>
          <w:bCs/>
        </w:rPr>
      </w:pPr>
      <w:r>
        <w:rPr>
          <w:b/>
          <w:bCs/>
        </w:rPr>
        <w:t>Первичный анализ переданных на нормализацию данных</w:t>
      </w:r>
    </w:p>
    <w:p w14:paraId="5763ACFB">
      <w:pPr>
        <w:spacing w:after="240"/>
        <w:ind w:firstLine="709"/>
        <w:jc w:val="both"/>
      </w:pPr>
      <w:r>
        <w:t>Заказчик передает Исполнителю данные на нормализацию в соответствии с шаблоном, утвержденном в Отчете об обследовании и фиксацией даты, переданного количества строк в файлах и их размера.</w:t>
      </w:r>
    </w:p>
    <w:p w14:paraId="72C5119B">
      <w:pPr>
        <w:spacing w:after="240"/>
        <w:ind w:firstLine="709"/>
        <w:jc w:val="both"/>
      </w:pPr>
      <w:r>
        <w:t>На текущем этапе осуществляется анализ данных, переданных для нормализации, в контексте вспомогательных справочников и справочника номенклатуры. Основные направления анализа включают:</w:t>
      </w:r>
    </w:p>
    <w:p w14:paraId="69F621E3">
      <w:pPr>
        <w:pStyle w:val="38"/>
        <w:numPr>
          <w:ilvl w:val="0"/>
          <w:numId w:val="34"/>
        </w:numPr>
        <w:ind w:left="14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Проверка полноты представленной информации;</w:t>
      </w:r>
    </w:p>
    <w:p w14:paraId="227EFB73">
      <w:pPr>
        <w:pStyle w:val="38"/>
        <w:numPr>
          <w:ilvl w:val="0"/>
          <w:numId w:val="34"/>
        </w:numPr>
        <w:ind w:left="14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Оценка полноты заполнения атрибутов;</w:t>
      </w:r>
    </w:p>
    <w:p w14:paraId="7C813986">
      <w:pPr>
        <w:pStyle w:val="38"/>
        <w:numPr>
          <w:ilvl w:val="0"/>
          <w:numId w:val="34"/>
        </w:numPr>
        <w:ind w:left="14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Контроль корректности заполнения реквизитов;</w:t>
      </w:r>
    </w:p>
    <w:p w14:paraId="0488C637">
      <w:pPr>
        <w:pStyle w:val="38"/>
        <w:numPr>
          <w:ilvl w:val="0"/>
          <w:numId w:val="34"/>
        </w:numPr>
        <w:spacing w:after="240"/>
        <w:ind w:left="14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Выявление противоречий.</w:t>
      </w:r>
    </w:p>
    <w:p w14:paraId="0E28DB43">
      <w:pPr>
        <w:spacing w:after="240"/>
        <w:ind w:firstLine="709"/>
        <w:jc w:val="both"/>
      </w:pPr>
      <w:r>
        <w:t>Результатом предварительного анализа является определение путей по восполнению недостающей информации или разрешению коллизий с противоречивыми данными путем формирования уточняющих запросов в соответствующие Центры компетенции Заказчика.</w:t>
      </w:r>
    </w:p>
    <w:p w14:paraId="1FB93188">
      <w:pPr>
        <w:pStyle w:val="66"/>
      </w:pPr>
      <w:bookmarkStart w:id="48" w:name="_Toc211008673"/>
      <w:r>
        <w:t>8.1. Нормализация вспомогательных справочников</w:t>
      </w:r>
      <w:bookmarkEnd w:id="48"/>
    </w:p>
    <w:p w14:paraId="0877D48F">
      <w:pPr>
        <w:spacing w:after="240"/>
        <w:ind w:firstLine="709"/>
        <w:jc w:val="both"/>
        <w:rPr>
          <w:lang w:eastAsia="en-US"/>
        </w:rPr>
      </w:pPr>
      <w:r>
        <w:rPr>
          <w:lang w:eastAsia="en-US"/>
        </w:rPr>
        <w:t>Раздел</w:t>
      </w:r>
      <w:r>
        <w:t xml:space="preserve"> </w:t>
      </w:r>
      <w:r>
        <w:rPr>
          <w:lang w:eastAsia="en-US"/>
        </w:rPr>
        <w:t>представляет собой методическое руководство по работе со вспомогательными справочниками, которые используются для поддержки ведения основного справочника номенклатуры. В разделе систематизированы:</w:t>
      </w:r>
    </w:p>
    <w:p w14:paraId="7822146A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Состав справочников, их назначение, владельцы, источники данных и правила наполнения.</w:t>
      </w:r>
    </w:p>
    <w:p w14:paraId="4E7615A0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Структура каждого справочника (перечень реквизитов, типы данных, обязательность заполнения, значения по умолчанию).</w:t>
      </w:r>
    </w:p>
    <w:p w14:paraId="20E21BED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Подробные правила заполнения и нормализации данных для ключевых справочников, таких как «Производители», «Страны мира», «Единицы измерения», «ОКПД 2» и других.</w:t>
      </w:r>
    </w:p>
    <w:p w14:paraId="1B0B28D1">
      <w:pPr>
        <w:spacing w:after="240"/>
        <w:ind w:firstLine="709"/>
        <w:jc w:val="both"/>
        <w:rPr>
          <w:lang w:eastAsia="en-US"/>
        </w:rPr>
      </w:pPr>
      <w:r>
        <w:rPr>
          <w:lang w:eastAsia="en-US"/>
        </w:rPr>
        <w:t>Раздел также содержит указания на необходимость согласования результатов нормализации с Заказчиком и ссылки на другие части методики и внешние нормативные документы (например, ОКСМ, ОКЕИ, ОКПД 2).</w:t>
      </w:r>
    </w:p>
    <w:p w14:paraId="19E0BD61">
      <w:pPr>
        <w:spacing w:after="240"/>
        <w:ind w:firstLine="709"/>
        <w:jc w:val="both"/>
      </w:pPr>
      <w:bookmarkStart w:id="49" w:name="_Hlk210988960"/>
      <w:bookmarkStart w:id="50" w:name="_Toc209606486"/>
      <w:r>
        <w:t>Ц</w:t>
      </w:r>
      <w:r>
        <w:rPr>
          <w:rFonts w:eastAsiaTheme="majorEastAsia"/>
          <w:lang w:eastAsia="en-US"/>
        </w:rPr>
        <w:t xml:space="preserve">ель раздела – </w:t>
      </w:r>
      <w:r>
        <w:rPr>
          <w:lang w:eastAsia="en-US"/>
        </w:rPr>
        <w:t>обеспечить единообразие, полноту и корректность данных во вспомогательных справочниках. Это достигается за счет:</w:t>
      </w:r>
    </w:p>
    <w:bookmarkEnd w:id="49"/>
    <w:p w14:paraId="5DCDE291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Унификации структуры и состава справочников.</w:t>
      </w:r>
    </w:p>
    <w:p w14:paraId="3E79B496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Четкого определения владельцев и источников данных.</w:t>
      </w:r>
    </w:p>
    <w:p w14:paraId="5E11A526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Установления правил нормализации и первичного наполнения.</w:t>
      </w:r>
    </w:p>
    <w:p w14:paraId="65F987A8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Устранения дублирования данных и некорректных записей.</w:t>
      </w:r>
    </w:p>
    <w:p w14:paraId="30D6249B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Согласования данных с общепринятыми классификаторами (ОКСМ, ОКЕИ, ОКПД2).</w:t>
      </w:r>
    </w:p>
    <w:p w14:paraId="2247095B">
      <w:pPr>
        <w:spacing w:after="240"/>
        <w:ind w:firstLine="709"/>
        <w:jc w:val="both"/>
      </w:pPr>
      <w:r>
        <w:rPr>
          <w:lang w:eastAsia="en-US"/>
        </w:rPr>
        <w:t>Результатом реализации раздела является создание надежной и стандартизированной основы для ведения справочника номенклатуры в информационных системах.</w:t>
      </w:r>
    </w:p>
    <w:p w14:paraId="1EADFD62">
      <w:pPr>
        <w:pStyle w:val="67"/>
      </w:pPr>
      <w:bookmarkStart w:id="51" w:name="_Toc211008674"/>
      <w:r>
        <w:t>8.1.1. Состав справочников</w:t>
      </w:r>
      <w:bookmarkEnd w:id="50"/>
      <w:bookmarkEnd w:id="51"/>
    </w:p>
    <w:p w14:paraId="5B3085EB">
      <w:pPr>
        <w:spacing w:after="240"/>
        <w:ind w:firstLine="709"/>
        <w:jc w:val="both"/>
        <w:rPr>
          <w:lang w:val="en-US"/>
        </w:rPr>
      </w:pPr>
      <w:r>
        <w:t>Раздел представляет собой сводную таблицу, которая систематизирует ключевую информацию о вспомогательных справочниках, подлежащих нормализации в рамках проекта. Для каждого справочника указаны:</w:t>
      </w:r>
    </w:p>
    <w:p w14:paraId="40E967CF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Наименование – название справочника.</w:t>
      </w:r>
    </w:p>
    <w:p w14:paraId="55404491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Назначение – функциональная роль справочника в системе.</w:t>
      </w:r>
    </w:p>
    <w:p w14:paraId="1D935CBF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Владелец – структурное подразделение, ответственное за содержание справочника.</w:t>
      </w:r>
    </w:p>
    <w:p w14:paraId="3959DEB5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Подход к наполнению – указание, требуется ли нормализация или справочник предоставляется Заказчиком в готовом виде.</w:t>
      </w:r>
    </w:p>
    <w:p w14:paraId="47C19EFE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Источник данных – откуда берутся данные для наполнения (например, файлы Excel, система 1С, внешние ресурсы).</w:t>
      </w:r>
    </w:p>
    <w:p w14:paraId="45A2348C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Примечание – дополнительные сведения, особенности использования.</w:t>
      </w:r>
    </w:p>
    <w:p w14:paraId="675C3485">
      <w:pPr>
        <w:spacing w:after="240"/>
        <w:ind w:firstLine="709"/>
        <w:jc w:val="both"/>
      </w:pPr>
      <w:r>
        <w:rPr>
          <w:rFonts w:eastAsiaTheme="majorEastAsia"/>
        </w:rPr>
        <w:t>Цель раздела</w:t>
      </w:r>
      <w:r>
        <w:t> – четко определить перечень вспомогательных справочников, их роль в системе и порядок работы с ними, чтобы:</w:t>
      </w:r>
    </w:p>
    <w:p w14:paraId="30B91CDB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Установить зоны ответственности владельцев справочников.</w:t>
      </w:r>
    </w:p>
    <w:p w14:paraId="4894C57D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Разграничить процедуры нормализации: какие справочники требуют обработки, а какие предоставляются Заказчиком в готовом виде.</w:t>
      </w:r>
    </w:p>
    <w:p w14:paraId="0E6934A4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Определить источники данных для каждого справочника, обеспечивая прозрачность и контроль данных.</w:t>
      </w:r>
    </w:p>
    <w:p w14:paraId="126BFFB0">
      <w:pPr>
        <w:spacing w:after="240"/>
        <w:ind w:firstLine="709"/>
        <w:jc w:val="both"/>
      </w:pPr>
      <w:r>
        <w:t>Этот раздел служит основой для планирования работ по нормализации и обеспечивает согласованность действий между Исполнителем и Заказчиком.</w:t>
      </w:r>
    </w:p>
    <w:p w14:paraId="13DE5D50">
      <w:pPr>
        <w:spacing w:after="240" w:line="276" w:lineRule="auto"/>
        <w:ind w:firstLine="709"/>
        <w:jc w:val="both"/>
      </w:pPr>
      <w:r>
        <w:t xml:space="preserve">Состав вспомогательных справочников и подходы к нормализации представлен в Таблице №9. </w:t>
      </w:r>
    </w:p>
    <w:p w14:paraId="54AE8F31">
      <w:pPr>
        <w:spacing w:line="276" w:lineRule="auto"/>
        <w:jc w:val="right"/>
      </w:pPr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>Таблица 9. Состав вспомогательных справочников номенклатуры к нормализации</w:t>
      </w:r>
      <w:r>
        <w:t>.</w:t>
      </w:r>
    </w:p>
    <w:tbl>
      <w:tblPr>
        <w:tblStyle w:val="3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1636"/>
        <w:gridCol w:w="1762"/>
        <w:gridCol w:w="1540"/>
        <w:gridCol w:w="1868"/>
        <w:gridCol w:w="1222"/>
        <w:gridCol w:w="1575"/>
      </w:tblGrid>
      <w:tr w14:paraId="3D04B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3" w:type="pct"/>
            <w:shd w:val="pct15" w:color="auto" w:fill="auto"/>
            <w:vAlign w:val="center"/>
          </w:tcPr>
          <w:p w14:paraId="47B82F6E">
            <w:pPr>
              <w:spacing w:line="276" w:lineRule="auto"/>
              <w:ind w:left="-108" w:right="-147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№ п/п</w:t>
            </w:r>
          </w:p>
        </w:tc>
        <w:tc>
          <w:tcPr>
            <w:tcW w:w="807" w:type="pct"/>
            <w:shd w:val="pct15" w:color="auto" w:fill="auto"/>
            <w:vAlign w:val="center"/>
          </w:tcPr>
          <w:p w14:paraId="000066A2">
            <w:pPr>
              <w:spacing w:line="276" w:lineRule="auto"/>
              <w:ind w:left="-210" w:right="-255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Наименование справочника</w:t>
            </w:r>
          </w:p>
        </w:tc>
        <w:tc>
          <w:tcPr>
            <w:tcW w:w="869" w:type="pct"/>
            <w:shd w:val="pct15" w:color="auto" w:fill="auto"/>
            <w:vAlign w:val="center"/>
          </w:tcPr>
          <w:p w14:paraId="2A6DF5E6">
            <w:pPr>
              <w:spacing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Назначение</w:t>
            </w:r>
          </w:p>
        </w:tc>
        <w:tc>
          <w:tcPr>
            <w:tcW w:w="760" w:type="pct"/>
            <w:shd w:val="pct15" w:color="auto" w:fill="auto"/>
            <w:vAlign w:val="center"/>
          </w:tcPr>
          <w:p w14:paraId="577F3000">
            <w:pPr>
              <w:spacing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Владелец справочника</w:t>
            </w:r>
          </w:p>
        </w:tc>
        <w:tc>
          <w:tcPr>
            <w:tcW w:w="921" w:type="pct"/>
            <w:shd w:val="pct15" w:color="auto" w:fill="auto"/>
            <w:vAlign w:val="center"/>
          </w:tcPr>
          <w:p w14:paraId="45616783">
            <w:pPr>
              <w:spacing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Подход к наполнению справочника</w:t>
            </w:r>
          </w:p>
        </w:tc>
        <w:tc>
          <w:tcPr>
            <w:tcW w:w="603" w:type="pct"/>
            <w:shd w:val="pct15" w:color="auto" w:fill="auto"/>
            <w:vAlign w:val="center"/>
          </w:tcPr>
          <w:p w14:paraId="44CCDB90">
            <w:pPr>
              <w:spacing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Источник данных </w:t>
            </w:r>
          </w:p>
        </w:tc>
        <w:tc>
          <w:tcPr>
            <w:tcW w:w="777" w:type="pct"/>
            <w:shd w:val="pct15" w:color="auto" w:fill="auto"/>
            <w:vAlign w:val="center"/>
          </w:tcPr>
          <w:p w14:paraId="02100E64">
            <w:pPr>
              <w:spacing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Примечание</w:t>
            </w:r>
          </w:p>
        </w:tc>
      </w:tr>
      <w:tr w14:paraId="34F14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" w:type="pct"/>
            <w:vAlign w:val="center"/>
          </w:tcPr>
          <w:p w14:paraId="78A43E59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07" w:type="pct"/>
            <w:vAlign w:val="center"/>
          </w:tcPr>
          <w:p w14:paraId="4FF8CB00">
            <w:pPr>
              <w:spacing w:line="276" w:lineRule="auto"/>
              <w:rPr>
                <w:rFonts w:cstheme="majorHAnsi"/>
                <w:sz w:val="20"/>
              </w:rPr>
            </w:pPr>
            <w:r>
              <w:rPr>
                <w:rFonts w:cstheme="majorHAnsi"/>
                <w:sz w:val="20"/>
              </w:rPr>
              <w:t>Номенклатурные группы</w:t>
            </w:r>
          </w:p>
        </w:tc>
        <w:tc>
          <w:tcPr>
            <w:tcW w:w="869" w:type="pct"/>
            <w:vAlign w:val="center"/>
          </w:tcPr>
          <w:p w14:paraId="1690A3C8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Группировка номенклатуры в соответствии с системой кодирования</w:t>
            </w:r>
          </w:p>
        </w:tc>
        <w:tc>
          <w:tcPr>
            <w:tcW w:w="760" w:type="pct"/>
            <w:vAlign w:val="center"/>
          </w:tcPr>
          <w:p w14:paraId="45E7EEE5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Финансово-экономический департамент</w:t>
            </w:r>
          </w:p>
        </w:tc>
        <w:tc>
          <w:tcPr>
            <w:tcW w:w="921" w:type="pct"/>
            <w:vAlign w:val="center"/>
          </w:tcPr>
          <w:p w14:paraId="6DC4ACB7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  <w:highlight w:val="yellow"/>
              </w:rPr>
              <w:t>Не подлежит нормализации, предоставляется Заказчиком</w:t>
            </w:r>
          </w:p>
        </w:tc>
        <w:tc>
          <w:tcPr>
            <w:tcW w:w="603" w:type="pct"/>
            <w:vAlign w:val="center"/>
          </w:tcPr>
          <w:p w14:paraId="2D22ED68">
            <w:pPr>
              <w:spacing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Файл </w:t>
            </w:r>
            <w:r>
              <w:rPr>
                <w:sz w:val="20"/>
                <w:lang w:val="en-US"/>
              </w:rPr>
              <w:t>MS</w:t>
            </w:r>
            <w:r>
              <w:rPr>
                <w:sz w:val="20"/>
              </w:rPr>
              <w:t> </w:t>
            </w:r>
            <w:r>
              <w:rPr>
                <w:sz w:val="20"/>
                <w:lang w:val="en-US"/>
              </w:rPr>
              <w:t>Excel</w:t>
            </w:r>
            <w:r>
              <w:rPr>
                <w:sz w:val="20"/>
              </w:rPr>
              <w:t xml:space="preserve"> Заказчика</w:t>
            </w:r>
          </w:p>
        </w:tc>
        <w:tc>
          <w:tcPr>
            <w:tcW w:w="777" w:type="pct"/>
            <w:vAlign w:val="center"/>
          </w:tcPr>
          <w:p w14:paraId="6B9A14E7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 xml:space="preserve">Справочник отсутствует в стандартной поставке 1С:MDM КОРП и будет реализован на основании </w:t>
            </w:r>
          </w:p>
          <w:p w14:paraId="2FFA6B40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Групп аналитического учета номенклатуры</w:t>
            </w:r>
          </w:p>
        </w:tc>
      </w:tr>
      <w:tr w14:paraId="25998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" w:type="pct"/>
            <w:vAlign w:val="center"/>
          </w:tcPr>
          <w:p w14:paraId="26360F93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807" w:type="pct"/>
            <w:vAlign w:val="center"/>
          </w:tcPr>
          <w:p w14:paraId="03004F3A">
            <w:pPr>
              <w:spacing w:line="276" w:lineRule="auto"/>
              <w:rPr>
                <w:rFonts w:cstheme="majorHAnsi"/>
                <w:sz w:val="20"/>
              </w:rPr>
            </w:pPr>
            <w:r>
              <w:rPr>
                <w:rFonts w:cstheme="majorHAnsi"/>
                <w:sz w:val="20"/>
              </w:rPr>
              <w:t>Статьи затрат</w:t>
            </w:r>
          </w:p>
        </w:tc>
        <w:tc>
          <w:tcPr>
            <w:tcW w:w="869" w:type="pct"/>
            <w:vAlign w:val="center"/>
          </w:tcPr>
          <w:p w14:paraId="3DEC08DC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Классификация затрат</w:t>
            </w:r>
          </w:p>
        </w:tc>
        <w:tc>
          <w:tcPr>
            <w:tcW w:w="760" w:type="pct"/>
            <w:vAlign w:val="center"/>
          </w:tcPr>
          <w:p w14:paraId="231CC0E2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Финансово-экономический департамент</w:t>
            </w:r>
          </w:p>
        </w:tc>
        <w:tc>
          <w:tcPr>
            <w:tcW w:w="921" w:type="pct"/>
            <w:vAlign w:val="center"/>
          </w:tcPr>
          <w:p w14:paraId="21206A3B">
            <w:pPr>
              <w:spacing w:line="276" w:lineRule="auto"/>
              <w:jc w:val="center"/>
              <w:rPr>
                <w:sz w:val="20"/>
              </w:rPr>
            </w:pPr>
            <w:r>
              <w:rPr>
                <w:rFonts w:cstheme="majorHAnsi"/>
                <w:sz w:val="20"/>
              </w:rPr>
              <w:t>«Статьи затрат»</w:t>
            </w:r>
            <w:r>
              <w:rPr>
                <w:iCs/>
                <w:sz w:val="20"/>
              </w:rPr>
              <w:t xml:space="preserve"> не будут вестись в 1С:</w:t>
            </w:r>
            <w:r>
              <w:rPr>
                <w:iCs/>
                <w:sz w:val="20"/>
                <w:lang w:val="en-US"/>
              </w:rPr>
              <w:t>MDM</w:t>
            </w:r>
            <w:r>
              <w:rPr>
                <w:iCs/>
                <w:sz w:val="20"/>
              </w:rPr>
              <w:t xml:space="preserve"> как вспомогательный справочник для номенклатуры, поэтому </w:t>
            </w:r>
            <w:r>
              <w:rPr>
                <w:bCs/>
                <w:sz w:val="20"/>
              </w:rPr>
              <w:t>не входит в проект нормализации</w:t>
            </w:r>
          </w:p>
        </w:tc>
        <w:tc>
          <w:tcPr>
            <w:tcW w:w="603" w:type="pct"/>
            <w:vAlign w:val="center"/>
          </w:tcPr>
          <w:p w14:paraId="739821E3">
            <w:pPr>
              <w:spacing w:line="276" w:lineRule="auto"/>
              <w:jc w:val="center"/>
              <w:rPr>
                <w:sz w:val="20"/>
              </w:rPr>
            </w:pPr>
          </w:p>
        </w:tc>
        <w:tc>
          <w:tcPr>
            <w:tcW w:w="777" w:type="pct"/>
            <w:vAlign w:val="center"/>
          </w:tcPr>
          <w:p w14:paraId="2E58F41B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Исключен из проекта нормализации справочника номенклатуры</w:t>
            </w:r>
          </w:p>
        </w:tc>
      </w:tr>
      <w:tr w14:paraId="2E020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" w:type="pct"/>
            <w:vAlign w:val="center"/>
          </w:tcPr>
          <w:p w14:paraId="0DC3FCAC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07" w:type="pct"/>
            <w:vAlign w:val="center"/>
          </w:tcPr>
          <w:p w14:paraId="32C0FB06">
            <w:pPr>
              <w:spacing w:line="276" w:lineRule="auto"/>
              <w:rPr>
                <w:rFonts w:cstheme="majorHAnsi"/>
                <w:sz w:val="20"/>
              </w:rPr>
            </w:pPr>
            <w:r>
              <w:rPr>
                <w:rFonts w:cstheme="majorHAnsi"/>
                <w:sz w:val="20"/>
              </w:rPr>
              <w:t>Производитель</w:t>
            </w:r>
          </w:p>
        </w:tc>
        <w:tc>
          <w:tcPr>
            <w:tcW w:w="869" w:type="pct"/>
            <w:vAlign w:val="center"/>
          </w:tcPr>
          <w:p w14:paraId="306AD2EC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Определение организации-производителя продукции</w:t>
            </w:r>
          </w:p>
        </w:tc>
        <w:tc>
          <w:tcPr>
            <w:tcW w:w="760" w:type="pct"/>
            <w:vAlign w:val="center"/>
          </w:tcPr>
          <w:p w14:paraId="0D2A74FD">
            <w:pPr>
              <w:spacing w:line="276" w:lineRule="auto"/>
              <w:jc w:val="center"/>
              <w:rPr>
                <w:sz w:val="20"/>
              </w:rPr>
            </w:pPr>
            <w:r>
              <w:rPr>
                <w:rFonts w:cstheme="minorHAnsi"/>
                <w:sz w:val="20"/>
                <w:szCs w:val="20"/>
              </w:rPr>
              <w:t>Департамент Бухгалтерского Учета и Отчетности</w:t>
            </w:r>
          </w:p>
        </w:tc>
        <w:tc>
          <w:tcPr>
            <w:tcW w:w="921" w:type="pct"/>
            <w:vAlign w:val="center"/>
          </w:tcPr>
          <w:p w14:paraId="30D6CBCD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Должен быть наполнен в процессе нормализации</w:t>
            </w:r>
          </w:p>
        </w:tc>
        <w:tc>
          <w:tcPr>
            <w:tcW w:w="603" w:type="pct"/>
            <w:vAlign w:val="center"/>
          </w:tcPr>
          <w:p w14:paraId="3B5552A9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Файл </w:t>
            </w:r>
            <w:r>
              <w:rPr>
                <w:sz w:val="20"/>
                <w:lang w:val="en-US"/>
              </w:rPr>
              <w:t>MS</w:t>
            </w:r>
            <w:r>
              <w:rPr>
                <w:sz w:val="20"/>
              </w:rPr>
              <w:t> </w:t>
            </w:r>
            <w:r>
              <w:rPr>
                <w:sz w:val="20"/>
                <w:lang w:val="en-US"/>
              </w:rPr>
              <w:t>Excel</w:t>
            </w:r>
          </w:p>
        </w:tc>
        <w:tc>
          <w:tcPr>
            <w:tcW w:w="777" w:type="pct"/>
            <w:vAlign w:val="center"/>
          </w:tcPr>
          <w:p w14:paraId="5350F968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 xml:space="preserve">Справочник Производитель в 1С:MDM КОРП является независимым справочником, не связанным с доменом «Контрагенты». </w:t>
            </w:r>
          </w:p>
          <w:p w14:paraId="647CE6B7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 xml:space="preserve">Справочник «Производители» в 1С БП КОРП и 1С:УХ </w:t>
            </w:r>
          </w:p>
          <w:p w14:paraId="33ACFA7E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 xml:space="preserve">является справочником «Контрагенты» </w:t>
            </w:r>
          </w:p>
          <w:p w14:paraId="76FDE6A8">
            <w:pPr>
              <w:spacing w:line="276" w:lineRule="auto"/>
              <w:rPr>
                <w:sz w:val="20"/>
              </w:rPr>
            </w:pPr>
          </w:p>
          <w:p w14:paraId="26ABF5D0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Предлагается реализовать, как отдельный атрибут в шаблоне номенклатурной позиции.</w:t>
            </w:r>
          </w:p>
        </w:tc>
      </w:tr>
      <w:tr w14:paraId="45DBE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" w:type="pct"/>
            <w:vAlign w:val="center"/>
          </w:tcPr>
          <w:p w14:paraId="1E9FB063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807" w:type="pct"/>
            <w:vAlign w:val="center"/>
          </w:tcPr>
          <w:p w14:paraId="6F3E7BD6">
            <w:pPr>
              <w:spacing w:line="276" w:lineRule="auto"/>
              <w:rPr>
                <w:rFonts w:cstheme="majorHAnsi"/>
                <w:sz w:val="20"/>
              </w:rPr>
            </w:pPr>
            <w:r>
              <w:rPr>
                <w:rFonts w:cstheme="majorHAnsi"/>
                <w:sz w:val="20"/>
              </w:rPr>
              <w:t>Страны мира</w:t>
            </w:r>
          </w:p>
        </w:tc>
        <w:tc>
          <w:tcPr>
            <w:tcW w:w="869" w:type="pct"/>
            <w:vAlign w:val="center"/>
          </w:tcPr>
          <w:p w14:paraId="4B21B195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Определение страны производителя продукции</w:t>
            </w:r>
          </w:p>
        </w:tc>
        <w:tc>
          <w:tcPr>
            <w:tcW w:w="760" w:type="pct"/>
            <w:vAlign w:val="center"/>
          </w:tcPr>
          <w:p w14:paraId="66A6903F">
            <w:pPr>
              <w:spacing w:line="276" w:lineRule="auto"/>
              <w:jc w:val="center"/>
              <w:rPr>
                <w:sz w:val="20"/>
              </w:rPr>
            </w:pPr>
            <w:r>
              <w:rPr>
                <w:rFonts w:cstheme="minorHAnsi"/>
                <w:sz w:val="20"/>
                <w:szCs w:val="20"/>
              </w:rPr>
              <w:t>Департамент Бухгалтерского Учета и Отчетности</w:t>
            </w:r>
          </w:p>
        </w:tc>
        <w:tc>
          <w:tcPr>
            <w:tcW w:w="921" w:type="pct"/>
            <w:vAlign w:val="center"/>
          </w:tcPr>
          <w:p w14:paraId="1EF8A90A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Подлежит нормализации, приводится в соответствие с ОКСМ</w:t>
            </w:r>
          </w:p>
        </w:tc>
        <w:tc>
          <w:tcPr>
            <w:tcW w:w="603" w:type="pct"/>
            <w:vAlign w:val="center"/>
          </w:tcPr>
          <w:p w14:paraId="4479AA8A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1С БП КОРП  Верхне Менкече: </w:t>
            </w:r>
          </w:p>
          <w:p w14:paraId="0A905C08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14:paraId="5F2767F6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1С БП КОРП  СС+З</w:t>
            </w:r>
          </w:p>
          <w:p w14:paraId="05CC2608">
            <w:pPr>
              <w:spacing w:line="276" w:lineRule="auto"/>
              <w:jc w:val="center"/>
              <w:rPr>
                <w:sz w:val="20"/>
              </w:rPr>
            </w:pPr>
          </w:p>
          <w:p w14:paraId="03DBB656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Справочник ОКСМ </w:t>
            </w:r>
          </w:p>
        </w:tc>
        <w:tc>
          <w:tcPr>
            <w:tcW w:w="777" w:type="pct"/>
            <w:vAlign w:val="center"/>
          </w:tcPr>
          <w:p w14:paraId="1EEEA1EA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Информация о стране в ИС - ОКСМ</w:t>
            </w:r>
          </w:p>
          <w:p w14:paraId="43C648FA">
            <w:pPr>
              <w:spacing w:line="276" w:lineRule="auto"/>
              <w:rPr>
                <w:sz w:val="20"/>
              </w:rPr>
            </w:pPr>
          </w:p>
          <w:p w14:paraId="28EA76CA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Справочник ОКСМ должен обновляться в рамках 1С ИТС</w:t>
            </w:r>
          </w:p>
        </w:tc>
      </w:tr>
      <w:tr w14:paraId="3217E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" w:type="pct"/>
            <w:vAlign w:val="center"/>
          </w:tcPr>
          <w:p w14:paraId="1F38B74D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807" w:type="pct"/>
            <w:vAlign w:val="center"/>
          </w:tcPr>
          <w:p w14:paraId="5DDCC9D5">
            <w:pPr>
              <w:spacing w:line="276" w:lineRule="auto"/>
              <w:rPr>
                <w:sz w:val="20"/>
              </w:rPr>
            </w:pPr>
            <w:r>
              <w:rPr>
                <w:rFonts w:cstheme="majorHAnsi"/>
                <w:sz w:val="20"/>
              </w:rPr>
              <w:t>Счета учета номенклатуры</w:t>
            </w:r>
          </w:p>
        </w:tc>
        <w:tc>
          <w:tcPr>
            <w:tcW w:w="869" w:type="pct"/>
            <w:vAlign w:val="center"/>
          </w:tcPr>
          <w:p w14:paraId="7A37C771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Определение </w:t>
            </w:r>
            <w:r>
              <w:rPr>
                <w:sz w:val="20"/>
                <w:szCs w:val="20"/>
              </w:rPr>
              <w:t xml:space="preserve">счетов бухгалтерского учета для номенклатуры </w:t>
            </w:r>
          </w:p>
        </w:tc>
        <w:tc>
          <w:tcPr>
            <w:tcW w:w="760" w:type="pct"/>
            <w:vAlign w:val="center"/>
          </w:tcPr>
          <w:p w14:paraId="48EB3CCD">
            <w:pPr>
              <w:spacing w:line="276" w:lineRule="auto"/>
              <w:jc w:val="center"/>
              <w:rPr>
                <w:sz w:val="20"/>
              </w:rPr>
            </w:pPr>
            <w:r>
              <w:rPr>
                <w:rFonts w:cstheme="minorHAnsi"/>
                <w:sz w:val="20"/>
                <w:szCs w:val="20"/>
              </w:rPr>
              <w:t>Департамент Бухгалтерского Учета и Отчетности</w:t>
            </w:r>
          </w:p>
        </w:tc>
        <w:tc>
          <w:tcPr>
            <w:tcW w:w="921" w:type="pct"/>
            <w:vAlign w:val="center"/>
          </w:tcPr>
          <w:p w14:paraId="03885CF8">
            <w:pPr>
              <w:spacing w:line="276" w:lineRule="auto"/>
              <w:jc w:val="center"/>
              <w:rPr>
                <w:sz w:val="20"/>
              </w:rPr>
            </w:pPr>
            <w:r>
              <w:rPr>
                <w:iCs/>
                <w:sz w:val="20"/>
              </w:rPr>
              <w:t xml:space="preserve"> «</w:t>
            </w:r>
            <w:r>
              <w:rPr>
                <w:rFonts w:cstheme="majorHAnsi"/>
                <w:sz w:val="20"/>
              </w:rPr>
              <w:t>Счета учета номенклатуры</w:t>
            </w:r>
            <w:r>
              <w:rPr>
                <w:iCs/>
                <w:sz w:val="20"/>
              </w:rPr>
              <w:t>» не будут вестись в 1С:</w:t>
            </w:r>
            <w:r>
              <w:rPr>
                <w:iCs/>
                <w:sz w:val="20"/>
                <w:lang w:val="en-US"/>
              </w:rPr>
              <w:t>MDM</w:t>
            </w:r>
            <w:r>
              <w:rPr>
                <w:iCs/>
                <w:sz w:val="20"/>
              </w:rPr>
              <w:t xml:space="preserve"> как вспомогательный справочник для номенклатуры, поэтому </w:t>
            </w:r>
            <w:r>
              <w:rPr>
                <w:bCs/>
                <w:sz w:val="20"/>
              </w:rPr>
              <w:t>не входит в проект нормализации</w:t>
            </w:r>
          </w:p>
        </w:tc>
        <w:tc>
          <w:tcPr>
            <w:tcW w:w="603" w:type="pct"/>
            <w:vAlign w:val="center"/>
          </w:tcPr>
          <w:p w14:paraId="21633710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777" w:type="pct"/>
            <w:vAlign w:val="center"/>
          </w:tcPr>
          <w:p w14:paraId="764437A7">
            <w:pPr>
              <w:spacing w:line="276" w:lineRule="auto"/>
              <w:rPr>
                <w:sz w:val="20"/>
                <w:highlight w:val="yellow"/>
              </w:rPr>
            </w:pPr>
            <w:r>
              <w:rPr>
                <w:sz w:val="20"/>
              </w:rPr>
              <w:t>Исключен из проекта нормализации справочника номенклатуры</w:t>
            </w:r>
          </w:p>
        </w:tc>
      </w:tr>
      <w:tr w14:paraId="5A4DB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" w:type="pct"/>
            <w:vAlign w:val="center"/>
          </w:tcPr>
          <w:p w14:paraId="5B4C5984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807" w:type="pct"/>
            <w:vAlign w:val="center"/>
          </w:tcPr>
          <w:p w14:paraId="1B13107F">
            <w:pPr>
              <w:spacing w:line="276" w:lineRule="auto"/>
              <w:rPr>
                <w:sz w:val="20"/>
              </w:rPr>
            </w:pPr>
            <w:r>
              <w:rPr>
                <w:rFonts w:cstheme="majorHAnsi"/>
                <w:sz w:val="20"/>
              </w:rPr>
              <w:t>Единицы измерения</w:t>
            </w:r>
          </w:p>
        </w:tc>
        <w:tc>
          <w:tcPr>
            <w:tcW w:w="869" w:type="pct"/>
            <w:vAlign w:val="center"/>
          </w:tcPr>
          <w:p w14:paraId="456C8F0F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Определение единицы измерения для номенклатуры</w:t>
            </w:r>
          </w:p>
          <w:p w14:paraId="70B911C1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60" w:type="pct"/>
            <w:vAlign w:val="center"/>
          </w:tcPr>
          <w:p w14:paraId="06EB1B1E">
            <w:pPr>
              <w:spacing w:line="276" w:lineRule="auto"/>
              <w:jc w:val="center"/>
              <w:rPr>
                <w:sz w:val="20"/>
              </w:rPr>
            </w:pPr>
            <w:r>
              <w:rPr>
                <w:rFonts w:cstheme="minorHAnsi"/>
                <w:sz w:val="20"/>
                <w:szCs w:val="20"/>
              </w:rPr>
              <w:t>Департамент Бухгалтерского Учета и Отчетности</w:t>
            </w:r>
          </w:p>
        </w:tc>
        <w:tc>
          <w:tcPr>
            <w:tcW w:w="921" w:type="pct"/>
            <w:vAlign w:val="center"/>
          </w:tcPr>
          <w:p w14:paraId="047C071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Подлежит нормализации, наполняется на основе ОКЕИ</w:t>
            </w:r>
          </w:p>
        </w:tc>
        <w:tc>
          <w:tcPr>
            <w:tcW w:w="603" w:type="pct"/>
            <w:vAlign w:val="center"/>
          </w:tcPr>
          <w:p w14:paraId="252807B8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1С БП КОРП  Верхне Менкече: </w:t>
            </w:r>
          </w:p>
          <w:p w14:paraId="0BBCF0F1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14:paraId="6A7411E2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1С БП КОРП  СС+З</w:t>
            </w:r>
          </w:p>
          <w:p w14:paraId="01DEFE1F">
            <w:pPr>
              <w:spacing w:line="276" w:lineRule="auto"/>
              <w:jc w:val="center"/>
              <w:rPr>
                <w:sz w:val="20"/>
              </w:rPr>
            </w:pPr>
          </w:p>
          <w:p w14:paraId="62C797C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ОКЕИ</w:t>
            </w:r>
          </w:p>
        </w:tc>
        <w:tc>
          <w:tcPr>
            <w:tcW w:w="777" w:type="pct"/>
            <w:vAlign w:val="center"/>
          </w:tcPr>
          <w:p w14:paraId="55305770">
            <w:pPr>
              <w:rPr>
                <w:sz w:val="20"/>
              </w:rPr>
            </w:pPr>
          </w:p>
          <w:p w14:paraId="3A9752BB">
            <w:pPr>
              <w:rPr>
                <w:sz w:val="20"/>
              </w:rPr>
            </w:pPr>
            <w:r>
              <w:rPr>
                <w:sz w:val="20"/>
              </w:rPr>
              <w:t>Справочник ОКЕИ должен обновляться в рамках ведения справочников в 1С:MDM КОРП</w:t>
            </w:r>
          </w:p>
        </w:tc>
      </w:tr>
      <w:tr w14:paraId="0A8C3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" w:type="pct"/>
            <w:vAlign w:val="center"/>
          </w:tcPr>
          <w:p w14:paraId="719095ED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807" w:type="pct"/>
            <w:vAlign w:val="center"/>
          </w:tcPr>
          <w:p w14:paraId="52D4909E">
            <w:pPr>
              <w:spacing w:line="276" w:lineRule="auto"/>
              <w:rPr>
                <w:rFonts w:cstheme="majorHAnsi"/>
                <w:sz w:val="20"/>
              </w:rPr>
            </w:pPr>
            <w:r>
              <w:rPr>
                <w:rFonts w:cstheme="majorHAnsi"/>
                <w:sz w:val="20"/>
              </w:rPr>
              <w:t>Альтернативные единицы измерения</w:t>
            </w:r>
          </w:p>
        </w:tc>
        <w:tc>
          <w:tcPr>
            <w:tcW w:w="869" w:type="pct"/>
            <w:vAlign w:val="center"/>
          </w:tcPr>
          <w:p w14:paraId="3FBCF06A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Пересчет единиц измерения в соответствии с коэффициентами пересчета (поступление/</w:t>
            </w:r>
          </w:p>
          <w:p w14:paraId="4E5FE561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отпуск)</w:t>
            </w:r>
          </w:p>
        </w:tc>
        <w:tc>
          <w:tcPr>
            <w:tcW w:w="760" w:type="pct"/>
            <w:vAlign w:val="center"/>
          </w:tcPr>
          <w:p w14:paraId="4FEF900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Департамент Бухгалтерского Учета и Отчетности</w:t>
            </w:r>
          </w:p>
        </w:tc>
        <w:tc>
          <w:tcPr>
            <w:tcW w:w="921" w:type="pct"/>
            <w:vAlign w:val="center"/>
          </w:tcPr>
          <w:p w14:paraId="34755BEC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Подлежит первичному наполнению</w:t>
            </w:r>
          </w:p>
        </w:tc>
        <w:tc>
          <w:tcPr>
            <w:tcW w:w="603" w:type="pct"/>
            <w:vAlign w:val="center"/>
          </w:tcPr>
          <w:p w14:paraId="15543E7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ОКЕИ</w:t>
            </w:r>
          </w:p>
        </w:tc>
        <w:tc>
          <w:tcPr>
            <w:tcW w:w="777" w:type="pct"/>
            <w:vAlign w:val="center"/>
          </w:tcPr>
          <w:p w14:paraId="42EC9E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Порядок работы определен в п. 8.1.3.6. данной методики</w:t>
            </w:r>
          </w:p>
        </w:tc>
      </w:tr>
      <w:tr w14:paraId="0E765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" w:type="pct"/>
            <w:vAlign w:val="center"/>
          </w:tcPr>
          <w:p w14:paraId="3FFB0533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807" w:type="pct"/>
            <w:vAlign w:val="center"/>
          </w:tcPr>
          <w:p w14:paraId="1C034BEC">
            <w:pPr>
              <w:spacing w:line="276" w:lineRule="auto"/>
              <w:rPr>
                <w:rFonts w:cstheme="majorHAnsi"/>
                <w:sz w:val="20"/>
              </w:rPr>
            </w:pPr>
            <w:r>
              <w:rPr>
                <w:rFonts w:cstheme="majorHAnsi"/>
                <w:sz w:val="20"/>
              </w:rPr>
              <w:t>ОКПД 2</w:t>
            </w:r>
          </w:p>
        </w:tc>
        <w:tc>
          <w:tcPr>
            <w:tcW w:w="869" w:type="pct"/>
            <w:vAlign w:val="center"/>
          </w:tcPr>
          <w:p w14:paraId="458460C5">
            <w:pPr>
              <w:spacing w:line="276" w:lineRule="auto"/>
              <w:ind w:left="-105" w:right="-84"/>
              <w:jc w:val="center"/>
              <w:rPr>
                <w:sz w:val="20"/>
              </w:rPr>
            </w:pPr>
            <w:r>
              <w:rPr>
                <w:sz w:val="20"/>
              </w:rPr>
              <w:t>- определение кода закупки;</w:t>
            </w:r>
          </w:p>
          <w:p w14:paraId="02813CB6">
            <w:pPr>
              <w:spacing w:line="276" w:lineRule="auto"/>
              <w:ind w:left="-105" w:right="-84"/>
              <w:jc w:val="center"/>
              <w:rPr>
                <w:sz w:val="20"/>
              </w:rPr>
            </w:pPr>
            <w:r>
              <w:rPr>
                <w:sz w:val="20"/>
              </w:rPr>
              <w:t>- стандартизация данных;</w:t>
            </w:r>
          </w:p>
          <w:p w14:paraId="3302CF1C">
            <w:pPr>
              <w:spacing w:line="276" w:lineRule="auto"/>
              <w:ind w:left="-105" w:right="-84"/>
              <w:jc w:val="center"/>
              <w:rPr>
                <w:sz w:val="20"/>
              </w:rPr>
            </w:pPr>
            <w:r>
              <w:rPr>
                <w:sz w:val="20"/>
              </w:rPr>
              <w:t>- заполнение статистических форм</w:t>
            </w:r>
          </w:p>
        </w:tc>
        <w:tc>
          <w:tcPr>
            <w:tcW w:w="760" w:type="pct"/>
            <w:vAlign w:val="center"/>
          </w:tcPr>
          <w:p w14:paraId="0DD03979">
            <w:pPr>
              <w:spacing w:line="276" w:lineRule="auto"/>
              <w:jc w:val="center"/>
              <w:rPr>
                <w:rFonts w:cstheme="majorHAnsi"/>
                <w:sz w:val="20"/>
              </w:rPr>
            </w:pPr>
            <w:r>
              <w:rPr>
                <w:rFonts w:cstheme="majorHAnsi"/>
                <w:sz w:val="20"/>
              </w:rPr>
              <w:t>Отсутствует</w:t>
            </w:r>
          </w:p>
        </w:tc>
        <w:tc>
          <w:tcPr>
            <w:tcW w:w="921" w:type="pct"/>
            <w:vAlign w:val="center"/>
          </w:tcPr>
          <w:p w14:paraId="08398857">
            <w:pPr>
              <w:pStyle w:val="31"/>
              <w:rPr>
                <w:sz w:val="20"/>
              </w:rPr>
            </w:pPr>
            <w:r>
              <w:rPr>
                <w:sz w:val="20"/>
              </w:rPr>
              <w:t>Подлежит первичному наполнению</w:t>
            </w:r>
          </w:p>
          <w:p w14:paraId="2230199F">
            <w:pPr>
              <w:spacing w:line="276" w:lineRule="auto"/>
              <w:rPr>
                <w:sz w:val="20"/>
              </w:rPr>
            </w:pPr>
          </w:p>
        </w:tc>
        <w:tc>
          <w:tcPr>
            <w:tcW w:w="603" w:type="pct"/>
            <w:vAlign w:val="center"/>
          </w:tcPr>
          <w:p w14:paraId="2A539C17">
            <w:pPr>
              <w:spacing w:line="276" w:lineRule="auto"/>
              <w:rPr>
                <w:sz w:val="20"/>
              </w:rPr>
            </w:pPr>
          </w:p>
          <w:p w14:paraId="178D5064">
            <w:pPr>
              <w:pStyle w:val="31"/>
              <w:rPr>
                <w:sz w:val="20"/>
              </w:rPr>
            </w:pPr>
            <w:r>
              <w:rPr>
                <w:sz w:val="20"/>
              </w:rPr>
              <w:t>Сайт Минэкономразвития РФ (ОКПД 2)</w:t>
            </w:r>
          </w:p>
          <w:p w14:paraId="2351B8C3">
            <w:pPr>
              <w:rPr>
                <w:sz w:val="20"/>
              </w:rPr>
            </w:pPr>
          </w:p>
        </w:tc>
        <w:tc>
          <w:tcPr>
            <w:tcW w:w="777" w:type="pct"/>
            <w:vAlign w:val="center"/>
          </w:tcPr>
          <w:p w14:paraId="1129DFAB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Справочник ОКПД 2 должен обновляться в рамках ведения справочника в 1С:MDM</w:t>
            </w:r>
          </w:p>
        </w:tc>
      </w:tr>
    </w:tbl>
    <w:p w14:paraId="2F5D3D96">
      <w:pPr>
        <w:pStyle w:val="67"/>
      </w:pPr>
      <w:bookmarkStart w:id="52" w:name="_Toc211008675"/>
      <w:bookmarkStart w:id="53" w:name="_Toc209606487"/>
      <w:r>
        <w:t>8.1.2. Описание структуры вспомогательных справочников</w:t>
      </w:r>
      <w:bookmarkEnd w:id="52"/>
      <w:bookmarkEnd w:id="53"/>
    </w:p>
    <w:p w14:paraId="068E4CA2">
      <w:pPr>
        <w:ind w:firstLine="709"/>
        <w:jc w:val="both"/>
      </w:pPr>
      <w:r>
        <w:t>Раздел представляет собой детализированное техническое описание структуры каждого вспомогательного справочника, используемого в системе. Для каждого справочника приведена таблица, которая включает:</w:t>
      </w:r>
    </w:p>
    <w:p w14:paraId="63D0D78E">
      <w:pPr>
        <w:ind w:firstLine="709"/>
        <w:jc w:val="both"/>
      </w:pPr>
    </w:p>
    <w:p w14:paraId="1C1EA22B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Наименование поля – реквизит справочника.</w:t>
      </w:r>
    </w:p>
    <w:p w14:paraId="5E4011C1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Тип данных – формат хранения информации (например, Строка, Число, Булево и т.д.).</w:t>
      </w:r>
    </w:p>
    <w:p w14:paraId="5AF5F38D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Обязательность заполнения – указание, является ли реквизит обязательным или опциональным при нормализации.</w:t>
      </w:r>
    </w:p>
    <w:p w14:paraId="288D4B48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Значение по умолчанию – стандартное значение, присваиваемое полю при отсутствии явного указания.</w:t>
      </w:r>
    </w:p>
    <w:p w14:paraId="4F8DC194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Примечание – дополнительные пояснения, ссылки на справочники и классификаторы или указания на необходимость уточнения данных.</w:t>
      </w:r>
    </w:p>
    <w:p w14:paraId="0C481BFE">
      <w:pPr>
        <w:ind w:firstLine="709"/>
        <w:jc w:val="both"/>
      </w:pPr>
      <w:r>
        <w:t>Раздел охватывает такие справочники, как:</w:t>
      </w:r>
    </w:p>
    <w:p w14:paraId="027B20F7">
      <w:pPr>
        <w:ind w:firstLine="709"/>
        <w:jc w:val="both"/>
      </w:pPr>
    </w:p>
    <w:p w14:paraId="45668EDA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Группы аналитического учета номенклатуры (Номенклатурные группы)</w:t>
      </w:r>
    </w:p>
    <w:p w14:paraId="64A8034F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Производитель</w:t>
      </w:r>
    </w:p>
    <w:p w14:paraId="1C93CECF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Страны мира (ОКСМ)</w:t>
      </w:r>
    </w:p>
    <w:p w14:paraId="3AD1399F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Единицы измерения (ОКЕИ)</w:t>
      </w:r>
    </w:p>
    <w:p w14:paraId="079C551E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Пересчет единиц измерения</w:t>
      </w:r>
    </w:p>
    <w:p w14:paraId="137A16E6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ОКПД 2</w:t>
      </w:r>
    </w:p>
    <w:p w14:paraId="29D55602">
      <w:pPr>
        <w:ind w:firstLine="709"/>
        <w:jc w:val="both"/>
      </w:pPr>
      <w:r>
        <w:t xml:space="preserve">Цель </w:t>
      </w:r>
      <w:r>
        <w:rPr>
          <w:rFonts w:eastAsiaTheme="majorEastAsia"/>
        </w:rPr>
        <w:t xml:space="preserve">раздела – </w:t>
      </w:r>
      <w:r>
        <w:t>стандартизировать и унифицировать структуру вспомогательных справочников для обеспечения:</w:t>
      </w:r>
    </w:p>
    <w:p w14:paraId="304A9EC5">
      <w:pPr>
        <w:ind w:firstLine="709"/>
        <w:jc w:val="both"/>
      </w:pPr>
    </w:p>
    <w:p w14:paraId="78514A6A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Единообразия данных в системе</w:t>
      </w:r>
    </w:p>
    <w:p w14:paraId="61A0AD7B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Четкого понимания состава и назначения реквизитов</w:t>
      </w:r>
    </w:p>
    <w:p w14:paraId="6C2C33F4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Корректного заполнения справочников в процессе нормализации</w:t>
      </w:r>
    </w:p>
    <w:p w14:paraId="76D20389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Минимизации ошибок при импорте и обработке данных</w:t>
      </w:r>
    </w:p>
    <w:p w14:paraId="71DE8E2F">
      <w:pPr>
        <w:pStyle w:val="38"/>
        <w:numPr>
          <w:ilvl w:val="0"/>
          <w:numId w:val="35"/>
        </w:numPr>
        <w:spacing w:after="240"/>
        <w:jc w:val="both"/>
        <w:rPr>
          <w:lang w:eastAsia="en-US"/>
        </w:rPr>
      </w:pPr>
      <w:r>
        <w:rPr>
          <w:lang w:eastAsia="en-US"/>
        </w:rPr>
        <w:t>Согласованности с внешними справочниками (ОКСМ, ОКЕИ, ОКПД 2)</w:t>
      </w:r>
    </w:p>
    <w:p w14:paraId="3D5A666C">
      <w:pPr>
        <w:spacing w:before="240" w:after="240" w:line="276" w:lineRule="auto"/>
        <w:ind w:firstLine="709"/>
        <w:jc w:val="both"/>
      </w:pPr>
      <w:r>
        <w:t>8.1.2.1. Описание структуры справочника Группа аналитического учета номенклатуры представлено в таблице №10.</w:t>
      </w:r>
    </w:p>
    <w:p w14:paraId="44DC9CCC">
      <w:pPr>
        <w:spacing w:after="240"/>
        <w:ind w:firstLine="709"/>
      </w:pPr>
      <w:r>
        <w:t>Справочник «Номенклатурных групп» отсутствует в стандартной поставке 1С:MDM КОРП и будет реализован на базе справочника «Группа аналитического учета номенклатуры».</w:t>
      </w:r>
    </w:p>
    <w:p w14:paraId="5018242F">
      <w:pPr>
        <w:spacing w:line="276" w:lineRule="auto"/>
        <w:jc w:val="right"/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</w:pPr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>Таблица 10. Структура справочника Группа аналитического учета номенклатуры.</w:t>
      </w:r>
    </w:p>
    <w:tbl>
      <w:tblPr>
        <w:tblStyle w:val="3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2"/>
        <w:gridCol w:w="2919"/>
        <w:gridCol w:w="1557"/>
        <w:gridCol w:w="1845"/>
        <w:gridCol w:w="1515"/>
        <w:gridCol w:w="1709"/>
      </w:tblGrid>
      <w:tr w14:paraId="42923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" w:type="pct"/>
            <w:shd w:val="pct15" w:color="auto" w:fill="auto"/>
            <w:vAlign w:val="center"/>
          </w:tcPr>
          <w:p w14:paraId="49310EF1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440" w:type="pct"/>
            <w:shd w:val="pct15" w:color="auto" w:fill="auto"/>
            <w:vAlign w:val="center"/>
          </w:tcPr>
          <w:p w14:paraId="7A1714A8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Наименование поля</w:t>
            </w:r>
          </w:p>
        </w:tc>
        <w:tc>
          <w:tcPr>
            <w:tcW w:w="768" w:type="pct"/>
            <w:shd w:val="pct15" w:color="auto" w:fill="auto"/>
            <w:vAlign w:val="center"/>
          </w:tcPr>
          <w:p w14:paraId="62805A74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910" w:type="pct"/>
            <w:shd w:val="pct15" w:color="auto" w:fill="auto"/>
            <w:vAlign w:val="center"/>
          </w:tcPr>
          <w:p w14:paraId="711B03DB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Обязательность заполнения при нормализации</w:t>
            </w:r>
          </w:p>
        </w:tc>
        <w:tc>
          <w:tcPr>
            <w:tcW w:w="747" w:type="pct"/>
            <w:shd w:val="pct15" w:color="auto" w:fill="auto"/>
            <w:vAlign w:val="center"/>
          </w:tcPr>
          <w:p w14:paraId="346FE218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Значение по умолчанию</w:t>
            </w:r>
          </w:p>
        </w:tc>
        <w:tc>
          <w:tcPr>
            <w:tcW w:w="843" w:type="pct"/>
            <w:shd w:val="pct15" w:color="auto" w:fill="auto"/>
            <w:vAlign w:val="center"/>
          </w:tcPr>
          <w:p w14:paraId="43417E2C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Примечание</w:t>
            </w:r>
          </w:p>
        </w:tc>
      </w:tr>
      <w:tr w14:paraId="7533C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" w:type="pct"/>
            <w:vAlign w:val="center"/>
          </w:tcPr>
          <w:p w14:paraId="7DF31124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40" w:type="pct"/>
            <w:vAlign w:val="center"/>
          </w:tcPr>
          <w:p w14:paraId="70E58B76">
            <w:pPr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768" w:type="pct"/>
            <w:vAlign w:val="center"/>
          </w:tcPr>
          <w:p w14:paraId="31241199">
            <w:pPr>
              <w:rPr>
                <w:rFonts w:eastAsiaTheme="minorHAnsi"/>
                <w:sz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910" w:type="pct"/>
            <w:vAlign w:val="center"/>
          </w:tcPr>
          <w:p w14:paraId="4FC3EB6E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747" w:type="pct"/>
            <w:vAlign w:val="center"/>
          </w:tcPr>
          <w:p w14:paraId="2A2BB46D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843" w:type="pct"/>
            <w:vAlign w:val="center"/>
          </w:tcPr>
          <w:p w14:paraId="69B58ECA">
            <w:pPr>
              <w:rPr>
                <w:rFonts w:eastAsiaTheme="minorHAnsi"/>
                <w:sz w:val="20"/>
              </w:rPr>
            </w:pPr>
          </w:p>
        </w:tc>
      </w:tr>
      <w:tr w14:paraId="5DF52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" w:type="pct"/>
            <w:vAlign w:val="center"/>
          </w:tcPr>
          <w:p w14:paraId="43EC98A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40" w:type="pct"/>
            <w:vAlign w:val="center"/>
          </w:tcPr>
          <w:p w14:paraId="66A88B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</w:t>
            </w:r>
          </w:p>
        </w:tc>
        <w:tc>
          <w:tcPr>
            <w:tcW w:w="768" w:type="pct"/>
            <w:vAlign w:val="center"/>
          </w:tcPr>
          <w:p w14:paraId="6AF6788C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910" w:type="pct"/>
            <w:vAlign w:val="center"/>
          </w:tcPr>
          <w:p w14:paraId="0C7B7A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747" w:type="pct"/>
            <w:vAlign w:val="center"/>
          </w:tcPr>
          <w:p w14:paraId="78280833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Автом.генер. из ИС-источника</w:t>
            </w:r>
          </w:p>
        </w:tc>
        <w:tc>
          <w:tcPr>
            <w:tcW w:w="843" w:type="pct"/>
            <w:vAlign w:val="center"/>
          </w:tcPr>
          <w:p w14:paraId="32CF8384">
            <w:pPr>
              <w:rPr>
                <w:rFonts w:eastAsiaTheme="minorHAnsi"/>
                <w:sz w:val="20"/>
              </w:rPr>
            </w:pPr>
          </w:p>
        </w:tc>
      </w:tr>
      <w:tr w14:paraId="575A5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" w:type="pct"/>
            <w:vAlign w:val="center"/>
          </w:tcPr>
          <w:p w14:paraId="0C25B4C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40" w:type="pct"/>
            <w:vAlign w:val="center"/>
          </w:tcPr>
          <w:p w14:paraId="1D9532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</w:t>
            </w:r>
          </w:p>
        </w:tc>
        <w:tc>
          <w:tcPr>
            <w:tcW w:w="768" w:type="pct"/>
            <w:vAlign w:val="center"/>
          </w:tcPr>
          <w:p w14:paraId="7FC2FE88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910" w:type="pct"/>
            <w:vAlign w:val="center"/>
          </w:tcPr>
          <w:p w14:paraId="76AB974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747" w:type="pct"/>
            <w:vAlign w:val="center"/>
          </w:tcPr>
          <w:p w14:paraId="2FD7399D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843" w:type="pct"/>
            <w:vAlign w:val="center"/>
          </w:tcPr>
          <w:p w14:paraId="6ECA0623">
            <w:pPr>
              <w:rPr>
                <w:rFonts w:eastAsiaTheme="minorHAnsi"/>
                <w:sz w:val="20"/>
              </w:rPr>
            </w:pPr>
          </w:p>
        </w:tc>
      </w:tr>
      <w:tr w14:paraId="5792C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" w:type="pct"/>
            <w:vAlign w:val="center"/>
          </w:tcPr>
          <w:p w14:paraId="7903CA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40" w:type="pct"/>
            <w:vAlign w:val="center"/>
          </w:tcPr>
          <w:p w14:paraId="218599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Статус записи</w:t>
            </w:r>
          </w:p>
        </w:tc>
        <w:tc>
          <w:tcPr>
            <w:tcW w:w="768" w:type="pct"/>
            <w:vAlign w:val="center"/>
          </w:tcPr>
          <w:p w14:paraId="1D59636C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eastAsiaTheme="minorHAnsi"/>
                <w:sz w:val="20"/>
              </w:rPr>
              <w:t>Классификатор «Статусы записи»</w:t>
            </w:r>
          </w:p>
        </w:tc>
        <w:tc>
          <w:tcPr>
            <w:tcW w:w="910" w:type="pct"/>
            <w:vAlign w:val="center"/>
          </w:tcPr>
          <w:p w14:paraId="0947E986">
            <w:pPr>
              <w:jc w:val="center"/>
              <w:rPr>
                <w:sz w:val="20"/>
                <w:szCs w:val="20"/>
              </w:rPr>
            </w:pPr>
            <w:r>
              <w:rPr>
                <w:rFonts w:eastAsiaTheme="minorHAnsi"/>
                <w:sz w:val="20"/>
              </w:rPr>
              <w:t>ДА</w:t>
            </w:r>
          </w:p>
        </w:tc>
        <w:tc>
          <w:tcPr>
            <w:tcW w:w="747" w:type="pct"/>
            <w:vAlign w:val="center"/>
          </w:tcPr>
          <w:p w14:paraId="26D67181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eastAsiaTheme="minorHAnsi"/>
                <w:sz w:val="20"/>
              </w:rPr>
              <w:t>Эталон</w:t>
            </w:r>
          </w:p>
        </w:tc>
        <w:tc>
          <w:tcPr>
            <w:tcW w:w="843" w:type="pct"/>
            <w:vAlign w:val="center"/>
          </w:tcPr>
          <w:p w14:paraId="0BCD21B5">
            <w:pPr>
              <w:rPr>
                <w:rFonts w:eastAsiaTheme="minorHAnsi"/>
                <w:sz w:val="20"/>
              </w:rPr>
            </w:pPr>
          </w:p>
        </w:tc>
      </w:tr>
      <w:tr w14:paraId="083B4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" w:type="pct"/>
            <w:vAlign w:val="center"/>
          </w:tcPr>
          <w:p w14:paraId="3E962B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40" w:type="pct"/>
            <w:vAlign w:val="center"/>
          </w:tcPr>
          <w:p w14:paraId="220B3E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Эталонная запись</w:t>
            </w:r>
          </w:p>
        </w:tc>
        <w:tc>
          <w:tcPr>
            <w:tcW w:w="768" w:type="pct"/>
          </w:tcPr>
          <w:p w14:paraId="2473E22F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iCs/>
                <w:sz w:val="20"/>
              </w:rPr>
              <w:t>Справочник.</w:t>
            </w:r>
            <w:r>
              <w:rPr>
                <w:sz w:val="20"/>
              </w:rPr>
              <w:t xml:space="preserve"> ГруппАналитическогоУчетаНоменклатуры</w:t>
            </w:r>
          </w:p>
        </w:tc>
        <w:tc>
          <w:tcPr>
            <w:tcW w:w="910" w:type="pct"/>
          </w:tcPr>
          <w:p w14:paraId="0CB8FE04">
            <w:pPr>
              <w:jc w:val="center"/>
              <w:rPr>
                <w:sz w:val="20"/>
                <w:szCs w:val="20"/>
              </w:rPr>
            </w:pPr>
            <w:r>
              <w:rPr>
                <w:iCs/>
                <w:sz w:val="20"/>
              </w:rPr>
              <w:t>Да (если Статус записи = Дубль)</w:t>
            </w:r>
          </w:p>
        </w:tc>
        <w:tc>
          <w:tcPr>
            <w:tcW w:w="747" w:type="pct"/>
            <w:vAlign w:val="center"/>
          </w:tcPr>
          <w:p w14:paraId="2FF5AA3C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843" w:type="pct"/>
            <w:vAlign w:val="center"/>
          </w:tcPr>
          <w:p w14:paraId="7E907DE9">
            <w:pPr>
              <w:rPr>
                <w:rFonts w:eastAsiaTheme="minorHAnsi"/>
                <w:sz w:val="20"/>
              </w:rPr>
            </w:pPr>
          </w:p>
        </w:tc>
      </w:tr>
      <w:tr w14:paraId="653F5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" w:type="pct"/>
            <w:vAlign w:val="center"/>
          </w:tcPr>
          <w:p w14:paraId="4B43C4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40" w:type="pct"/>
            <w:vAlign w:val="center"/>
          </w:tcPr>
          <w:p w14:paraId="01C441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Комментарий</w:t>
            </w:r>
          </w:p>
        </w:tc>
        <w:tc>
          <w:tcPr>
            <w:tcW w:w="768" w:type="pct"/>
            <w:vAlign w:val="center"/>
          </w:tcPr>
          <w:p w14:paraId="6122AEFD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910" w:type="pct"/>
            <w:vAlign w:val="center"/>
          </w:tcPr>
          <w:p w14:paraId="0AA004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747" w:type="pct"/>
            <w:vAlign w:val="center"/>
          </w:tcPr>
          <w:p w14:paraId="37C9D194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843" w:type="pct"/>
            <w:vAlign w:val="center"/>
          </w:tcPr>
          <w:p w14:paraId="5479F1D5">
            <w:pPr>
              <w:rPr>
                <w:rFonts w:eastAsiaTheme="minorHAnsi"/>
                <w:sz w:val="20"/>
              </w:rPr>
            </w:pPr>
          </w:p>
        </w:tc>
      </w:tr>
    </w:tbl>
    <w:p w14:paraId="1F04D029">
      <w:pPr>
        <w:rPr>
          <w:highlight w:val="yellow"/>
          <w:lang w:eastAsia="en-US"/>
        </w:rPr>
      </w:pPr>
    </w:p>
    <w:p w14:paraId="0D5B7373">
      <w:pPr>
        <w:spacing w:after="240" w:line="276" w:lineRule="auto"/>
        <w:ind w:firstLine="709"/>
        <w:jc w:val="both"/>
      </w:pPr>
      <w:r>
        <w:t xml:space="preserve">8.1.2.2. Описание структуры справочника Производитель представлено в таблице №12. </w:t>
      </w:r>
    </w:p>
    <w:p w14:paraId="0868CD39">
      <w:pPr>
        <w:spacing w:line="276" w:lineRule="auto"/>
        <w:jc w:val="right"/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</w:pPr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>Таблица 12. Структура справочника Производитель.</w:t>
      </w:r>
    </w:p>
    <w:tbl>
      <w:tblPr>
        <w:tblStyle w:val="3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1"/>
        <w:gridCol w:w="1800"/>
        <w:gridCol w:w="2991"/>
        <w:gridCol w:w="1531"/>
        <w:gridCol w:w="1515"/>
        <w:gridCol w:w="1709"/>
      </w:tblGrid>
      <w:tr w14:paraId="7F394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0" w:hRule="atLeast"/>
          <w:tblHeader/>
          <w:jc w:val="center"/>
        </w:trPr>
        <w:tc>
          <w:tcPr>
            <w:tcW w:w="292" w:type="pct"/>
            <w:shd w:val="pct15" w:color="auto" w:fill="auto"/>
            <w:vAlign w:val="center"/>
          </w:tcPr>
          <w:p w14:paraId="3795B5A6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888" w:type="pct"/>
            <w:shd w:val="pct15" w:color="auto" w:fill="auto"/>
            <w:vAlign w:val="center"/>
          </w:tcPr>
          <w:p w14:paraId="05666A67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Наименование поля</w:t>
            </w:r>
          </w:p>
        </w:tc>
        <w:tc>
          <w:tcPr>
            <w:tcW w:w="1475" w:type="pct"/>
            <w:shd w:val="pct15" w:color="auto" w:fill="auto"/>
            <w:vAlign w:val="center"/>
          </w:tcPr>
          <w:p w14:paraId="450C98FB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755" w:type="pct"/>
            <w:shd w:val="pct15" w:color="auto" w:fill="auto"/>
            <w:vAlign w:val="center"/>
          </w:tcPr>
          <w:p w14:paraId="0F55AB6E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Обязательность заполнения</w:t>
            </w:r>
          </w:p>
        </w:tc>
        <w:tc>
          <w:tcPr>
            <w:tcW w:w="747" w:type="pct"/>
            <w:shd w:val="pct15" w:color="auto" w:fill="auto"/>
            <w:vAlign w:val="center"/>
          </w:tcPr>
          <w:p w14:paraId="649E510F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Значение по умолчанию</w:t>
            </w:r>
          </w:p>
        </w:tc>
        <w:tc>
          <w:tcPr>
            <w:tcW w:w="843" w:type="pct"/>
            <w:shd w:val="pct15" w:color="auto" w:fill="auto"/>
            <w:vAlign w:val="center"/>
          </w:tcPr>
          <w:p w14:paraId="28988BD6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Примечание</w:t>
            </w:r>
          </w:p>
        </w:tc>
      </w:tr>
      <w:tr w14:paraId="0E86C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" w:type="pct"/>
            <w:vAlign w:val="center"/>
          </w:tcPr>
          <w:p w14:paraId="544B3AE2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88" w:type="pct"/>
            <w:vAlign w:val="center"/>
          </w:tcPr>
          <w:p w14:paraId="651EDA20">
            <w:pPr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Наименование</w:t>
            </w:r>
          </w:p>
        </w:tc>
        <w:tc>
          <w:tcPr>
            <w:tcW w:w="1475" w:type="pct"/>
            <w:vAlign w:val="center"/>
          </w:tcPr>
          <w:p w14:paraId="6BA2D849">
            <w:pPr>
              <w:rPr>
                <w:rFonts w:eastAsiaTheme="minorHAnsi"/>
                <w:sz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755" w:type="pct"/>
            <w:vAlign w:val="center"/>
          </w:tcPr>
          <w:p w14:paraId="6150607A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ДА</w:t>
            </w:r>
          </w:p>
        </w:tc>
        <w:tc>
          <w:tcPr>
            <w:tcW w:w="747" w:type="pct"/>
            <w:vAlign w:val="center"/>
          </w:tcPr>
          <w:p w14:paraId="6392212E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Нет</w:t>
            </w:r>
          </w:p>
        </w:tc>
        <w:tc>
          <w:tcPr>
            <w:tcW w:w="843" w:type="pct"/>
            <w:vAlign w:val="center"/>
          </w:tcPr>
          <w:p w14:paraId="780FBB06">
            <w:pPr>
              <w:rPr>
                <w:rFonts w:eastAsiaTheme="minorHAnsi"/>
                <w:sz w:val="20"/>
              </w:rPr>
            </w:pPr>
          </w:p>
        </w:tc>
      </w:tr>
      <w:tr w14:paraId="4DBE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" w:type="pct"/>
            <w:vAlign w:val="center"/>
          </w:tcPr>
          <w:p w14:paraId="62EC02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88" w:type="pct"/>
            <w:vAlign w:val="center"/>
          </w:tcPr>
          <w:p w14:paraId="1325BBCF">
            <w:pPr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Код</w:t>
            </w:r>
          </w:p>
        </w:tc>
        <w:tc>
          <w:tcPr>
            <w:tcW w:w="1475" w:type="pct"/>
            <w:vAlign w:val="center"/>
          </w:tcPr>
          <w:p w14:paraId="29A2AE1F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755" w:type="pct"/>
            <w:vAlign w:val="center"/>
          </w:tcPr>
          <w:p w14:paraId="60FE9E65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ДА</w:t>
            </w:r>
          </w:p>
        </w:tc>
        <w:tc>
          <w:tcPr>
            <w:tcW w:w="747" w:type="pct"/>
            <w:vAlign w:val="center"/>
          </w:tcPr>
          <w:p w14:paraId="230F7F4E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Нет</w:t>
            </w:r>
          </w:p>
        </w:tc>
        <w:tc>
          <w:tcPr>
            <w:tcW w:w="843" w:type="pct"/>
            <w:vAlign w:val="center"/>
          </w:tcPr>
          <w:p w14:paraId="24939B6B">
            <w:pPr>
              <w:rPr>
                <w:rFonts w:eastAsiaTheme="minorHAnsi"/>
                <w:sz w:val="20"/>
              </w:rPr>
            </w:pPr>
          </w:p>
        </w:tc>
      </w:tr>
      <w:tr w14:paraId="22ACE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" w:type="pct"/>
            <w:vAlign w:val="center"/>
          </w:tcPr>
          <w:p w14:paraId="1304B6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88" w:type="pct"/>
            <w:vAlign w:val="center"/>
          </w:tcPr>
          <w:p w14:paraId="36CB856D">
            <w:pPr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Статус записи</w:t>
            </w:r>
          </w:p>
        </w:tc>
        <w:tc>
          <w:tcPr>
            <w:tcW w:w="1475" w:type="pct"/>
            <w:vAlign w:val="center"/>
          </w:tcPr>
          <w:p w14:paraId="38CA68FC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eastAsiaTheme="minorHAnsi"/>
                <w:sz w:val="20"/>
              </w:rPr>
              <w:t>Классификатор «Статусы записи»</w:t>
            </w:r>
          </w:p>
        </w:tc>
        <w:tc>
          <w:tcPr>
            <w:tcW w:w="755" w:type="pct"/>
            <w:vAlign w:val="center"/>
          </w:tcPr>
          <w:p w14:paraId="482A62D7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ДА</w:t>
            </w:r>
          </w:p>
        </w:tc>
        <w:tc>
          <w:tcPr>
            <w:tcW w:w="747" w:type="pct"/>
            <w:vAlign w:val="center"/>
          </w:tcPr>
          <w:p w14:paraId="1D1E9D09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Эталон</w:t>
            </w:r>
          </w:p>
        </w:tc>
        <w:tc>
          <w:tcPr>
            <w:tcW w:w="843" w:type="pct"/>
            <w:vAlign w:val="center"/>
          </w:tcPr>
          <w:p w14:paraId="3A7B2E53">
            <w:pPr>
              <w:rPr>
                <w:rFonts w:eastAsiaTheme="minorHAnsi"/>
                <w:sz w:val="20"/>
              </w:rPr>
            </w:pPr>
          </w:p>
        </w:tc>
      </w:tr>
    </w:tbl>
    <w:p w14:paraId="3DC5A2D7">
      <w:pPr>
        <w:spacing w:before="240" w:after="240" w:line="276" w:lineRule="auto"/>
        <w:ind w:firstLine="709"/>
        <w:jc w:val="both"/>
      </w:pPr>
      <w:r>
        <w:t xml:space="preserve">8.1.2.3. Описание структуры справочника Страны мира (ОКСМ) представлено в таблице №13. </w:t>
      </w:r>
    </w:p>
    <w:p w14:paraId="6204D9A9">
      <w:pPr>
        <w:spacing w:line="276" w:lineRule="auto"/>
        <w:jc w:val="right"/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</w:pPr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>Таблица 13. Структура справочника Страны мира.</w:t>
      </w:r>
    </w:p>
    <w:tbl>
      <w:tblPr>
        <w:tblStyle w:val="3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9"/>
        <w:gridCol w:w="1800"/>
        <w:gridCol w:w="2991"/>
        <w:gridCol w:w="1531"/>
        <w:gridCol w:w="1515"/>
        <w:gridCol w:w="1721"/>
      </w:tblGrid>
      <w:tr w14:paraId="1FDA1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0" w:hRule="atLeast"/>
          <w:tblHeader/>
          <w:jc w:val="center"/>
        </w:trPr>
        <w:tc>
          <w:tcPr>
            <w:tcW w:w="286" w:type="pct"/>
            <w:shd w:val="pct15" w:color="auto" w:fill="auto"/>
            <w:vAlign w:val="center"/>
          </w:tcPr>
          <w:p w14:paraId="6F1F1424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888" w:type="pct"/>
            <w:shd w:val="pct15" w:color="auto" w:fill="auto"/>
            <w:vAlign w:val="center"/>
          </w:tcPr>
          <w:p w14:paraId="16548A90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Наименование поля</w:t>
            </w:r>
          </w:p>
        </w:tc>
        <w:tc>
          <w:tcPr>
            <w:tcW w:w="1475" w:type="pct"/>
            <w:shd w:val="pct15" w:color="auto" w:fill="auto"/>
            <w:vAlign w:val="center"/>
          </w:tcPr>
          <w:p w14:paraId="445475ED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755" w:type="pct"/>
            <w:shd w:val="pct15" w:color="auto" w:fill="auto"/>
            <w:vAlign w:val="center"/>
          </w:tcPr>
          <w:p w14:paraId="773CE71A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Обязательность заполнения</w:t>
            </w:r>
          </w:p>
        </w:tc>
        <w:tc>
          <w:tcPr>
            <w:tcW w:w="747" w:type="pct"/>
            <w:shd w:val="pct15" w:color="auto" w:fill="auto"/>
            <w:vAlign w:val="center"/>
          </w:tcPr>
          <w:p w14:paraId="767AC0C3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Значение по умолчанию</w:t>
            </w:r>
          </w:p>
        </w:tc>
        <w:tc>
          <w:tcPr>
            <w:tcW w:w="850" w:type="pct"/>
            <w:shd w:val="pct15" w:color="auto" w:fill="auto"/>
            <w:vAlign w:val="center"/>
          </w:tcPr>
          <w:p w14:paraId="5E41DD78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Примечание</w:t>
            </w:r>
          </w:p>
        </w:tc>
      </w:tr>
      <w:tr w14:paraId="0F020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6" w:type="pct"/>
            <w:vAlign w:val="center"/>
          </w:tcPr>
          <w:p w14:paraId="0D7DDD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88" w:type="pct"/>
            <w:vAlign w:val="center"/>
          </w:tcPr>
          <w:p w14:paraId="30ABD0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1475" w:type="pct"/>
            <w:vAlign w:val="center"/>
          </w:tcPr>
          <w:p w14:paraId="4A5AC617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755" w:type="pct"/>
            <w:vAlign w:val="center"/>
          </w:tcPr>
          <w:p w14:paraId="176E41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747" w:type="pct"/>
            <w:vAlign w:val="center"/>
          </w:tcPr>
          <w:p w14:paraId="7BE65462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Наименование страны</w:t>
            </w:r>
          </w:p>
        </w:tc>
        <w:tc>
          <w:tcPr>
            <w:tcW w:w="850" w:type="pct"/>
            <w:vAlign w:val="center"/>
          </w:tcPr>
          <w:p w14:paraId="4E402CC3">
            <w:pPr>
              <w:rPr>
                <w:sz w:val="20"/>
                <w:szCs w:val="20"/>
              </w:rPr>
            </w:pPr>
          </w:p>
        </w:tc>
      </w:tr>
      <w:tr w14:paraId="1DB27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6" w:hRule="atLeast"/>
          <w:jc w:val="center"/>
        </w:trPr>
        <w:tc>
          <w:tcPr>
            <w:tcW w:w="286" w:type="pct"/>
            <w:vAlign w:val="center"/>
          </w:tcPr>
          <w:p w14:paraId="5B564DC3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2</w:t>
            </w:r>
          </w:p>
        </w:tc>
        <w:tc>
          <w:tcPr>
            <w:tcW w:w="888" w:type="pct"/>
            <w:vAlign w:val="center"/>
          </w:tcPr>
          <w:p w14:paraId="18F22575">
            <w:pPr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Код</w:t>
            </w:r>
          </w:p>
        </w:tc>
        <w:tc>
          <w:tcPr>
            <w:tcW w:w="1475" w:type="pct"/>
            <w:vAlign w:val="center"/>
          </w:tcPr>
          <w:p w14:paraId="1C93B766">
            <w:pPr>
              <w:rPr>
                <w:rFonts w:eastAsiaTheme="minorHAnsi"/>
                <w:sz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Число</w:t>
            </w:r>
          </w:p>
        </w:tc>
        <w:tc>
          <w:tcPr>
            <w:tcW w:w="755" w:type="pct"/>
            <w:vAlign w:val="center"/>
          </w:tcPr>
          <w:p w14:paraId="69EF78E0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747" w:type="pct"/>
            <w:vAlign w:val="center"/>
          </w:tcPr>
          <w:p w14:paraId="22FD2BC1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 xml:space="preserve">Код страны </w:t>
            </w:r>
          </w:p>
        </w:tc>
        <w:tc>
          <w:tcPr>
            <w:tcW w:w="850" w:type="pct"/>
            <w:vAlign w:val="center"/>
          </w:tcPr>
          <w:p w14:paraId="658440AF">
            <w:pPr>
              <w:rPr>
                <w:rFonts w:eastAsiaTheme="minorHAnsi"/>
                <w:sz w:val="20"/>
              </w:rPr>
            </w:pPr>
          </w:p>
        </w:tc>
      </w:tr>
      <w:tr w14:paraId="10ADA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9" w:hRule="atLeast"/>
          <w:jc w:val="center"/>
        </w:trPr>
        <w:tc>
          <w:tcPr>
            <w:tcW w:w="286" w:type="pct"/>
            <w:vAlign w:val="center"/>
          </w:tcPr>
          <w:p w14:paraId="623BC15F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88" w:type="pct"/>
            <w:vAlign w:val="center"/>
          </w:tcPr>
          <w:p w14:paraId="2976323B">
            <w:pPr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Полное наименование</w:t>
            </w:r>
          </w:p>
        </w:tc>
        <w:tc>
          <w:tcPr>
            <w:tcW w:w="1475" w:type="pct"/>
            <w:vAlign w:val="center"/>
          </w:tcPr>
          <w:p w14:paraId="3671B74F">
            <w:pPr>
              <w:rPr>
                <w:rFonts w:eastAsiaTheme="minorHAnsi"/>
                <w:sz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755" w:type="pct"/>
            <w:vAlign w:val="center"/>
          </w:tcPr>
          <w:p w14:paraId="43921C2E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747" w:type="pct"/>
            <w:vAlign w:val="center"/>
          </w:tcPr>
          <w:p w14:paraId="574FD951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Полное наименование страны</w:t>
            </w:r>
          </w:p>
        </w:tc>
        <w:tc>
          <w:tcPr>
            <w:tcW w:w="850" w:type="pct"/>
            <w:vAlign w:val="center"/>
          </w:tcPr>
          <w:p w14:paraId="2D50D2A4">
            <w:pPr>
              <w:rPr>
                <w:rFonts w:eastAsiaTheme="minorHAnsi"/>
                <w:sz w:val="20"/>
              </w:rPr>
            </w:pPr>
          </w:p>
        </w:tc>
      </w:tr>
      <w:tr w14:paraId="78AA0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9" w:hRule="atLeast"/>
          <w:jc w:val="center"/>
        </w:trPr>
        <w:tc>
          <w:tcPr>
            <w:tcW w:w="286" w:type="pct"/>
            <w:vAlign w:val="center"/>
          </w:tcPr>
          <w:p w14:paraId="71A1E9B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88" w:type="pct"/>
            <w:vAlign w:val="center"/>
          </w:tcPr>
          <w:p w14:paraId="6B9007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Международное наименование</w:t>
            </w:r>
          </w:p>
        </w:tc>
        <w:tc>
          <w:tcPr>
            <w:tcW w:w="1475" w:type="pct"/>
            <w:vAlign w:val="center"/>
          </w:tcPr>
          <w:p w14:paraId="0F8D8923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755" w:type="pct"/>
            <w:vAlign w:val="center"/>
          </w:tcPr>
          <w:p w14:paraId="43D2BC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747" w:type="pct"/>
            <w:vAlign w:val="center"/>
          </w:tcPr>
          <w:p w14:paraId="0693DB6C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eastAsiaTheme="minorHAnsi"/>
                <w:sz w:val="20"/>
              </w:rPr>
              <w:t>Международное наименование страны</w:t>
            </w:r>
          </w:p>
        </w:tc>
        <w:tc>
          <w:tcPr>
            <w:tcW w:w="850" w:type="pct"/>
            <w:vAlign w:val="center"/>
          </w:tcPr>
          <w:p w14:paraId="715583B1">
            <w:pPr>
              <w:rPr>
                <w:sz w:val="20"/>
                <w:szCs w:val="20"/>
              </w:rPr>
            </w:pPr>
          </w:p>
        </w:tc>
      </w:tr>
      <w:tr w14:paraId="74A60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9" w:hRule="atLeast"/>
          <w:jc w:val="center"/>
        </w:trPr>
        <w:tc>
          <w:tcPr>
            <w:tcW w:w="286" w:type="pct"/>
            <w:vAlign w:val="center"/>
          </w:tcPr>
          <w:p w14:paraId="2DAB78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88" w:type="pct"/>
            <w:vAlign w:val="center"/>
          </w:tcPr>
          <w:p w14:paraId="264194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альфа-2</w:t>
            </w:r>
          </w:p>
        </w:tc>
        <w:tc>
          <w:tcPr>
            <w:tcW w:w="1475" w:type="pct"/>
            <w:vAlign w:val="center"/>
          </w:tcPr>
          <w:p w14:paraId="3CEFFA7F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Классификатор </w:t>
            </w:r>
          </w:p>
        </w:tc>
        <w:tc>
          <w:tcPr>
            <w:tcW w:w="755" w:type="pct"/>
            <w:vAlign w:val="center"/>
          </w:tcPr>
          <w:p w14:paraId="5D69A6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747" w:type="pct"/>
            <w:vAlign w:val="center"/>
          </w:tcPr>
          <w:p w14:paraId="391F2708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850" w:type="pct"/>
            <w:vAlign w:val="center"/>
          </w:tcPr>
          <w:p w14:paraId="7B29260F">
            <w:pPr>
              <w:rPr>
                <w:sz w:val="20"/>
                <w:szCs w:val="20"/>
              </w:rPr>
            </w:pPr>
          </w:p>
        </w:tc>
      </w:tr>
      <w:tr w14:paraId="7552E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9" w:hRule="atLeast"/>
          <w:jc w:val="center"/>
        </w:trPr>
        <w:tc>
          <w:tcPr>
            <w:tcW w:w="286" w:type="pct"/>
            <w:vAlign w:val="center"/>
          </w:tcPr>
          <w:p w14:paraId="20F0B6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88" w:type="pct"/>
            <w:vAlign w:val="center"/>
          </w:tcPr>
          <w:p w14:paraId="4DA15A4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альфа-3</w:t>
            </w:r>
          </w:p>
        </w:tc>
        <w:tc>
          <w:tcPr>
            <w:tcW w:w="1475" w:type="pct"/>
            <w:vAlign w:val="center"/>
          </w:tcPr>
          <w:p w14:paraId="4211D333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Классификатор</w:t>
            </w:r>
          </w:p>
        </w:tc>
        <w:tc>
          <w:tcPr>
            <w:tcW w:w="755" w:type="pct"/>
            <w:vAlign w:val="center"/>
          </w:tcPr>
          <w:p w14:paraId="40E0313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747" w:type="pct"/>
            <w:vAlign w:val="center"/>
          </w:tcPr>
          <w:p w14:paraId="73CC8462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850" w:type="pct"/>
            <w:vAlign w:val="center"/>
          </w:tcPr>
          <w:p w14:paraId="07FFA468">
            <w:pPr>
              <w:rPr>
                <w:sz w:val="20"/>
                <w:szCs w:val="20"/>
              </w:rPr>
            </w:pPr>
          </w:p>
        </w:tc>
      </w:tr>
      <w:tr w14:paraId="19AE6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9" w:hRule="atLeast"/>
          <w:jc w:val="center"/>
        </w:trPr>
        <w:tc>
          <w:tcPr>
            <w:tcW w:w="286" w:type="pct"/>
            <w:vAlign w:val="center"/>
          </w:tcPr>
          <w:p w14:paraId="08636E9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88" w:type="pct"/>
            <w:vAlign w:val="center"/>
          </w:tcPr>
          <w:p w14:paraId="69974A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Участник ЕАЭС</w:t>
            </w:r>
          </w:p>
        </w:tc>
        <w:tc>
          <w:tcPr>
            <w:tcW w:w="1475" w:type="pct"/>
            <w:vAlign w:val="center"/>
          </w:tcPr>
          <w:p w14:paraId="6C09B6C5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Булево</w:t>
            </w:r>
          </w:p>
        </w:tc>
        <w:tc>
          <w:tcPr>
            <w:tcW w:w="755" w:type="pct"/>
            <w:vAlign w:val="center"/>
          </w:tcPr>
          <w:p w14:paraId="4BB5A5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747" w:type="pct"/>
            <w:vAlign w:val="center"/>
          </w:tcPr>
          <w:p w14:paraId="128C4BFD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850" w:type="pct"/>
            <w:vAlign w:val="center"/>
          </w:tcPr>
          <w:p w14:paraId="2B4BE574">
            <w:pPr>
              <w:rPr>
                <w:sz w:val="20"/>
                <w:szCs w:val="20"/>
              </w:rPr>
            </w:pPr>
          </w:p>
        </w:tc>
      </w:tr>
    </w:tbl>
    <w:p w14:paraId="2D011A62">
      <w:pPr>
        <w:spacing w:before="240" w:after="240" w:line="276" w:lineRule="auto"/>
        <w:ind w:firstLine="709"/>
        <w:jc w:val="both"/>
      </w:pPr>
      <w:r>
        <w:t xml:space="preserve">8.1.2.4. Описание структуры справочника Единицы измерения представлено в таблице №14. </w:t>
      </w:r>
    </w:p>
    <w:p w14:paraId="1E5DF094">
      <w:pPr>
        <w:spacing w:after="240" w:line="276" w:lineRule="auto"/>
        <w:ind w:firstLine="709"/>
        <w:jc w:val="both"/>
      </w:pPr>
      <w:r>
        <w:t xml:space="preserve">В результате нормализации справочник Единиц измерения должен соответствовать Общероссийскому классификатору единиц измерения (ОКЕИ).  </w:t>
      </w:r>
    </w:p>
    <w:p w14:paraId="14E3227A">
      <w:pPr>
        <w:spacing w:line="276" w:lineRule="auto"/>
        <w:jc w:val="right"/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</w:pPr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>Таблица 14. Структура справочника Единицы измерения.</w:t>
      </w:r>
    </w:p>
    <w:tbl>
      <w:tblPr>
        <w:tblStyle w:val="3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7"/>
        <w:gridCol w:w="1800"/>
        <w:gridCol w:w="2991"/>
        <w:gridCol w:w="1531"/>
        <w:gridCol w:w="1515"/>
        <w:gridCol w:w="1713"/>
      </w:tblGrid>
      <w:tr w14:paraId="1FF81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0" w:hRule="atLeast"/>
          <w:tblHeader/>
          <w:jc w:val="center"/>
        </w:trPr>
        <w:tc>
          <w:tcPr>
            <w:tcW w:w="290" w:type="pct"/>
            <w:shd w:val="pct15" w:color="auto" w:fill="auto"/>
            <w:vAlign w:val="center"/>
          </w:tcPr>
          <w:p w14:paraId="68AE6B73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888" w:type="pct"/>
            <w:shd w:val="pct15" w:color="auto" w:fill="auto"/>
            <w:vAlign w:val="center"/>
          </w:tcPr>
          <w:p w14:paraId="065CFF69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Наименование поля</w:t>
            </w:r>
          </w:p>
        </w:tc>
        <w:tc>
          <w:tcPr>
            <w:tcW w:w="1475" w:type="pct"/>
            <w:shd w:val="pct15" w:color="auto" w:fill="auto"/>
            <w:vAlign w:val="center"/>
          </w:tcPr>
          <w:p w14:paraId="38BF1073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755" w:type="pct"/>
            <w:shd w:val="pct15" w:color="auto" w:fill="auto"/>
            <w:vAlign w:val="center"/>
          </w:tcPr>
          <w:p w14:paraId="14E6D330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Обязательность заполнения</w:t>
            </w:r>
          </w:p>
        </w:tc>
        <w:tc>
          <w:tcPr>
            <w:tcW w:w="747" w:type="pct"/>
            <w:shd w:val="pct15" w:color="auto" w:fill="auto"/>
            <w:vAlign w:val="center"/>
          </w:tcPr>
          <w:p w14:paraId="76408FE2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Значение по умолчанию</w:t>
            </w:r>
          </w:p>
        </w:tc>
        <w:tc>
          <w:tcPr>
            <w:tcW w:w="845" w:type="pct"/>
            <w:shd w:val="pct15" w:color="auto" w:fill="auto"/>
            <w:vAlign w:val="center"/>
          </w:tcPr>
          <w:p w14:paraId="25DCBAD4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Примечание</w:t>
            </w:r>
          </w:p>
        </w:tc>
      </w:tr>
      <w:tr w14:paraId="02D49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" w:type="pct"/>
            <w:vAlign w:val="center"/>
          </w:tcPr>
          <w:p w14:paraId="0B6C41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88" w:type="pct"/>
            <w:vAlign w:val="center"/>
          </w:tcPr>
          <w:p w14:paraId="5324AF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</w:t>
            </w:r>
          </w:p>
        </w:tc>
        <w:tc>
          <w:tcPr>
            <w:tcW w:w="1475" w:type="pct"/>
            <w:vAlign w:val="center"/>
          </w:tcPr>
          <w:p w14:paraId="41617EE2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755" w:type="pct"/>
            <w:vAlign w:val="center"/>
          </w:tcPr>
          <w:p w14:paraId="544D71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747" w:type="pct"/>
            <w:vAlign w:val="center"/>
          </w:tcPr>
          <w:p w14:paraId="3A0DED6F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845" w:type="pct"/>
            <w:vAlign w:val="center"/>
          </w:tcPr>
          <w:p w14:paraId="435A8607">
            <w:pPr>
              <w:rPr>
                <w:sz w:val="20"/>
                <w:szCs w:val="20"/>
              </w:rPr>
            </w:pPr>
          </w:p>
        </w:tc>
      </w:tr>
      <w:tr w14:paraId="7B433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" w:type="pct"/>
            <w:vAlign w:val="center"/>
          </w:tcPr>
          <w:p w14:paraId="7E5C1C7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88" w:type="pct"/>
            <w:vAlign w:val="center"/>
          </w:tcPr>
          <w:p w14:paraId="2EBDC7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Условное обозначение</w:t>
            </w:r>
          </w:p>
        </w:tc>
        <w:tc>
          <w:tcPr>
            <w:tcW w:w="1475" w:type="pct"/>
            <w:vAlign w:val="center"/>
          </w:tcPr>
          <w:p w14:paraId="418E9BDB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755" w:type="pct"/>
            <w:vAlign w:val="center"/>
          </w:tcPr>
          <w:p w14:paraId="16FDF5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747" w:type="pct"/>
            <w:vAlign w:val="center"/>
          </w:tcPr>
          <w:p w14:paraId="27B595A7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845" w:type="pct"/>
            <w:vAlign w:val="center"/>
          </w:tcPr>
          <w:p w14:paraId="7C3AEA80">
            <w:pPr>
              <w:rPr>
                <w:sz w:val="20"/>
                <w:szCs w:val="20"/>
              </w:rPr>
            </w:pPr>
          </w:p>
        </w:tc>
      </w:tr>
      <w:tr w14:paraId="51536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" w:type="pct"/>
            <w:vAlign w:val="center"/>
          </w:tcPr>
          <w:p w14:paraId="30DA1E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88" w:type="pct"/>
            <w:vAlign w:val="center"/>
          </w:tcPr>
          <w:p w14:paraId="3AE1AC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1475" w:type="pct"/>
            <w:vAlign w:val="center"/>
          </w:tcPr>
          <w:p w14:paraId="7EA22273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755" w:type="pct"/>
            <w:vAlign w:val="center"/>
          </w:tcPr>
          <w:p w14:paraId="2D1092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747" w:type="pct"/>
            <w:vAlign w:val="center"/>
          </w:tcPr>
          <w:p w14:paraId="6FC116A7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845" w:type="pct"/>
            <w:vAlign w:val="center"/>
          </w:tcPr>
          <w:p w14:paraId="5D8EFB81">
            <w:pPr>
              <w:rPr>
                <w:sz w:val="20"/>
                <w:szCs w:val="20"/>
              </w:rPr>
            </w:pPr>
          </w:p>
        </w:tc>
      </w:tr>
      <w:tr w14:paraId="54632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" w:type="pct"/>
            <w:vAlign w:val="center"/>
          </w:tcPr>
          <w:p w14:paraId="06BD0E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88" w:type="pct"/>
            <w:vAlign w:val="center"/>
          </w:tcPr>
          <w:p w14:paraId="1DDD36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Группа единиц измерения</w:t>
            </w:r>
          </w:p>
        </w:tc>
        <w:tc>
          <w:tcPr>
            <w:tcW w:w="1475" w:type="pct"/>
            <w:vAlign w:val="center"/>
          </w:tcPr>
          <w:p w14:paraId="4A7C790A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755" w:type="pct"/>
            <w:vAlign w:val="center"/>
          </w:tcPr>
          <w:p w14:paraId="243C3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747" w:type="pct"/>
            <w:vAlign w:val="center"/>
          </w:tcPr>
          <w:p w14:paraId="36456488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845" w:type="pct"/>
            <w:vAlign w:val="center"/>
          </w:tcPr>
          <w:p w14:paraId="1F2E759F">
            <w:pPr>
              <w:rPr>
                <w:sz w:val="20"/>
                <w:szCs w:val="20"/>
              </w:rPr>
            </w:pPr>
          </w:p>
        </w:tc>
      </w:tr>
      <w:tr w14:paraId="458A0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" w:type="pct"/>
            <w:vAlign w:val="center"/>
          </w:tcPr>
          <w:p w14:paraId="7A1411BB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5</w:t>
            </w:r>
          </w:p>
        </w:tc>
        <w:tc>
          <w:tcPr>
            <w:tcW w:w="888" w:type="pct"/>
            <w:vAlign w:val="center"/>
          </w:tcPr>
          <w:p w14:paraId="6EF91A7B">
            <w:pPr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Международное сокращение</w:t>
            </w:r>
          </w:p>
        </w:tc>
        <w:tc>
          <w:tcPr>
            <w:tcW w:w="1475" w:type="pct"/>
            <w:vAlign w:val="center"/>
          </w:tcPr>
          <w:p w14:paraId="6579E215">
            <w:pPr>
              <w:rPr>
                <w:rFonts w:eastAsiaTheme="minorHAnsi"/>
                <w:sz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755" w:type="pct"/>
            <w:vAlign w:val="center"/>
          </w:tcPr>
          <w:p w14:paraId="0FE33425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747" w:type="pct"/>
            <w:vAlign w:val="center"/>
          </w:tcPr>
          <w:p w14:paraId="1A54343A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Пусто</w:t>
            </w:r>
          </w:p>
        </w:tc>
        <w:tc>
          <w:tcPr>
            <w:tcW w:w="845" w:type="pct"/>
            <w:vAlign w:val="center"/>
          </w:tcPr>
          <w:p w14:paraId="2B64652C">
            <w:pPr>
              <w:rPr>
                <w:rFonts w:eastAsiaTheme="minorHAnsi"/>
                <w:sz w:val="20"/>
              </w:rPr>
            </w:pPr>
          </w:p>
        </w:tc>
      </w:tr>
    </w:tbl>
    <w:p w14:paraId="45102FE5">
      <w:pPr>
        <w:spacing w:before="240" w:after="240" w:line="276" w:lineRule="auto"/>
        <w:ind w:firstLine="709"/>
        <w:jc w:val="both"/>
      </w:pPr>
      <w:r>
        <w:t>8.1.2.5. Описание структуры справочника Пересчет единиц измерения представлен в таблице №15.</w:t>
      </w:r>
    </w:p>
    <w:p w14:paraId="190A4F44">
      <w:pPr>
        <w:spacing w:line="276" w:lineRule="auto"/>
        <w:jc w:val="right"/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</w:pPr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>Таблица 15. Структура справочника Пересчет единиц измерения.</w:t>
      </w:r>
    </w:p>
    <w:tbl>
      <w:tblPr>
        <w:tblStyle w:val="3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9"/>
        <w:gridCol w:w="1800"/>
        <w:gridCol w:w="2991"/>
        <w:gridCol w:w="1531"/>
        <w:gridCol w:w="1515"/>
        <w:gridCol w:w="1711"/>
      </w:tblGrid>
      <w:tr w14:paraId="4D011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0" w:hRule="atLeast"/>
          <w:tblHeader/>
          <w:jc w:val="center"/>
        </w:trPr>
        <w:tc>
          <w:tcPr>
            <w:tcW w:w="291" w:type="pct"/>
            <w:shd w:val="pct15" w:color="auto" w:fill="auto"/>
            <w:vAlign w:val="center"/>
          </w:tcPr>
          <w:p w14:paraId="3B8FACD5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888" w:type="pct"/>
            <w:shd w:val="pct15" w:color="auto" w:fill="auto"/>
            <w:vAlign w:val="center"/>
          </w:tcPr>
          <w:p w14:paraId="11E64C03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Наименование поля</w:t>
            </w:r>
          </w:p>
        </w:tc>
        <w:tc>
          <w:tcPr>
            <w:tcW w:w="1475" w:type="pct"/>
            <w:shd w:val="pct15" w:color="auto" w:fill="auto"/>
            <w:vAlign w:val="center"/>
          </w:tcPr>
          <w:p w14:paraId="4AFEC064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755" w:type="pct"/>
            <w:shd w:val="pct15" w:color="auto" w:fill="auto"/>
            <w:vAlign w:val="center"/>
          </w:tcPr>
          <w:p w14:paraId="2A27AA1A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Обязательность заполнения</w:t>
            </w:r>
          </w:p>
        </w:tc>
        <w:tc>
          <w:tcPr>
            <w:tcW w:w="747" w:type="pct"/>
            <w:shd w:val="pct15" w:color="auto" w:fill="auto"/>
            <w:vAlign w:val="center"/>
          </w:tcPr>
          <w:p w14:paraId="4EB55EE4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Значение по умолчанию</w:t>
            </w:r>
          </w:p>
        </w:tc>
        <w:tc>
          <w:tcPr>
            <w:tcW w:w="845" w:type="pct"/>
            <w:shd w:val="pct15" w:color="auto" w:fill="auto"/>
            <w:vAlign w:val="center"/>
          </w:tcPr>
          <w:p w14:paraId="1F063A8E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Примечание</w:t>
            </w:r>
          </w:p>
        </w:tc>
      </w:tr>
      <w:tr w14:paraId="5C500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" w:type="pct"/>
            <w:vAlign w:val="center"/>
          </w:tcPr>
          <w:p w14:paraId="3E10FC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88" w:type="pct"/>
            <w:vAlign w:val="center"/>
          </w:tcPr>
          <w:p w14:paraId="2CC513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Базовая единица измерения</w:t>
            </w:r>
          </w:p>
        </w:tc>
        <w:tc>
          <w:tcPr>
            <w:tcW w:w="1475" w:type="pct"/>
            <w:vAlign w:val="center"/>
          </w:tcPr>
          <w:p w14:paraId="1F9A4B88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755" w:type="pct"/>
            <w:vAlign w:val="center"/>
          </w:tcPr>
          <w:p w14:paraId="7D5071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747" w:type="pct"/>
            <w:vAlign w:val="center"/>
          </w:tcPr>
          <w:p w14:paraId="121E43B1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845" w:type="pct"/>
            <w:vAlign w:val="center"/>
          </w:tcPr>
          <w:p w14:paraId="2E17A635">
            <w:pPr>
              <w:rPr>
                <w:sz w:val="20"/>
                <w:szCs w:val="20"/>
              </w:rPr>
            </w:pPr>
          </w:p>
        </w:tc>
      </w:tr>
      <w:tr w14:paraId="7648C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" w:type="pct"/>
            <w:vAlign w:val="center"/>
          </w:tcPr>
          <w:p w14:paraId="065B70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88" w:type="pct"/>
            <w:vAlign w:val="center"/>
          </w:tcPr>
          <w:p w14:paraId="7D0521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Альтернативная единица измерения</w:t>
            </w:r>
          </w:p>
        </w:tc>
        <w:tc>
          <w:tcPr>
            <w:tcW w:w="1475" w:type="pct"/>
            <w:vAlign w:val="center"/>
          </w:tcPr>
          <w:p w14:paraId="48E22DB2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755" w:type="pct"/>
            <w:vAlign w:val="center"/>
          </w:tcPr>
          <w:p w14:paraId="27FFE0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747" w:type="pct"/>
            <w:vAlign w:val="center"/>
          </w:tcPr>
          <w:p w14:paraId="1E5667BA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845" w:type="pct"/>
            <w:vAlign w:val="center"/>
          </w:tcPr>
          <w:p w14:paraId="73D610A0">
            <w:pPr>
              <w:rPr>
                <w:sz w:val="20"/>
                <w:szCs w:val="20"/>
              </w:rPr>
            </w:pPr>
          </w:p>
        </w:tc>
      </w:tr>
      <w:tr w14:paraId="69931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" w:type="pct"/>
            <w:vAlign w:val="center"/>
          </w:tcPr>
          <w:p w14:paraId="60927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88" w:type="pct"/>
            <w:vAlign w:val="center"/>
          </w:tcPr>
          <w:p w14:paraId="6DAC03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Коэффициент пересчета</w:t>
            </w:r>
          </w:p>
        </w:tc>
        <w:tc>
          <w:tcPr>
            <w:tcW w:w="1475" w:type="pct"/>
            <w:vAlign w:val="center"/>
          </w:tcPr>
          <w:p w14:paraId="7B1FE1A8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Число</w:t>
            </w:r>
          </w:p>
        </w:tc>
        <w:tc>
          <w:tcPr>
            <w:tcW w:w="755" w:type="pct"/>
            <w:vAlign w:val="center"/>
          </w:tcPr>
          <w:p w14:paraId="1120D15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747" w:type="pct"/>
            <w:vAlign w:val="center"/>
          </w:tcPr>
          <w:p w14:paraId="330C7C7B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845" w:type="pct"/>
            <w:vAlign w:val="center"/>
          </w:tcPr>
          <w:p w14:paraId="01104E28">
            <w:pPr>
              <w:rPr>
                <w:sz w:val="20"/>
                <w:szCs w:val="20"/>
              </w:rPr>
            </w:pPr>
          </w:p>
        </w:tc>
      </w:tr>
    </w:tbl>
    <w:p w14:paraId="42BB83F2">
      <w:pPr>
        <w:spacing w:before="240" w:after="240" w:line="276" w:lineRule="auto"/>
        <w:ind w:firstLine="709"/>
      </w:pPr>
      <w:r>
        <w:t xml:space="preserve">8.1.2.6. Описание структуры справочника ОКПД 2 представлено в таблице №16. </w:t>
      </w:r>
    </w:p>
    <w:p w14:paraId="03EF6D53">
      <w:pPr>
        <w:spacing w:before="240" w:after="240" w:line="276" w:lineRule="auto"/>
        <w:ind w:firstLine="709"/>
        <w:jc w:val="both"/>
      </w:pPr>
      <w:r>
        <w:t xml:space="preserve">Структура справочника ОКПД 2 определена Приказом Росстандарта от 31.01.2014 №14-ст (с изменениями, утвержденными Приказом Росстандарта от 03.05.2017 №347-ст).  ОКПД 2 входит в состав национальной системы стандартизации Российской Федерации. </w:t>
      </w:r>
    </w:p>
    <w:p w14:paraId="2EC1AF5C">
      <w:pPr>
        <w:spacing w:line="276" w:lineRule="auto"/>
        <w:jc w:val="right"/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</w:pPr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>Таблица 16. Структура справочника ОКПД 2.</w:t>
      </w:r>
    </w:p>
    <w:tbl>
      <w:tblPr>
        <w:tblStyle w:val="3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1800"/>
        <w:gridCol w:w="2547"/>
        <w:gridCol w:w="1843"/>
        <w:gridCol w:w="1843"/>
        <w:gridCol w:w="1523"/>
      </w:tblGrid>
      <w:tr w14:paraId="23B8A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0" w:hRule="atLeast"/>
          <w:tblHeader/>
          <w:jc w:val="center"/>
        </w:trPr>
        <w:tc>
          <w:tcPr>
            <w:tcW w:w="287" w:type="pct"/>
            <w:shd w:val="pct15" w:color="auto" w:fill="auto"/>
            <w:vAlign w:val="center"/>
          </w:tcPr>
          <w:p w14:paraId="57712B18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888" w:type="pct"/>
            <w:shd w:val="pct15" w:color="auto" w:fill="auto"/>
            <w:vAlign w:val="center"/>
          </w:tcPr>
          <w:p w14:paraId="2B8F2D48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Наименование поля</w:t>
            </w:r>
          </w:p>
        </w:tc>
        <w:tc>
          <w:tcPr>
            <w:tcW w:w="1256" w:type="pct"/>
            <w:shd w:val="pct15" w:color="auto" w:fill="auto"/>
            <w:vAlign w:val="center"/>
          </w:tcPr>
          <w:p w14:paraId="2EC8FCC6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Тип данных</w:t>
            </w:r>
          </w:p>
        </w:tc>
        <w:tc>
          <w:tcPr>
            <w:tcW w:w="909" w:type="pct"/>
            <w:shd w:val="pct15" w:color="auto" w:fill="auto"/>
            <w:vAlign w:val="center"/>
          </w:tcPr>
          <w:p w14:paraId="6F95F4B2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Обязательность заполнения</w:t>
            </w:r>
          </w:p>
        </w:tc>
        <w:tc>
          <w:tcPr>
            <w:tcW w:w="909" w:type="pct"/>
            <w:shd w:val="pct15" w:color="auto" w:fill="auto"/>
            <w:vAlign w:val="center"/>
          </w:tcPr>
          <w:p w14:paraId="66D9366A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Значение по умолчанию</w:t>
            </w:r>
          </w:p>
        </w:tc>
        <w:tc>
          <w:tcPr>
            <w:tcW w:w="751" w:type="pct"/>
            <w:shd w:val="pct15" w:color="auto" w:fill="auto"/>
            <w:vAlign w:val="center"/>
          </w:tcPr>
          <w:p w14:paraId="36097420">
            <w:pPr>
              <w:jc w:val="center"/>
              <w:rPr>
                <w:rFonts w:eastAsiaTheme="minorHAnsi"/>
                <w:sz w:val="20"/>
              </w:rPr>
            </w:pPr>
            <w:r>
              <w:rPr>
                <w:b/>
                <w:sz w:val="20"/>
                <w:szCs w:val="20"/>
              </w:rPr>
              <w:t>Примечание</w:t>
            </w:r>
          </w:p>
        </w:tc>
      </w:tr>
      <w:tr w14:paraId="3AED7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7" w:type="pct"/>
            <w:vAlign w:val="center"/>
          </w:tcPr>
          <w:p w14:paraId="7EE57C2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88" w:type="pct"/>
            <w:vAlign w:val="center"/>
          </w:tcPr>
          <w:p w14:paraId="44D84D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1256" w:type="pct"/>
            <w:vAlign w:val="center"/>
          </w:tcPr>
          <w:p w14:paraId="3912474B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909" w:type="pct"/>
            <w:vAlign w:val="center"/>
          </w:tcPr>
          <w:p w14:paraId="0D45DD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909" w:type="pct"/>
            <w:vAlign w:val="center"/>
          </w:tcPr>
          <w:p w14:paraId="4C446012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Наименование </w:t>
            </w:r>
          </w:p>
        </w:tc>
        <w:tc>
          <w:tcPr>
            <w:tcW w:w="751" w:type="pct"/>
            <w:vAlign w:val="center"/>
          </w:tcPr>
          <w:p w14:paraId="76266B40">
            <w:pPr>
              <w:rPr>
                <w:sz w:val="20"/>
                <w:szCs w:val="20"/>
              </w:rPr>
            </w:pPr>
          </w:p>
        </w:tc>
      </w:tr>
      <w:tr w14:paraId="22030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6" w:hRule="atLeast"/>
          <w:jc w:val="center"/>
        </w:trPr>
        <w:tc>
          <w:tcPr>
            <w:tcW w:w="287" w:type="pct"/>
            <w:vAlign w:val="center"/>
          </w:tcPr>
          <w:p w14:paraId="43420DC0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2</w:t>
            </w:r>
          </w:p>
        </w:tc>
        <w:tc>
          <w:tcPr>
            <w:tcW w:w="888" w:type="pct"/>
            <w:vAlign w:val="center"/>
          </w:tcPr>
          <w:p w14:paraId="58164E53">
            <w:pPr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Код</w:t>
            </w:r>
          </w:p>
        </w:tc>
        <w:tc>
          <w:tcPr>
            <w:tcW w:w="1256" w:type="pct"/>
            <w:vAlign w:val="center"/>
          </w:tcPr>
          <w:p w14:paraId="6AC79C3E">
            <w:pPr>
              <w:rPr>
                <w:rFonts w:eastAsiaTheme="minorHAnsi"/>
                <w:sz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909" w:type="pct"/>
            <w:vAlign w:val="center"/>
          </w:tcPr>
          <w:p w14:paraId="06C1EB6A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909" w:type="pct"/>
            <w:vAlign w:val="center"/>
          </w:tcPr>
          <w:p w14:paraId="587102C5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 xml:space="preserve">Код классификации  </w:t>
            </w:r>
          </w:p>
        </w:tc>
        <w:tc>
          <w:tcPr>
            <w:tcW w:w="751" w:type="pct"/>
            <w:vAlign w:val="center"/>
          </w:tcPr>
          <w:p w14:paraId="0284216D">
            <w:pPr>
              <w:rPr>
                <w:rFonts w:eastAsiaTheme="minorHAnsi"/>
                <w:sz w:val="20"/>
              </w:rPr>
            </w:pPr>
          </w:p>
        </w:tc>
      </w:tr>
      <w:tr w14:paraId="672CC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9" w:hRule="atLeast"/>
          <w:jc w:val="center"/>
        </w:trPr>
        <w:tc>
          <w:tcPr>
            <w:tcW w:w="287" w:type="pct"/>
            <w:vAlign w:val="center"/>
          </w:tcPr>
          <w:p w14:paraId="6A5489D5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88" w:type="pct"/>
            <w:vAlign w:val="center"/>
          </w:tcPr>
          <w:p w14:paraId="48389755">
            <w:pPr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Полное наименование</w:t>
            </w:r>
          </w:p>
        </w:tc>
        <w:tc>
          <w:tcPr>
            <w:tcW w:w="1256" w:type="pct"/>
            <w:vAlign w:val="center"/>
          </w:tcPr>
          <w:p w14:paraId="3E126162">
            <w:pPr>
              <w:rPr>
                <w:rFonts w:eastAsiaTheme="minorHAnsi"/>
                <w:sz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909" w:type="pct"/>
            <w:vAlign w:val="center"/>
          </w:tcPr>
          <w:p w14:paraId="622ECDB5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909" w:type="pct"/>
            <w:vAlign w:val="center"/>
          </w:tcPr>
          <w:p w14:paraId="3896822E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 xml:space="preserve">Полное наименование </w:t>
            </w:r>
          </w:p>
        </w:tc>
        <w:tc>
          <w:tcPr>
            <w:tcW w:w="751" w:type="pct"/>
            <w:vAlign w:val="center"/>
          </w:tcPr>
          <w:p w14:paraId="010CE7FF">
            <w:pPr>
              <w:rPr>
                <w:rFonts w:eastAsiaTheme="minorHAnsi"/>
                <w:sz w:val="20"/>
              </w:rPr>
            </w:pPr>
          </w:p>
        </w:tc>
      </w:tr>
      <w:tr w14:paraId="41DAB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9" w:hRule="atLeast"/>
          <w:jc w:val="center"/>
        </w:trPr>
        <w:tc>
          <w:tcPr>
            <w:tcW w:w="287" w:type="pct"/>
            <w:vAlign w:val="center"/>
          </w:tcPr>
          <w:p w14:paraId="3BED62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88" w:type="pct"/>
            <w:vAlign w:val="center"/>
          </w:tcPr>
          <w:p w14:paraId="1CF20D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Вышестоящий класс</w:t>
            </w:r>
          </w:p>
        </w:tc>
        <w:tc>
          <w:tcPr>
            <w:tcW w:w="1256" w:type="pct"/>
            <w:vAlign w:val="center"/>
          </w:tcPr>
          <w:p w14:paraId="0CE9D47B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Ссылка</w:t>
            </w:r>
          </w:p>
        </w:tc>
        <w:tc>
          <w:tcPr>
            <w:tcW w:w="909" w:type="pct"/>
            <w:vAlign w:val="center"/>
          </w:tcPr>
          <w:p w14:paraId="018922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909" w:type="pct"/>
            <w:vAlign w:val="center"/>
          </w:tcPr>
          <w:p w14:paraId="04FCEAE8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Пусто</w:t>
            </w:r>
          </w:p>
        </w:tc>
        <w:tc>
          <w:tcPr>
            <w:tcW w:w="751" w:type="pct"/>
            <w:vAlign w:val="center"/>
          </w:tcPr>
          <w:p w14:paraId="75CC836C">
            <w:pPr>
              <w:rPr>
                <w:rFonts w:eastAsiaTheme="minorHAnsi"/>
                <w:sz w:val="20"/>
              </w:rPr>
            </w:pPr>
          </w:p>
        </w:tc>
      </w:tr>
      <w:tr w14:paraId="6A614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9" w:hRule="atLeast"/>
          <w:jc w:val="center"/>
        </w:trPr>
        <w:tc>
          <w:tcPr>
            <w:tcW w:w="287" w:type="pct"/>
            <w:vAlign w:val="center"/>
          </w:tcPr>
          <w:p w14:paraId="7E36CA5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88" w:type="pct"/>
            <w:vAlign w:val="center"/>
          </w:tcPr>
          <w:p w14:paraId="16FD73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Предопределенный</w:t>
            </w:r>
          </w:p>
        </w:tc>
        <w:tc>
          <w:tcPr>
            <w:tcW w:w="1256" w:type="pct"/>
            <w:vAlign w:val="center"/>
          </w:tcPr>
          <w:p w14:paraId="145707C7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eastAsiaTheme="minorHAnsi"/>
                <w:sz w:val="20"/>
              </w:rPr>
              <w:t>Булево</w:t>
            </w:r>
          </w:p>
        </w:tc>
        <w:tc>
          <w:tcPr>
            <w:tcW w:w="909" w:type="pct"/>
            <w:vAlign w:val="center"/>
          </w:tcPr>
          <w:p w14:paraId="69D21B7B">
            <w:pPr>
              <w:jc w:val="center"/>
              <w:rPr>
                <w:sz w:val="20"/>
                <w:szCs w:val="20"/>
              </w:rPr>
            </w:pPr>
            <w:r>
              <w:rPr>
                <w:rFonts w:eastAsiaTheme="minorHAnsi"/>
                <w:sz w:val="20"/>
              </w:rPr>
              <w:t>НЕТ</w:t>
            </w:r>
          </w:p>
        </w:tc>
        <w:tc>
          <w:tcPr>
            <w:tcW w:w="909" w:type="pct"/>
            <w:vAlign w:val="center"/>
          </w:tcPr>
          <w:p w14:paraId="3C7534BF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Нет</w:t>
            </w:r>
          </w:p>
        </w:tc>
        <w:tc>
          <w:tcPr>
            <w:tcW w:w="751" w:type="pct"/>
            <w:vAlign w:val="center"/>
          </w:tcPr>
          <w:p w14:paraId="77754EE9">
            <w:pPr>
              <w:rPr>
                <w:rFonts w:eastAsiaTheme="minorHAnsi"/>
                <w:sz w:val="20"/>
              </w:rPr>
            </w:pPr>
          </w:p>
        </w:tc>
      </w:tr>
      <w:tr w14:paraId="55BEF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9" w:hRule="atLeast"/>
          <w:jc w:val="center"/>
        </w:trPr>
        <w:tc>
          <w:tcPr>
            <w:tcW w:w="287" w:type="pct"/>
            <w:vAlign w:val="center"/>
          </w:tcPr>
          <w:p w14:paraId="308B90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88" w:type="pct"/>
            <w:vAlign w:val="center"/>
          </w:tcPr>
          <w:p w14:paraId="752E66DF">
            <w:pPr>
              <w:rPr>
                <w:sz w:val="20"/>
                <w:szCs w:val="20"/>
              </w:rPr>
            </w:pPr>
            <w:r>
              <w:rPr>
                <w:rFonts w:eastAsiaTheme="minorHAnsi"/>
                <w:sz w:val="20"/>
              </w:rPr>
              <w:t>Имя предопределенных данных</w:t>
            </w:r>
          </w:p>
        </w:tc>
        <w:tc>
          <w:tcPr>
            <w:tcW w:w="1256" w:type="pct"/>
            <w:vAlign w:val="center"/>
          </w:tcPr>
          <w:p w14:paraId="102D7B77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eastAsiaTheme="minorHAnsi"/>
                <w:sz w:val="20"/>
              </w:rPr>
              <w:t>Строка</w:t>
            </w:r>
          </w:p>
        </w:tc>
        <w:tc>
          <w:tcPr>
            <w:tcW w:w="909" w:type="pct"/>
            <w:vAlign w:val="center"/>
          </w:tcPr>
          <w:p w14:paraId="3BE640D9">
            <w:pPr>
              <w:jc w:val="center"/>
              <w:rPr>
                <w:sz w:val="20"/>
                <w:szCs w:val="20"/>
              </w:rPr>
            </w:pPr>
            <w:r>
              <w:rPr>
                <w:rFonts w:eastAsiaTheme="minorHAnsi"/>
                <w:sz w:val="20"/>
              </w:rPr>
              <w:t>НЕТ</w:t>
            </w:r>
          </w:p>
        </w:tc>
        <w:tc>
          <w:tcPr>
            <w:tcW w:w="909" w:type="pct"/>
            <w:vAlign w:val="center"/>
          </w:tcPr>
          <w:p w14:paraId="0B529CA7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Пусто</w:t>
            </w:r>
          </w:p>
        </w:tc>
        <w:tc>
          <w:tcPr>
            <w:tcW w:w="751" w:type="pct"/>
            <w:vAlign w:val="center"/>
          </w:tcPr>
          <w:p w14:paraId="7B5061A5">
            <w:pPr>
              <w:rPr>
                <w:rFonts w:eastAsiaTheme="minorHAnsi"/>
                <w:sz w:val="20"/>
              </w:rPr>
            </w:pPr>
          </w:p>
        </w:tc>
      </w:tr>
      <w:tr w14:paraId="100DB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9" w:hRule="atLeast"/>
          <w:jc w:val="center"/>
        </w:trPr>
        <w:tc>
          <w:tcPr>
            <w:tcW w:w="287" w:type="pct"/>
            <w:vAlign w:val="center"/>
          </w:tcPr>
          <w:p w14:paraId="19783FA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88" w:type="pct"/>
            <w:vAlign w:val="center"/>
          </w:tcPr>
          <w:p w14:paraId="352E15E6">
            <w:pPr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Статус записи</w:t>
            </w:r>
          </w:p>
        </w:tc>
        <w:tc>
          <w:tcPr>
            <w:tcW w:w="1256" w:type="pct"/>
            <w:vAlign w:val="center"/>
          </w:tcPr>
          <w:p w14:paraId="440AEF8C">
            <w:pPr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Классификатор «Статусы записи»</w:t>
            </w:r>
          </w:p>
        </w:tc>
        <w:tc>
          <w:tcPr>
            <w:tcW w:w="909" w:type="pct"/>
            <w:vAlign w:val="center"/>
          </w:tcPr>
          <w:p w14:paraId="7294A346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ДА</w:t>
            </w:r>
          </w:p>
        </w:tc>
        <w:tc>
          <w:tcPr>
            <w:tcW w:w="909" w:type="pct"/>
            <w:vAlign w:val="center"/>
          </w:tcPr>
          <w:p w14:paraId="4B48B754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Эталон</w:t>
            </w:r>
          </w:p>
        </w:tc>
        <w:tc>
          <w:tcPr>
            <w:tcW w:w="751" w:type="pct"/>
            <w:vAlign w:val="center"/>
          </w:tcPr>
          <w:p w14:paraId="3FADF7F1">
            <w:pPr>
              <w:rPr>
                <w:rFonts w:eastAsiaTheme="minorHAnsi"/>
                <w:sz w:val="20"/>
              </w:rPr>
            </w:pPr>
          </w:p>
        </w:tc>
      </w:tr>
    </w:tbl>
    <w:p w14:paraId="117066FC">
      <w:pPr>
        <w:pStyle w:val="67"/>
      </w:pPr>
      <w:bookmarkStart w:id="54" w:name="_Toc209606489"/>
      <w:bookmarkStart w:id="55" w:name="_Toc211008676"/>
      <w:r>
        <w:t xml:space="preserve">8.1.3. </w:t>
      </w:r>
      <w:bookmarkEnd w:id="54"/>
      <w:r>
        <w:t>Правила заполнения вспомогательных справочников</w:t>
      </w:r>
      <w:bookmarkEnd w:id="55"/>
    </w:p>
    <w:p w14:paraId="2B6142BF">
      <w:pPr>
        <w:spacing w:after="240" w:line="276" w:lineRule="auto"/>
        <w:ind w:firstLine="709"/>
        <w:jc w:val="both"/>
        <w:rPr>
          <w:szCs w:val="22"/>
        </w:rPr>
      </w:pPr>
      <w:r>
        <w:rPr>
          <w:szCs w:val="22"/>
        </w:rPr>
        <w:t>Раздел содержит описания процесса нормализации и наполнения конкретных вспомогательных справочников, которые важны для ведения единого справочника номенклатуры. В разделе последовательно описаны:</w:t>
      </w:r>
    </w:p>
    <w:p w14:paraId="4D4A6AAF">
      <w:pPr>
        <w:numPr>
          <w:ilvl w:val="0"/>
          <w:numId w:val="36"/>
        </w:numPr>
        <w:tabs>
          <w:tab w:val="left" w:pos="720"/>
        </w:tabs>
        <w:spacing w:after="240" w:line="276" w:lineRule="auto"/>
        <w:jc w:val="both"/>
        <w:rPr>
          <w:szCs w:val="22"/>
        </w:rPr>
      </w:pPr>
      <w:r>
        <w:rPr>
          <w:b/>
          <w:bCs/>
          <w:szCs w:val="22"/>
        </w:rPr>
        <w:t>Процедуры нормализации</w:t>
      </w:r>
      <w:r>
        <w:rPr>
          <w:szCs w:val="22"/>
        </w:rPr>
        <w:t> для справочников: «Производители», «Страны мира», «ОКПД2», «Единицы измерения», включая пересчет единиц измерения.</w:t>
      </w:r>
    </w:p>
    <w:p w14:paraId="3AEB987C">
      <w:pPr>
        <w:numPr>
          <w:ilvl w:val="0"/>
          <w:numId w:val="36"/>
        </w:numPr>
        <w:tabs>
          <w:tab w:val="left" w:pos="720"/>
        </w:tabs>
        <w:spacing w:after="240" w:line="276" w:lineRule="auto"/>
        <w:jc w:val="both"/>
        <w:rPr>
          <w:szCs w:val="22"/>
        </w:rPr>
      </w:pPr>
      <w:r>
        <w:rPr>
          <w:b/>
          <w:bCs/>
          <w:szCs w:val="22"/>
        </w:rPr>
        <w:t>Шаги</w:t>
      </w:r>
      <w:r>
        <w:rPr>
          <w:szCs w:val="22"/>
        </w:rPr>
        <w:t>, которые должен выполнить исполнитель: формирование кросс-таблиц, выделение сущностей из существующих данных, унификация наименований, приведение в соответствие с внешними справочниками (ОКСМ, ОКЕИ).</w:t>
      </w:r>
    </w:p>
    <w:p w14:paraId="7B45AFE0">
      <w:pPr>
        <w:numPr>
          <w:ilvl w:val="0"/>
          <w:numId w:val="36"/>
        </w:numPr>
        <w:tabs>
          <w:tab w:val="left" w:pos="720"/>
        </w:tabs>
        <w:spacing w:after="240" w:line="276" w:lineRule="auto"/>
        <w:jc w:val="both"/>
        <w:rPr>
          <w:szCs w:val="22"/>
        </w:rPr>
      </w:pPr>
      <w:r>
        <w:rPr>
          <w:b/>
          <w:bCs/>
          <w:szCs w:val="22"/>
        </w:rPr>
        <w:t>Механизмы взаимодействия</w:t>
      </w:r>
      <w:r>
        <w:rPr>
          <w:szCs w:val="22"/>
        </w:rPr>
        <w:t> с Заказчиком: порядок направления запросов в Центр компетенции, уточнения данных, согласования результатов.</w:t>
      </w:r>
    </w:p>
    <w:p w14:paraId="3B79149E">
      <w:pPr>
        <w:numPr>
          <w:ilvl w:val="0"/>
          <w:numId w:val="36"/>
        </w:numPr>
        <w:spacing w:after="240" w:line="276" w:lineRule="auto"/>
        <w:jc w:val="both"/>
        <w:rPr>
          <w:szCs w:val="22"/>
        </w:rPr>
      </w:pPr>
      <w:r>
        <w:rPr>
          <w:b/>
          <w:bCs/>
          <w:szCs w:val="22"/>
        </w:rPr>
        <w:t>Ссылки на связанные разделы</w:t>
      </w:r>
      <w:r>
        <w:rPr>
          <w:szCs w:val="22"/>
        </w:rPr>
        <w:t> методики и внешние документы (например, Устав проекта).</w:t>
      </w:r>
    </w:p>
    <w:p w14:paraId="7D269DE8">
      <w:pPr>
        <w:spacing w:after="240" w:line="276" w:lineRule="auto"/>
        <w:ind w:firstLine="709"/>
        <w:jc w:val="both"/>
        <w:rPr>
          <w:szCs w:val="22"/>
        </w:rPr>
      </w:pPr>
      <w:r>
        <w:rPr>
          <w:b/>
          <w:bCs/>
          <w:szCs w:val="22"/>
        </w:rPr>
        <w:t>Цель раздела</w:t>
      </w:r>
      <w:r>
        <w:rPr>
          <w:szCs w:val="22"/>
        </w:rPr>
        <w:t xml:space="preserve"> – обеспечить качественное и единообразное наполнение вспомогательных справочников путем:</w:t>
      </w:r>
    </w:p>
    <w:p w14:paraId="4D84D474">
      <w:pPr>
        <w:numPr>
          <w:ilvl w:val="0"/>
          <w:numId w:val="37"/>
        </w:numPr>
        <w:tabs>
          <w:tab w:val="left" w:pos="720"/>
        </w:tabs>
        <w:spacing w:after="240" w:line="276" w:lineRule="auto"/>
        <w:jc w:val="both"/>
        <w:rPr>
          <w:szCs w:val="22"/>
        </w:rPr>
      </w:pPr>
      <w:r>
        <w:rPr>
          <w:szCs w:val="22"/>
        </w:rPr>
        <w:t>Устранения пробелов и некорректных данных в существующих системах (например, отсутствующих производителей, кодов ОКПД2).</w:t>
      </w:r>
    </w:p>
    <w:p w14:paraId="7BD733B0">
      <w:pPr>
        <w:numPr>
          <w:ilvl w:val="0"/>
          <w:numId w:val="37"/>
        </w:numPr>
        <w:tabs>
          <w:tab w:val="left" w:pos="720"/>
        </w:tabs>
        <w:spacing w:after="240" w:line="276" w:lineRule="auto"/>
        <w:jc w:val="both"/>
        <w:rPr>
          <w:szCs w:val="22"/>
        </w:rPr>
      </w:pPr>
      <w:r>
        <w:rPr>
          <w:szCs w:val="22"/>
        </w:rPr>
        <w:t>Унификации данных в соответствии с установленными правилами и внешними классификаторами/справочниками.</w:t>
      </w:r>
    </w:p>
    <w:p w14:paraId="09E6E712">
      <w:pPr>
        <w:numPr>
          <w:ilvl w:val="0"/>
          <w:numId w:val="37"/>
        </w:numPr>
        <w:tabs>
          <w:tab w:val="left" w:pos="720"/>
        </w:tabs>
        <w:spacing w:after="240" w:line="276" w:lineRule="auto"/>
        <w:jc w:val="both"/>
        <w:rPr>
          <w:szCs w:val="22"/>
        </w:rPr>
      </w:pPr>
      <w:r>
        <w:rPr>
          <w:szCs w:val="22"/>
        </w:rPr>
        <w:t>Регламентирования процесса нормализации, включая взаимодействие между Исполнителем и Заказчиком.</w:t>
      </w:r>
    </w:p>
    <w:p w14:paraId="7A3B4207">
      <w:pPr>
        <w:numPr>
          <w:ilvl w:val="0"/>
          <w:numId w:val="37"/>
        </w:numPr>
        <w:tabs>
          <w:tab w:val="left" w:pos="720"/>
        </w:tabs>
        <w:spacing w:after="240" w:line="276" w:lineRule="auto"/>
        <w:jc w:val="both"/>
        <w:rPr>
          <w:szCs w:val="22"/>
        </w:rPr>
      </w:pPr>
      <w:r>
        <w:rPr>
          <w:szCs w:val="22"/>
        </w:rPr>
        <w:t>Создания согласованной и достоверной основы для ведения основного справочника номенклатуры в информационных системах (1С:MDM КОРП, 1С:УХ и т.п.).</w:t>
      </w:r>
    </w:p>
    <w:p w14:paraId="4C2B1BFA">
      <w:pPr>
        <w:pStyle w:val="63"/>
        <w:numPr>
          <w:ilvl w:val="0"/>
          <w:numId w:val="0"/>
        </w:numPr>
        <w:ind w:left="717"/>
        <w:rPr>
          <w:lang w:eastAsia="en-US"/>
        </w:rPr>
      </w:pPr>
      <w:r>
        <w:rPr>
          <w:lang w:eastAsia="en-US"/>
        </w:rPr>
        <w:t xml:space="preserve">8.1.3.1. Правила заполнения справочника </w:t>
      </w:r>
      <w:r>
        <w:t>Группы аналитического учета номенклатуры</w:t>
      </w:r>
    </w:p>
    <w:p w14:paraId="21CBCC0C">
      <w:pPr>
        <w:pStyle w:val="63"/>
        <w:numPr>
          <w:ilvl w:val="0"/>
          <w:numId w:val="0"/>
        </w:numPr>
        <w:ind w:left="717"/>
        <w:rPr>
          <w:lang w:eastAsia="en-US"/>
        </w:rPr>
      </w:pPr>
    </w:p>
    <w:p w14:paraId="52859772">
      <w:pPr>
        <w:spacing w:after="240"/>
        <w:ind w:firstLine="709"/>
        <w:jc w:val="both"/>
      </w:pPr>
      <w:r>
        <w:t>Анализ выгрузки данных при проведении обследования показал, что реквизит «Номенклатурные группы» не заполнен в справочниках номенклатуры в ИС 1С:БП КОРП «Верхне Менкече» и «Сарылах-Сурьма/Звезда» (см. Отчет об обследовании, таблица 5 и 6).</w:t>
      </w:r>
    </w:p>
    <w:p w14:paraId="3550AF21">
      <w:pPr>
        <w:spacing w:after="240"/>
        <w:ind w:firstLine="709"/>
        <w:rPr>
          <w:highlight w:val="yellow"/>
        </w:rPr>
      </w:pPr>
      <w:r>
        <w:rPr>
          <w:highlight w:val="yellow"/>
        </w:rPr>
        <w:t>Справочник «Номенклатурных групп» отсутствует в стандартной поставке 1С:MDM КОРП и будет реализован на базе справочника «Группы аналитического учета номенклатуры».</w:t>
      </w:r>
    </w:p>
    <w:p w14:paraId="28F0E914">
      <w:pPr>
        <w:spacing w:after="240"/>
        <w:ind w:firstLine="709"/>
        <w:jc w:val="both"/>
      </w:pPr>
      <w:r>
        <w:rPr>
          <w:highlight w:val="yellow"/>
        </w:rPr>
        <w:t>Заказчик передает Исполнителю единый справочник Групп аналитического учета номенклатуры (Номенклатурных групп), включая методологию отнесения номенклатурных позиций к Группам аналитического учета номенклатуры.</w:t>
      </w:r>
    </w:p>
    <w:p w14:paraId="64E87A9C">
      <w:pPr>
        <w:spacing w:after="240"/>
        <w:ind w:firstLine="709"/>
        <w:jc w:val="both"/>
      </w:pPr>
      <w:r>
        <w:t>Справочник Группы аналитического учета номенклатуры подлежит первичному наполнению, источником данных являются переданные со стороны Заказчика данные.</w:t>
      </w:r>
    </w:p>
    <w:p w14:paraId="419F0BF4">
      <w:pPr>
        <w:pStyle w:val="63"/>
        <w:numPr>
          <w:ilvl w:val="0"/>
          <w:numId w:val="0"/>
        </w:numPr>
        <w:ind w:left="717"/>
        <w:rPr>
          <w:lang w:eastAsia="en-US"/>
        </w:rPr>
      </w:pPr>
      <w:r>
        <w:rPr>
          <w:lang w:eastAsia="en-US"/>
        </w:rPr>
        <w:t>8.1.3.2. Правила заполнения справочника Производители</w:t>
      </w:r>
    </w:p>
    <w:p w14:paraId="762F77FA">
      <w:pPr>
        <w:spacing w:before="240" w:after="240" w:line="276" w:lineRule="auto"/>
        <w:ind w:firstLine="709"/>
        <w:jc w:val="both"/>
        <w:rPr>
          <w:szCs w:val="22"/>
        </w:rPr>
      </w:pPr>
      <w:r>
        <w:rPr>
          <w:szCs w:val="22"/>
        </w:rPr>
        <w:t xml:space="preserve">В ИС 1С:БП КОРП реквизит «Производители» справочника номенклатуры заполняется значением, выбираемым из справочника «Контрагенты». </w:t>
      </w:r>
    </w:p>
    <w:p w14:paraId="161A9D32">
      <w:pPr>
        <w:spacing w:after="240" w:line="276" w:lineRule="auto"/>
        <w:ind w:firstLine="709"/>
        <w:jc w:val="both"/>
        <w:rPr>
          <w:szCs w:val="22"/>
        </w:rPr>
      </w:pPr>
      <w:r>
        <w:rPr>
          <w:szCs w:val="22"/>
        </w:rPr>
        <w:t xml:space="preserve">Анализ выгрузки данных при проведении обследования показал, что реквизит «Производители» не заполнен в справочниках номенклатуры в ИС 1С:БП КОРП «Верхне Менкече» и «Сарылах-Сурьма/Звезда» (см. Отчет об обследовании, таблица 5 и 6). Фактически, производитель частично указывается в наименовании номенклатурной позиции. </w:t>
      </w:r>
    </w:p>
    <w:p w14:paraId="160D45E2">
      <w:pPr>
        <w:spacing w:after="240" w:line="276" w:lineRule="auto"/>
        <w:ind w:firstLine="709"/>
        <w:jc w:val="both"/>
        <w:rPr>
          <w:szCs w:val="22"/>
        </w:rPr>
      </w:pPr>
      <w:r>
        <w:rPr>
          <w:szCs w:val="22"/>
        </w:rPr>
        <w:t xml:space="preserve">Таким образом, вспомогательный справочник «Производители» должен быть наполнен в процессе нормализации номенклатурных позиций на основе </w:t>
      </w:r>
      <w:r>
        <w:rPr>
          <w:lang w:eastAsia="en-US"/>
        </w:rPr>
        <w:t>данных справочника номенклатуры из существующих</w:t>
      </w:r>
      <w:r>
        <w:t xml:space="preserve"> ИС ООО "ГПМ Верхне Менкече", АО "Сарылах-Сурьма" и ООО "Звезда" (БД 1С БП КОРП) </w:t>
      </w:r>
      <w:r>
        <w:rPr>
          <w:szCs w:val="22"/>
        </w:rPr>
        <w:t xml:space="preserve">путем выделения сущности «Производители» в следующем порядке:   </w:t>
      </w:r>
    </w:p>
    <w:p w14:paraId="7C20B73C">
      <w:pPr>
        <w:pStyle w:val="63"/>
        <w:numPr>
          <w:ilvl w:val="1"/>
          <w:numId w:val="29"/>
        </w:numPr>
        <w:tabs>
          <w:tab w:val="clear" w:pos="1690"/>
        </w:tabs>
        <w:jc w:val="both"/>
        <w:rPr>
          <w:lang w:eastAsia="en-US"/>
        </w:rPr>
      </w:pPr>
      <w:r>
        <w:t>Для номенклатурных позиций, в шаблонах которых присутствует атрибут «Производитель», Исполнителем должна быть сформирована единая кросс-таблица «Номенклатура - Производитель» из которой сформирован реестр, включающий всех производителей номенклатуры. Кросс-таблица сохраняется для дальнейшей передачи Заказчику;</w:t>
      </w:r>
    </w:p>
    <w:p w14:paraId="0E227F39">
      <w:pPr>
        <w:pStyle w:val="63"/>
        <w:numPr>
          <w:ilvl w:val="1"/>
          <w:numId w:val="29"/>
        </w:numPr>
        <w:tabs>
          <w:tab w:val="clear" w:pos="1690"/>
        </w:tabs>
        <w:jc w:val="both"/>
      </w:pPr>
      <w:r>
        <w:t xml:space="preserve">Реестр производителей обрабатывается по общим правилам нормализации данных, приведенных в разделе 4 данной методики. Наименования производителей корректируются в соответствии с указанными правилами в разделе 5, (см. п.5.1.7 - 5.1.13 данной методики).  </w:t>
      </w:r>
    </w:p>
    <w:p w14:paraId="5C775C16">
      <w:pPr>
        <w:pStyle w:val="63"/>
        <w:numPr>
          <w:ilvl w:val="1"/>
          <w:numId w:val="29"/>
        </w:numPr>
        <w:tabs>
          <w:tab w:val="clear" w:pos="1690"/>
        </w:tabs>
        <w:spacing w:after="240"/>
        <w:jc w:val="both"/>
      </w:pPr>
      <w:r>
        <w:t xml:space="preserve">В случае необходимости, для уточнения производителей, эксперт, выполняющий нормализацию, направляет запрос в Центр компетенции Заказчика. </w:t>
      </w:r>
    </w:p>
    <w:p w14:paraId="6A14A28A">
      <w:pPr>
        <w:pStyle w:val="63"/>
        <w:numPr>
          <w:ilvl w:val="0"/>
          <w:numId w:val="0"/>
        </w:numPr>
        <w:spacing w:after="160" w:line="259" w:lineRule="auto"/>
        <w:ind w:left="2050"/>
        <w:jc w:val="both"/>
        <w:rPr>
          <w:i/>
          <w:iCs/>
        </w:rPr>
      </w:pPr>
      <w:r>
        <w:rPr>
          <w:b/>
          <w:bCs/>
          <w:i/>
          <w:iCs/>
        </w:rPr>
        <w:t xml:space="preserve">Детали запроса: </w:t>
      </w:r>
      <w:r>
        <w:rPr>
          <w:i/>
          <w:iCs/>
        </w:rPr>
        <w:t>в запросе</w:t>
      </w:r>
      <w:r>
        <w:rPr>
          <w:b/>
          <w:bCs/>
          <w:i/>
          <w:iCs/>
        </w:rPr>
        <w:t xml:space="preserve"> </w:t>
      </w:r>
      <w:r>
        <w:rPr>
          <w:i/>
          <w:iCs/>
        </w:rPr>
        <w:t>должны быть указаны: Описание и номер номенклатурной позиции, для которой требуется уточнить производителя, а также вопрос для уточнения данных по производителю.</w:t>
      </w:r>
    </w:p>
    <w:p w14:paraId="5BECD8A5">
      <w:pPr>
        <w:pStyle w:val="63"/>
        <w:numPr>
          <w:ilvl w:val="0"/>
          <w:numId w:val="0"/>
        </w:numPr>
        <w:spacing w:after="160" w:line="259" w:lineRule="auto"/>
        <w:ind w:left="2050"/>
        <w:jc w:val="both"/>
        <w:rPr>
          <w:bCs/>
          <w:i/>
          <w:iCs/>
        </w:rPr>
      </w:pPr>
      <w:r>
        <w:rPr>
          <w:b/>
          <w:bCs/>
          <w:i/>
          <w:iCs/>
        </w:rPr>
        <w:t xml:space="preserve">Внутренний анализ запроса и предоставление информации о производителе: </w:t>
      </w:r>
      <w:r>
        <w:rPr>
          <w:bCs/>
          <w:i/>
          <w:iCs/>
        </w:rPr>
        <w:t>ответственный специалист Центра компетенции Заказчика в соответствии с запросом уточняет производителя. После обработки запроса информация о производителе направляется автору запроса.</w:t>
      </w:r>
    </w:p>
    <w:p w14:paraId="55E68BBB">
      <w:pPr>
        <w:pStyle w:val="63"/>
        <w:numPr>
          <w:ilvl w:val="1"/>
          <w:numId w:val="29"/>
        </w:numPr>
        <w:tabs>
          <w:tab w:val="clear" w:pos="1690"/>
        </w:tabs>
        <w:jc w:val="both"/>
      </w:pPr>
      <w:r>
        <w:t xml:space="preserve">Реестр производителей нормализуется по ключам уникальности (см. п. 9.2.3 данной методики) для устранения дублей и унификации наименований производителей. </w:t>
      </w:r>
    </w:p>
    <w:p w14:paraId="088B59FB">
      <w:pPr>
        <w:pStyle w:val="63"/>
        <w:numPr>
          <w:ilvl w:val="1"/>
          <w:numId w:val="29"/>
        </w:numPr>
        <w:tabs>
          <w:tab w:val="clear" w:pos="1690"/>
        </w:tabs>
        <w:jc w:val="both"/>
        <w:rPr>
          <w:lang w:eastAsia="en-US"/>
        </w:rPr>
      </w:pPr>
      <w:r>
        <w:t xml:space="preserve">По результатам нормализации справочник производителей и кросс-таблица «Номенклатура – Производитель» ООО "ГПМ Верхне Менкече", АО "Сарылах-Сурьма" и ООО «Звезда» передаются Заказчику на согласование. </w:t>
      </w:r>
    </w:p>
    <w:p w14:paraId="6507ABE0">
      <w:pPr>
        <w:pStyle w:val="63"/>
        <w:numPr>
          <w:ilvl w:val="1"/>
          <w:numId w:val="29"/>
        </w:numPr>
        <w:tabs>
          <w:tab w:val="clear" w:pos="1690"/>
        </w:tabs>
        <w:spacing w:after="240"/>
        <w:jc w:val="both"/>
        <w:rPr>
          <w:lang w:eastAsia="en-US"/>
        </w:rPr>
      </w:pPr>
      <w:r>
        <w:t>Согласование осуществляется в установленном порядке (см. Устав проекта).</w:t>
      </w:r>
    </w:p>
    <w:p w14:paraId="7259AB54">
      <w:pPr>
        <w:pStyle w:val="63"/>
        <w:numPr>
          <w:ilvl w:val="0"/>
          <w:numId w:val="0"/>
        </w:numPr>
        <w:ind w:left="717"/>
        <w:rPr>
          <w:lang w:eastAsia="en-US"/>
        </w:rPr>
      </w:pPr>
      <w:r>
        <w:rPr>
          <w:lang w:eastAsia="en-US"/>
        </w:rPr>
        <w:t>8.1.3.3. Правила заполнения справочника Страны мира</w:t>
      </w:r>
    </w:p>
    <w:p w14:paraId="750EB87D">
      <w:pPr>
        <w:pStyle w:val="63"/>
        <w:numPr>
          <w:ilvl w:val="0"/>
          <w:numId w:val="0"/>
        </w:numPr>
        <w:ind w:left="717"/>
        <w:rPr>
          <w:lang w:eastAsia="en-US"/>
        </w:rPr>
      </w:pPr>
    </w:p>
    <w:p w14:paraId="50C880BB">
      <w:pPr>
        <w:spacing w:after="240" w:line="276" w:lineRule="auto"/>
        <w:ind w:firstLine="709"/>
        <w:jc w:val="both"/>
      </w:pPr>
      <w:r>
        <w:t xml:space="preserve">Справочник «Страны мира» используется для указания страны происхождения при внешнеэкономической деятельности, при формировании таможенных деклараций и расчете себестоимости. </w:t>
      </w:r>
    </w:p>
    <w:p w14:paraId="36FF605F">
      <w:pPr>
        <w:spacing w:after="240" w:line="276" w:lineRule="auto"/>
        <w:ind w:firstLine="709"/>
        <w:jc w:val="both"/>
      </w:pPr>
      <w:r>
        <w:t xml:space="preserve">Справочник «Страны мира» </w:t>
      </w:r>
      <w:r>
        <w:rPr>
          <w:szCs w:val="22"/>
        </w:rPr>
        <w:t xml:space="preserve">подлежит нормализации. В процессе нормализации </w:t>
      </w:r>
      <w:r>
        <w:t xml:space="preserve">Исполнителем должны быть сформированы таблицы соответствия Стран мира в существующих ИС и соответствующих значений из ОКСМ по наименованию. </w:t>
      </w:r>
    </w:p>
    <w:p w14:paraId="7E20FF90">
      <w:pPr>
        <w:pStyle w:val="63"/>
        <w:numPr>
          <w:ilvl w:val="0"/>
          <w:numId w:val="0"/>
        </w:numPr>
        <w:ind w:left="717"/>
        <w:rPr>
          <w:lang w:eastAsia="en-US"/>
        </w:rPr>
      </w:pPr>
      <w:r>
        <w:rPr>
          <w:lang w:eastAsia="en-US"/>
        </w:rPr>
        <w:t>8.1.3.4. Правила заполнения справочника Единиц измерения</w:t>
      </w:r>
    </w:p>
    <w:p w14:paraId="52F93C76">
      <w:pPr>
        <w:pStyle w:val="63"/>
        <w:numPr>
          <w:ilvl w:val="0"/>
          <w:numId w:val="0"/>
        </w:numPr>
        <w:ind w:left="717"/>
        <w:jc w:val="both"/>
        <w:rPr>
          <w:highlight w:val="green"/>
          <w:lang w:eastAsia="en-US"/>
        </w:rPr>
      </w:pPr>
    </w:p>
    <w:p w14:paraId="253A12BA">
      <w:pPr>
        <w:spacing w:after="240" w:line="276" w:lineRule="auto"/>
        <w:ind w:firstLine="709"/>
        <w:jc w:val="both"/>
      </w:pPr>
      <w:r>
        <w:t xml:space="preserve">Справочник «Единиц измерения», выгруженный из </w:t>
      </w:r>
      <w:r>
        <w:rPr>
          <w:szCs w:val="22"/>
        </w:rPr>
        <w:t xml:space="preserve">ИС 1С:БП КОРП «Верхне Менкече» и «Сарылах-Сурьма/Звезда», подлежит нормализации. </w:t>
      </w:r>
      <w:r>
        <w:t>В результате нормализации справочник Единиц измерения должен соответствовать Общероссийскому классификатору единиц измерения (ОКЕИ).</w:t>
      </w:r>
    </w:p>
    <w:p w14:paraId="6723C42B">
      <w:pPr>
        <w:spacing w:after="240" w:line="276" w:lineRule="auto"/>
        <w:ind w:firstLine="709"/>
        <w:jc w:val="both"/>
        <w:rPr>
          <w:szCs w:val="22"/>
        </w:rPr>
      </w:pPr>
      <w:r>
        <w:t>Справочник единиц измерения</w:t>
      </w:r>
      <w:r>
        <w:rPr>
          <w:szCs w:val="22"/>
        </w:rPr>
        <w:t xml:space="preserve"> нормализуется в следующем порядке:</w:t>
      </w:r>
    </w:p>
    <w:p w14:paraId="1E1E7063">
      <w:pPr>
        <w:pStyle w:val="63"/>
        <w:numPr>
          <w:ilvl w:val="1"/>
          <w:numId w:val="38"/>
        </w:numPr>
        <w:spacing w:after="240"/>
        <w:jc w:val="both"/>
        <w:rPr>
          <w:lang w:eastAsia="en-US"/>
        </w:rPr>
      </w:pPr>
      <w:r>
        <w:t>Исполнителем должны быть сформированы таблицы соответствия используемых в ИС единиц измерения (на основе выгрузки данных) и соответствующих значений из ОКЕИ.</w:t>
      </w:r>
    </w:p>
    <w:p w14:paraId="6E649404">
      <w:pPr>
        <w:pStyle w:val="63"/>
        <w:numPr>
          <w:ilvl w:val="1"/>
          <w:numId w:val="38"/>
        </w:numPr>
        <w:spacing w:after="240"/>
        <w:jc w:val="both"/>
        <w:rPr>
          <w:lang w:eastAsia="en-US"/>
        </w:rPr>
      </w:pPr>
      <w:r>
        <w:t xml:space="preserve">При нормализации </w:t>
      </w:r>
      <w:r>
        <w:rPr>
          <w:lang w:eastAsia="en-US"/>
        </w:rPr>
        <w:t>должны соблюдаться общие принципы нормализации данных, описание которых приведено в разделе 4, правила заполнения единиц измерения, включая настройку альтернативных единиц измерения (см. п 5.3), а также правила, изложенные в п. 5.1.19 данной методики.</w:t>
      </w:r>
    </w:p>
    <w:p w14:paraId="238F6167">
      <w:pPr>
        <w:pStyle w:val="63"/>
        <w:numPr>
          <w:ilvl w:val="1"/>
          <w:numId w:val="38"/>
        </w:numPr>
        <w:spacing w:after="240"/>
        <w:jc w:val="both"/>
      </w:pPr>
      <w:r>
        <w:t>Для уточнения единиц измерения, в том числе, когда соответствующего кода в ОКЕИ не существует (например, Ведро, Контейнер 10кг., Контейнер 250г), эксперт, выполняющий нормализацию, направляет запрос в Центр компетенции Заказчика.</w:t>
      </w:r>
    </w:p>
    <w:p w14:paraId="4E988150">
      <w:pPr>
        <w:pStyle w:val="63"/>
        <w:numPr>
          <w:ilvl w:val="0"/>
          <w:numId w:val="0"/>
        </w:numPr>
        <w:spacing w:after="160" w:line="259" w:lineRule="auto"/>
        <w:ind w:left="2050"/>
        <w:jc w:val="both"/>
        <w:rPr>
          <w:i/>
          <w:iCs/>
        </w:rPr>
      </w:pPr>
      <w:r>
        <w:rPr>
          <w:b/>
          <w:bCs/>
          <w:i/>
          <w:iCs/>
        </w:rPr>
        <w:t xml:space="preserve">Детали запроса: </w:t>
      </w:r>
      <w:r>
        <w:rPr>
          <w:i/>
          <w:iCs/>
        </w:rPr>
        <w:t>в запросе</w:t>
      </w:r>
      <w:r>
        <w:rPr>
          <w:b/>
          <w:bCs/>
          <w:i/>
          <w:iCs/>
        </w:rPr>
        <w:t xml:space="preserve"> </w:t>
      </w:r>
      <w:r>
        <w:rPr>
          <w:i/>
          <w:iCs/>
        </w:rPr>
        <w:t>должны быть указаны: Описание и номер номенклатурной позиции, для которой требуется уточнить ЕИ, а также вопрос для уточнения данных по ЕИ, включая предложения по использованию альтернативных единиц измерения.</w:t>
      </w:r>
    </w:p>
    <w:p w14:paraId="4BA5AC2F">
      <w:pPr>
        <w:pStyle w:val="63"/>
        <w:numPr>
          <w:ilvl w:val="0"/>
          <w:numId w:val="0"/>
        </w:numPr>
        <w:spacing w:after="160" w:line="259" w:lineRule="auto"/>
        <w:ind w:left="2050"/>
        <w:jc w:val="both"/>
        <w:rPr>
          <w:bCs/>
          <w:i/>
          <w:iCs/>
        </w:rPr>
      </w:pPr>
      <w:r>
        <w:rPr>
          <w:b/>
          <w:bCs/>
          <w:i/>
          <w:iCs/>
        </w:rPr>
        <w:t xml:space="preserve">Внутренний анализ запроса и предоставление информации о производителе: </w:t>
      </w:r>
      <w:r>
        <w:rPr>
          <w:bCs/>
          <w:i/>
          <w:iCs/>
        </w:rPr>
        <w:t>ответственный специалист Центра компетенции Заказчика в соответствии с запросом уточняет ЕИ. После обработки запроса информация о ЕИ направляется автору запроса.</w:t>
      </w:r>
    </w:p>
    <w:p w14:paraId="2DCB63E9">
      <w:pPr>
        <w:pStyle w:val="63"/>
        <w:numPr>
          <w:ilvl w:val="1"/>
          <w:numId w:val="38"/>
        </w:numPr>
        <w:spacing w:after="240"/>
        <w:jc w:val="both"/>
        <w:rPr>
          <w:lang w:eastAsia="en-US"/>
        </w:rPr>
      </w:pPr>
      <w:r>
        <w:rPr>
          <w:lang w:eastAsia="en-US"/>
        </w:rPr>
        <w:t xml:space="preserve">По результатам нормализации справочник единиц измерения, таблица соответствия единиц измерения, а также таблица настройки альтернативных единиц измерения и </w:t>
      </w:r>
      <w:r>
        <w:t xml:space="preserve">передаются Заказчику на согласование. </w:t>
      </w:r>
    </w:p>
    <w:p w14:paraId="6EC4BD81">
      <w:pPr>
        <w:pStyle w:val="63"/>
        <w:numPr>
          <w:ilvl w:val="1"/>
          <w:numId w:val="38"/>
        </w:numPr>
        <w:spacing w:after="240"/>
        <w:jc w:val="both"/>
        <w:rPr>
          <w:lang w:eastAsia="en-US"/>
        </w:rPr>
      </w:pPr>
      <w:r>
        <w:t>Согласование осуществляется в установленном порядке (см. Устав проекта).</w:t>
      </w:r>
    </w:p>
    <w:p w14:paraId="0CA6F23B">
      <w:pPr>
        <w:pStyle w:val="63"/>
        <w:numPr>
          <w:ilvl w:val="0"/>
          <w:numId w:val="0"/>
        </w:numPr>
        <w:spacing w:after="240"/>
        <w:ind w:left="717"/>
        <w:rPr>
          <w:lang w:eastAsia="en-US"/>
        </w:rPr>
      </w:pPr>
      <w:r>
        <w:rPr>
          <w:lang w:eastAsia="en-US"/>
        </w:rPr>
        <w:t>8.1.3.5. Порядок заполнения справочника ОКПД 2</w:t>
      </w:r>
    </w:p>
    <w:p w14:paraId="62C11A5E">
      <w:pPr>
        <w:spacing w:after="240" w:line="276" w:lineRule="auto"/>
        <w:ind w:firstLine="709"/>
        <w:jc w:val="both"/>
        <w:rPr>
          <w:szCs w:val="22"/>
        </w:rPr>
      </w:pPr>
      <w:r>
        <w:rPr>
          <w:szCs w:val="22"/>
        </w:rPr>
        <w:t xml:space="preserve">Анализ выгрузки данных при проведении обследования показал, что реквизит «ОКПД 2» не заполнен в справочниках номенклатуры в ИС 1С:БП КОРП «Верхне Менкече» и «Сарылах-Сурьма/Звезда» (см. Отчет об обследовании, таблица 5 и 6). </w:t>
      </w:r>
    </w:p>
    <w:p w14:paraId="03407794">
      <w:pPr>
        <w:spacing w:after="240" w:line="276" w:lineRule="auto"/>
        <w:ind w:firstLine="709"/>
        <w:jc w:val="both"/>
      </w:pPr>
      <w:r>
        <w:t>Справочник ОКПД 2 подлежит первичному наполнению, источником данных является сайт Минэкономразвития.</w:t>
      </w:r>
    </w:p>
    <w:p w14:paraId="4FB5F180">
      <w:pPr>
        <w:pStyle w:val="66"/>
      </w:pPr>
      <w:bookmarkStart w:id="56" w:name="_Toc211008677"/>
      <w:r>
        <w:t>8.2. Нормализация справочника номенклатура</w:t>
      </w:r>
      <w:bookmarkEnd w:id="56"/>
      <w:r>
        <w:t xml:space="preserve"> </w:t>
      </w:r>
    </w:p>
    <w:p w14:paraId="77F1A1A6">
      <w:pPr>
        <w:ind w:firstLine="709"/>
        <w:jc w:val="both"/>
      </w:pPr>
      <w:r>
        <w:rPr>
          <w:lang w:eastAsia="en-US"/>
        </w:rPr>
        <w:t>Раздел представляет собой комплексное методическое руководство по преобразованию и унификации справочника номенклатуры и описывает:</w:t>
      </w:r>
    </w:p>
    <w:p w14:paraId="598873C3">
      <w:pPr>
        <w:jc w:val="both"/>
        <w:rPr>
          <w:lang w:eastAsia="en-US"/>
        </w:rPr>
      </w:pPr>
    </w:p>
    <w:p w14:paraId="4E46351C">
      <w:pPr>
        <w:numPr>
          <w:ilvl w:val="0"/>
          <w:numId w:val="36"/>
        </w:numPr>
        <w:tabs>
          <w:tab w:val="left" w:pos="720"/>
        </w:tabs>
        <w:spacing w:after="240" w:line="276" w:lineRule="auto"/>
        <w:jc w:val="both"/>
        <w:rPr>
          <w:b/>
          <w:bCs/>
          <w:szCs w:val="22"/>
        </w:rPr>
      </w:pPr>
      <w:r>
        <w:rPr>
          <w:b/>
          <w:bCs/>
          <w:szCs w:val="22"/>
        </w:rPr>
        <w:t>Источники данных</w:t>
      </w:r>
      <w:r>
        <w:rPr>
          <w:szCs w:val="22"/>
        </w:rPr>
        <w:t> – информационные системы на базе 1С БП КОРП, используемые для извлечения исходных данных.</w:t>
      </w:r>
    </w:p>
    <w:p w14:paraId="767058B2">
      <w:pPr>
        <w:numPr>
          <w:ilvl w:val="0"/>
          <w:numId w:val="36"/>
        </w:numPr>
        <w:tabs>
          <w:tab w:val="left" w:pos="720"/>
        </w:tabs>
        <w:spacing w:after="240" w:line="276" w:lineRule="auto"/>
        <w:jc w:val="both"/>
        <w:rPr>
          <w:b/>
          <w:bCs/>
          <w:szCs w:val="22"/>
        </w:rPr>
      </w:pPr>
      <w:r>
        <w:rPr>
          <w:b/>
          <w:bCs/>
          <w:szCs w:val="22"/>
        </w:rPr>
        <w:t>Структуру справочника</w:t>
      </w:r>
      <w:r>
        <w:rPr>
          <w:szCs w:val="22"/>
        </w:rPr>
        <w:t xml:space="preserve"> – детальное описание реквизитов, их типов, обязательности заполнения и правил преобразования при переносе в систему 1С:MDM КОРП.</w:t>
      </w:r>
    </w:p>
    <w:p w14:paraId="4F07A996">
      <w:pPr>
        <w:numPr>
          <w:ilvl w:val="0"/>
          <w:numId w:val="36"/>
        </w:numPr>
        <w:tabs>
          <w:tab w:val="left" w:pos="720"/>
        </w:tabs>
        <w:spacing w:after="240" w:line="276" w:lineRule="auto"/>
        <w:jc w:val="both"/>
        <w:rPr>
          <w:b/>
          <w:bCs/>
          <w:szCs w:val="22"/>
        </w:rPr>
      </w:pPr>
      <w:r>
        <w:rPr>
          <w:b/>
          <w:bCs/>
          <w:szCs w:val="22"/>
        </w:rPr>
        <w:t xml:space="preserve">Классификацию номенклатуры </w:t>
      </w:r>
      <w:r>
        <w:rPr>
          <w:szCs w:val="22"/>
        </w:rPr>
        <w:t>– принципы построения иерархической структуры (вид → группа → подгруппа) и правила отнесения позиций к категориям.</w:t>
      </w:r>
    </w:p>
    <w:p w14:paraId="7401C252">
      <w:pPr>
        <w:numPr>
          <w:ilvl w:val="0"/>
          <w:numId w:val="36"/>
        </w:numPr>
        <w:tabs>
          <w:tab w:val="left" w:pos="720"/>
        </w:tabs>
        <w:spacing w:after="240" w:line="276" w:lineRule="auto"/>
        <w:jc w:val="both"/>
        <w:rPr>
          <w:b/>
          <w:bCs/>
          <w:szCs w:val="22"/>
        </w:rPr>
      </w:pPr>
      <w:r>
        <w:rPr>
          <w:b/>
          <w:bCs/>
          <w:szCs w:val="22"/>
        </w:rPr>
        <w:t xml:space="preserve">Обработку данных </w:t>
      </w:r>
      <w:r>
        <w:rPr>
          <w:szCs w:val="22"/>
        </w:rPr>
        <w:t>– процедуры работы с текущими, некорректными, невостребованными и дублирующимися позициями.</w:t>
      </w:r>
    </w:p>
    <w:p w14:paraId="0288B409">
      <w:pPr>
        <w:numPr>
          <w:ilvl w:val="0"/>
          <w:numId w:val="36"/>
        </w:numPr>
        <w:tabs>
          <w:tab w:val="left" w:pos="720"/>
        </w:tabs>
        <w:spacing w:after="240" w:line="276" w:lineRule="auto"/>
        <w:jc w:val="both"/>
        <w:rPr>
          <w:b/>
          <w:bCs/>
          <w:szCs w:val="22"/>
        </w:rPr>
      </w:pPr>
      <w:r>
        <w:rPr>
          <w:b/>
          <w:bCs/>
          <w:szCs w:val="22"/>
        </w:rPr>
        <w:t>Процессы дообогащения и актуализации –</w:t>
      </w:r>
      <w:r>
        <w:rPr>
          <w:szCs w:val="22"/>
        </w:rPr>
        <w:t xml:space="preserve"> методы дополнения и корректировки данных при недостаточности информации.</w:t>
      </w:r>
    </w:p>
    <w:p w14:paraId="1E4969B7">
      <w:pPr>
        <w:spacing w:after="240"/>
        <w:ind w:firstLine="709"/>
        <w:jc w:val="both"/>
      </w:pPr>
      <w:r>
        <w:rPr>
          <w:rFonts w:eastAsiaTheme="majorEastAsia"/>
          <w:lang w:eastAsia="en-US"/>
        </w:rPr>
        <w:t>Цель раздела</w:t>
      </w:r>
      <w:r>
        <w:rPr>
          <w:lang w:eastAsia="en-US"/>
        </w:rPr>
        <w:t> – создание единого, стандартизированного, полного и непротиворечивого справочника номенклатуры, который обеспечит:</w:t>
      </w:r>
    </w:p>
    <w:p w14:paraId="0DCF6A2D">
      <w:pPr>
        <w:numPr>
          <w:ilvl w:val="0"/>
          <w:numId w:val="37"/>
        </w:numPr>
        <w:tabs>
          <w:tab w:val="left" w:pos="720"/>
        </w:tabs>
        <w:spacing w:after="240" w:line="276" w:lineRule="auto"/>
        <w:jc w:val="both"/>
        <w:rPr>
          <w:szCs w:val="22"/>
        </w:rPr>
      </w:pPr>
      <w:r>
        <w:rPr>
          <w:szCs w:val="22"/>
        </w:rPr>
        <w:t>Единообразие данных – унификацию наименований, кодов, единиц измерения и классификации.</w:t>
      </w:r>
    </w:p>
    <w:p w14:paraId="6928EF40">
      <w:pPr>
        <w:numPr>
          <w:ilvl w:val="0"/>
          <w:numId w:val="37"/>
        </w:numPr>
        <w:tabs>
          <w:tab w:val="left" w:pos="720"/>
        </w:tabs>
        <w:spacing w:after="240" w:line="276" w:lineRule="auto"/>
        <w:jc w:val="both"/>
        <w:rPr>
          <w:szCs w:val="22"/>
        </w:rPr>
      </w:pPr>
      <w:r>
        <w:rPr>
          <w:szCs w:val="22"/>
        </w:rPr>
        <w:t>Эффективный поиск и аналитику – за счет четкой структуры и классификации.</w:t>
      </w:r>
    </w:p>
    <w:p w14:paraId="65A48936">
      <w:pPr>
        <w:numPr>
          <w:ilvl w:val="0"/>
          <w:numId w:val="37"/>
        </w:numPr>
        <w:tabs>
          <w:tab w:val="left" w:pos="720"/>
        </w:tabs>
        <w:spacing w:after="240" w:line="276" w:lineRule="auto"/>
        <w:jc w:val="both"/>
        <w:rPr>
          <w:szCs w:val="22"/>
        </w:rPr>
      </w:pPr>
      <w:r>
        <w:rPr>
          <w:szCs w:val="22"/>
        </w:rPr>
        <w:t>Исключение дублирования – за счет выявления и устранения повторяющихся позиций.</w:t>
      </w:r>
    </w:p>
    <w:p w14:paraId="406D06D2">
      <w:pPr>
        <w:numPr>
          <w:ilvl w:val="0"/>
          <w:numId w:val="37"/>
        </w:numPr>
        <w:tabs>
          <w:tab w:val="left" w:pos="720"/>
        </w:tabs>
        <w:spacing w:after="240" w:line="276" w:lineRule="auto"/>
        <w:jc w:val="both"/>
        <w:rPr>
          <w:szCs w:val="22"/>
        </w:rPr>
      </w:pPr>
      <w:r>
        <w:rPr>
          <w:szCs w:val="22"/>
        </w:rPr>
        <w:t>Качественное ведение данных – через процессы дообогащения, актуализации и обработки некорректных записей.</w:t>
      </w:r>
    </w:p>
    <w:p w14:paraId="0C69F174">
      <w:pPr>
        <w:ind w:firstLine="709"/>
        <w:jc w:val="both"/>
        <w:rPr>
          <w:lang w:eastAsia="en-US"/>
        </w:rPr>
      </w:pPr>
      <w:r>
        <w:rPr>
          <w:lang w:eastAsia="en-US"/>
        </w:rPr>
        <w:t>Раздел служит основой для построения надежной системы управления номенклатурой на базе 1С:MDM КОРП.</w:t>
      </w:r>
    </w:p>
    <w:p w14:paraId="16F8C2BA">
      <w:pPr>
        <w:ind w:firstLine="709"/>
        <w:jc w:val="both"/>
        <w:rPr>
          <w:lang w:eastAsia="en-US"/>
        </w:rPr>
      </w:pPr>
    </w:p>
    <w:p w14:paraId="48F01192">
      <w:pPr>
        <w:ind w:firstLine="709"/>
        <w:jc w:val="both"/>
        <w:rPr>
          <w:lang w:eastAsia="en-US"/>
        </w:rPr>
      </w:pPr>
      <w:r>
        <w:rPr>
          <w:lang w:eastAsia="en-US"/>
        </w:rPr>
        <w:t xml:space="preserve">Ниже приведена схема процесса нормализации данных. </w:t>
      </w:r>
    </w:p>
    <w:p w14:paraId="72B4ECAA">
      <w:pPr>
        <w:ind w:firstLine="709"/>
        <w:jc w:val="both"/>
        <w:rPr>
          <w:lang w:eastAsia="en-US"/>
        </w:rPr>
      </w:pP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5"/>
        <w:gridCol w:w="4956"/>
      </w:tblGrid>
      <w:tr w14:paraId="7A38A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4955" w:type="dxa"/>
            <w:shd w:val="pct15" w:color="auto" w:fill="auto"/>
            <w:vAlign w:val="center"/>
          </w:tcPr>
          <w:p w14:paraId="278DC662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Файл</w:t>
            </w:r>
          </w:p>
        </w:tc>
        <w:tc>
          <w:tcPr>
            <w:tcW w:w="4956" w:type="dxa"/>
            <w:shd w:val="pct15" w:color="auto" w:fill="auto"/>
            <w:vAlign w:val="center"/>
          </w:tcPr>
          <w:p w14:paraId="05005E91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Описание</w:t>
            </w:r>
          </w:p>
        </w:tc>
      </w:tr>
      <w:tr w14:paraId="0BCFD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4" w:hRule="atLeast"/>
        </w:trPr>
        <w:tc>
          <w:tcPr>
            <w:tcW w:w="4955" w:type="dxa"/>
            <w:vAlign w:val="center"/>
          </w:tcPr>
          <w:p w14:paraId="6A5E6DE5">
            <w:pPr>
              <w:jc w:val="center"/>
              <w:rPr>
                <w:sz w:val="20"/>
                <w:lang w:eastAsia="en-US"/>
              </w:rPr>
            </w:pPr>
            <w:r>
              <w:rPr>
                <w:sz w:val="22"/>
                <w:lang w:eastAsia="en-US"/>
              </w:rPr>
              <w:object>
                <v:shape id="_x0000_i1025" o:spt="75" type="#_x0000_t75" style="height:37.2pt;width:58.2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12">
                  <o:LockedField>false</o:LockedField>
                </o:OLEObject>
              </w:object>
            </w:r>
          </w:p>
        </w:tc>
        <w:tc>
          <w:tcPr>
            <w:tcW w:w="4956" w:type="dxa"/>
            <w:vAlign w:val="center"/>
          </w:tcPr>
          <w:p w14:paraId="43AAD590">
            <w:pPr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Пример процесса нормализации данных</w:t>
            </w:r>
          </w:p>
        </w:tc>
      </w:tr>
    </w:tbl>
    <w:p w14:paraId="35F16ABE">
      <w:pPr>
        <w:rPr>
          <w:highlight w:val="yellow"/>
          <w:lang w:eastAsia="en-US"/>
        </w:rPr>
      </w:pPr>
    </w:p>
    <w:p w14:paraId="3DA56AC0">
      <w:pPr>
        <w:pStyle w:val="67"/>
      </w:pPr>
      <w:bookmarkStart w:id="57" w:name="_Toc211008678"/>
      <w:bookmarkStart w:id="58" w:name="_Toc209606491"/>
      <w:r>
        <w:t>8.2.1. Источники данных</w:t>
      </w:r>
      <w:bookmarkEnd w:id="57"/>
      <w:r>
        <w:t xml:space="preserve"> </w:t>
      </w:r>
    </w:p>
    <w:p w14:paraId="424C378C">
      <w:pPr>
        <w:pStyle w:val="63"/>
        <w:numPr>
          <w:ilvl w:val="0"/>
          <w:numId w:val="0"/>
        </w:numPr>
        <w:ind w:firstLine="709"/>
        <w:rPr>
          <w:lang w:eastAsia="en-US"/>
        </w:rPr>
      </w:pPr>
      <w:r>
        <w:rPr>
          <w:lang w:eastAsia="en-US"/>
        </w:rPr>
        <w:t>Источники данных для нормализации справочника номенклатуры указаны в таблице №17.</w:t>
      </w:r>
    </w:p>
    <w:p w14:paraId="00FBC237">
      <w:pPr>
        <w:pStyle w:val="63"/>
        <w:numPr>
          <w:ilvl w:val="0"/>
          <w:numId w:val="0"/>
        </w:numPr>
        <w:ind w:left="717"/>
        <w:rPr>
          <w:lang w:eastAsia="en-US"/>
        </w:rPr>
      </w:pPr>
    </w:p>
    <w:p w14:paraId="55566EFA">
      <w:pPr>
        <w:pStyle w:val="15"/>
        <w:keepNext/>
        <w:jc w:val="right"/>
      </w:pPr>
      <w:r>
        <w:t>Таблица 17. Источники данных для нормализации справочника номенклатуры.</w:t>
      </w:r>
    </w:p>
    <w:tbl>
      <w:tblPr>
        <w:tblStyle w:val="3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1672"/>
        <w:gridCol w:w="817"/>
        <w:gridCol w:w="1736"/>
        <w:gridCol w:w="1802"/>
        <w:gridCol w:w="1561"/>
        <w:gridCol w:w="1987"/>
      </w:tblGrid>
      <w:tr w14:paraId="5B975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7" w:type="pct"/>
            <w:shd w:val="pct15" w:color="auto" w:fill="auto"/>
            <w:vAlign w:val="center"/>
          </w:tcPr>
          <w:p w14:paraId="6FEC5319">
            <w:pPr>
              <w:spacing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 п/п</w:t>
            </w:r>
          </w:p>
        </w:tc>
        <w:tc>
          <w:tcPr>
            <w:tcW w:w="825" w:type="pct"/>
            <w:shd w:val="pct15" w:color="auto" w:fill="auto"/>
            <w:vAlign w:val="center"/>
          </w:tcPr>
          <w:p w14:paraId="583CC910">
            <w:pPr>
              <w:spacing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Наименование НСИ</w:t>
            </w:r>
          </w:p>
        </w:tc>
        <w:tc>
          <w:tcPr>
            <w:tcW w:w="403" w:type="pct"/>
            <w:shd w:val="pct15" w:color="auto" w:fill="auto"/>
            <w:vAlign w:val="center"/>
          </w:tcPr>
          <w:p w14:paraId="2EFA42B4">
            <w:pPr>
              <w:spacing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Источник</w:t>
            </w:r>
          </w:p>
        </w:tc>
        <w:tc>
          <w:tcPr>
            <w:tcW w:w="856" w:type="pct"/>
            <w:shd w:val="pct15" w:color="auto" w:fill="auto"/>
            <w:vAlign w:val="center"/>
          </w:tcPr>
          <w:p w14:paraId="51DDCFB4">
            <w:pPr>
              <w:spacing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Организация</w:t>
            </w:r>
          </w:p>
        </w:tc>
        <w:tc>
          <w:tcPr>
            <w:tcW w:w="889" w:type="pct"/>
            <w:shd w:val="pct15" w:color="auto" w:fill="auto"/>
            <w:vAlign w:val="center"/>
          </w:tcPr>
          <w:p w14:paraId="4575FDD6">
            <w:pPr>
              <w:spacing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Назначение ИС</w:t>
            </w:r>
          </w:p>
        </w:tc>
        <w:tc>
          <w:tcPr>
            <w:tcW w:w="770" w:type="pct"/>
            <w:shd w:val="pct15" w:color="auto" w:fill="auto"/>
            <w:vAlign w:val="center"/>
          </w:tcPr>
          <w:p w14:paraId="5A97E59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Особенности ведения НСИ</w:t>
            </w:r>
          </w:p>
        </w:tc>
        <w:tc>
          <w:tcPr>
            <w:tcW w:w="980" w:type="pct"/>
            <w:shd w:val="pct15" w:color="auto" w:fill="auto"/>
            <w:vAlign w:val="center"/>
          </w:tcPr>
          <w:p w14:paraId="104FAC72">
            <w:pPr>
              <w:spacing w:line="276" w:lineRule="auto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  <w:szCs w:val="20"/>
              </w:rPr>
              <w:t>Владелец справочника номенклатуры</w:t>
            </w:r>
          </w:p>
        </w:tc>
      </w:tr>
      <w:tr w14:paraId="386D6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" w:type="pct"/>
            <w:vAlign w:val="center"/>
          </w:tcPr>
          <w:p w14:paraId="58B2E889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25" w:type="pct"/>
            <w:vMerge w:val="restart"/>
            <w:vAlign w:val="center"/>
          </w:tcPr>
          <w:p w14:paraId="628FC81A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Справочник Номенклатуры</w:t>
            </w:r>
          </w:p>
        </w:tc>
        <w:tc>
          <w:tcPr>
            <w:tcW w:w="403" w:type="pct"/>
            <w:vAlign w:val="center"/>
          </w:tcPr>
          <w:p w14:paraId="40FC82B5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1С БП КОРП</w:t>
            </w:r>
          </w:p>
        </w:tc>
        <w:tc>
          <w:tcPr>
            <w:tcW w:w="856" w:type="pct"/>
            <w:vAlign w:val="center"/>
          </w:tcPr>
          <w:p w14:paraId="322F3DDC">
            <w:pPr>
              <w:spacing w:line="276" w:lineRule="auto"/>
              <w:jc w:val="center"/>
              <w:rPr>
                <w:sz w:val="20"/>
              </w:rPr>
            </w:pPr>
            <w:r>
              <w:rPr>
                <w:rFonts w:cstheme="majorHAnsi"/>
                <w:sz w:val="20"/>
              </w:rPr>
              <w:t>ООО «ГПМ Верхне Менкече»</w:t>
            </w:r>
          </w:p>
        </w:tc>
        <w:tc>
          <w:tcPr>
            <w:tcW w:w="889" w:type="pct"/>
            <w:vAlign w:val="center"/>
          </w:tcPr>
          <w:p w14:paraId="5964EE2C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Оперативный учет</w:t>
            </w:r>
          </w:p>
          <w:p w14:paraId="1011F23E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Бухгалтерский учет</w:t>
            </w:r>
          </w:p>
          <w:p w14:paraId="1B86E95A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Налоговый учет</w:t>
            </w:r>
          </w:p>
        </w:tc>
        <w:tc>
          <w:tcPr>
            <w:tcW w:w="770" w:type="pct"/>
            <w:vAlign w:val="center"/>
          </w:tcPr>
          <w:p w14:paraId="21B2D759">
            <w:pPr>
              <w:spacing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Локальное ведение справочника</w:t>
            </w:r>
          </w:p>
        </w:tc>
        <w:tc>
          <w:tcPr>
            <w:tcW w:w="980" w:type="pct"/>
            <w:vAlign w:val="center"/>
          </w:tcPr>
          <w:p w14:paraId="64FC26E7">
            <w:pPr>
              <w:spacing w:line="276" w:lineRule="auto"/>
              <w:jc w:val="center"/>
              <w:rPr>
                <w:sz w:val="20"/>
              </w:rPr>
            </w:pPr>
            <w:r>
              <w:rPr>
                <w:rFonts w:cstheme="minorHAnsi"/>
                <w:sz w:val="20"/>
                <w:szCs w:val="20"/>
              </w:rPr>
              <w:t>Департамент Бухгалтерского Учета и Отчетности</w:t>
            </w:r>
          </w:p>
        </w:tc>
      </w:tr>
      <w:tr w14:paraId="25300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" w:type="pct"/>
            <w:vAlign w:val="center"/>
          </w:tcPr>
          <w:p w14:paraId="29DB3A81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825" w:type="pct"/>
            <w:vMerge w:val="continue"/>
            <w:vAlign w:val="center"/>
          </w:tcPr>
          <w:p w14:paraId="5A603011">
            <w:pPr>
              <w:spacing w:line="276" w:lineRule="auto"/>
              <w:jc w:val="center"/>
              <w:rPr>
                <w:rFonts w:eastAsia="Cambria" w:cs="Cambria"/>
                <w:color w:val="000000"/>
                <w:sz w:val="20"/>
              </w:rPr>
            </w:pPr>
          </w:p>
        </w:tc>
        <w:tc>
          <w:tcPr>
            <w:tcW w:w="403" w:type="pct"/>
            <w:vAlign w:val="center"/>
          </w:tcPr>
          <w:p w14:paraId="3720E7C6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1С БП КОРП</w:t>
            </w:r>
          </w:p>
        </w:tc>
        <w:tc>
          <w:tcPr>
            <w:tcW w:w="856" w:type="pct"/>
            <w:vAlign w:val="center"/>
          </w:tcPr>
          <w:p w14:paraId="04686A7B">
            <w:pPr>
              <w:spacing w:line="276" w:lineRule="auto"/>
              <w:jc w:val="center"/>
              <w:rPr>
                <w:sz w:val="20"/>
              </w:rPr>
            </w:pPr>
            <w:r>
              <w:rPr>
                <w:rFonts w:cstheme="majorHAnsi"/>
                <w:sz w:val="20"/>
              </w:rPr>
              <w:t>АО «Сарылах-Сурьма» и ООО «Звезда»</w:t>
            </w:r>
          </w:p>
        </w:tc>
        <w:tc>
          <w:tcPr>
            <w:tcW w:w="889" w:type="pct"/>
            <w:vAlign w:val="center"/>
          </w:tcPr>
          <w:p w14:paraId="34C9921A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Оперативный учет</w:t>
            </w:r>
          </w:p>
          <w:p w14:paraId="33F6C9BC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Бухгалтерский учет</w:t>
            </w:r>
          </w:p>
          <w:p w14:paraId="1DA6066B">
            <w:pPr>
              <w:spacing w:line="276" w:lineRule="auto"/>
              <w:rPr>
                <w:sz w:val="20"/>
              </w:rPr>
            </w:pPr>
            <w:r>
              <w:rPr>
                <w:sz w:val="20"/>
              </w:rPr>
              <w:t>Налоговый учет</w:t>
            </w:r>
          </w:p>
        </w:tc>
        <w:tc>
          <w:tcPr>
            <w:tcW w:w="770" w:type="pct"/>
            <w:vAlign w:val="center"/>
          </w:tcPr>
          <w:p w14:paraId="0550F78A">
            <w:pPr>
              <w:spacing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Локальное ведение справочника</w:t>
            </w:r>
          </w:p>
        </w:tc>
        <w:tc>
          <w:tcPr>
            <w:tcW w:w="980" w:type="pct"/>
            <w:vAlign w:val="center"/>
          </w:tcPr>
          <w:p w14:paraId="0E35133F">
            <w:pPr>
              <w:spacing w:line="276" w:lineRule="auto"/>
              <w:jc w:val="center"/>
              <w:rPr>
                <w:sz w:val="20"/>
              </w:rPr>
            </w:pPr>
            <w:r>
              <w:rPr>
                <w:rFonts w:cstheme="minorHAnsi"/>
                <w:sz w:val="20"/>
                <w:szCs w:val="20"/>
              </w:rPr>
              <w:t>Департамент Бухгалтерского Учета и Отчетности</w:t>
            </w:r>
          </w:p>
        </w:tc>
      </w:tr>
    </w:tbl>
    <w:p w14:paraId="5DA2929F">
      <w:pPr>
        <w:spacing w:before="240" w:after="240" w:line="276" w:lineRule="auto"/>
        <w:ind w:firstLine="709"/>
        <w:jc w:val="both"/>
      </w:pPr>
      <w:r>
        <w:t>Классификация справочника номенклатуры определена в документе «Стандарт классификации справочника номенклатуры ООО «Горнорудный Майнинг».</w:t>
      </w:r>
    </w:p>
    <w:p w14:paraId="40DFB9D9">
      <w:pPr>
        <w:pStyle w:val="67"/>
      </w:pPr>
      <w:bookmarkStart w:id="59" w:name="_Toc211008679"/>
      <w:r>
        <w:t>8.2.2. Описание структуры. Обязательные и опциональные реквизиты</w:t>
      </w:r>
      <w:bookmarkEnd w:id="59"/>
      <w:r>
        <w:t xml:space="preserve"> </w:t>
      </w:r>
      <w:bookmarkEnd w:id="58"/>
    </w:p>
    <w:p w14:paraId="7BCA7A4C">
      <w:pPr>
        <w:spacing w:after="240" w:line="276" w:lineRule="auto"/>
        <w:ind w:firstLine="709"/>
        <w:jc w:val="both"/>
      </w:pPr>
      <w:r>
        <w:t xml:space="preserve">Описание структуры справочника номенклатура в информационной системе 1С:MDM КОРП представлено в таблице №18. </w:t>
      </w:r>
    </w:p>
    <w:p w14:paraId="50DB87B1">
      <w:pPr>
        <w:spacing w:line="276" w:lineRule="auto"/>
        <w:ind w:firstLine="709"/>
        <w:jc w:val="right"/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</w:pPr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>Таблица 18. Структура справочника Номенклатура в 1</w:t>
      </w:r>
      <w:r>
        <w:rPr>
          <w:rFonts w:eastAsiaTheme="minorHAnsi"/>
          <w:i/>
          <w:iCs/>
          <w:color w:val="44546A" w:themeColor="text2"/>
          <w:sz w:val="18"/>
          <w:szCs w:val="18"/>
          <w:lang w:val="en-US" w:eastAsia="en-US"/>
          <w14:textFill>
            <w14:solidFill>
              <w14:schemeClr w14:val="tx2"/>
            </w14:solidFill>
          </w14:textFill>
        </w:rPr>
        <w:t>C</w:t>
      </w:r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>:</w:t>
      </w:r>
      <w:r>
        <w:rPr>
          <w:rFonts w:eastAsiaTheme="minorHAnsi"/>
          <w:i/>
          <w:iCs/>
          <w:color w:val="44546A" w:themeColor="text2"/>
          <w:sz w:val="18"/>
          <w:szCs w:val="18"/>
          <w:lang w:val="en-US" w:eastAsia="en-US"/>
          <w14:textFill>
            <w14:solidFill>
              <w14:schemeClr w14:val="tx2"/>
            </w14:solidFill>
          </w14:textFill>
        </w:rPr>
        <w:t>MDM</w:t>
      </w:r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 xml:space="preserve"> КОРП.</w:t>
      </w:r>
    </w:p>
    <w:tbl>
      <w:tblPr>
        <w:tblStyle w:val="3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"/>
        <w:gridCol w:w="1137"/>
        <w:gridCol w:w="993"/>
        <w:gridCol w:w="1313"/>
        <w:gridCol w:w="1206"/>
        <w:gridCol w:w="2017"/>
        <w:gridCol w:w="1304"/>
        <w:gridCol w:w="1544"/>
      </w:tblGrid>
      <w:tr w14:paraId="53141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0" w:hRule="atLeast"/>
          <w:tblHeader/>
          <w:jc w:val="center"/>
        </w:trPr>
        <w:tc>
          <w:tcPr>
            <w:tcW w:w="306" w:type="pct"/>
            <w:vMerge w:val="restart"/>
            <w:shd w:val="pct15" w:color="auto" w:fill="auto"/>
            <w:vAlign w:val="center"/>
          </w:tcPr>
          <w:p w14:paraId="10F1667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3288" w:type="pct"/>
            <w:gridSpan w:val="5"/>
            <w:shd w:val="pct15" w:color="auto" w:fill="auto"/>
            <w:vAlign w:val="center"/>
          </w:tcPr>
          <w:p w14:paraId="17F5DDC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</w:rPr>
              <w:t>ИС 1С:MDM КОРП</w:t>
            </w:r>
          </w:p>
        </w:tc>
        <w:tc>
          <w:tcPr>
            <w:tcW w:w="643" w:type="pct"/>
            <w:vMerge w:val="restart"/>
            <w:shd w:val="pct15" w:color="auto" w:fill="auto"/>
            <w:vAlign w:val="center"/>
          </w:tcPr>
          <w:p w14:paraId="4E499AE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Наименование реквизита в </w:t>
            </w:r>
            <w:r>
              <w:rPr>
                <w:b/>
                <w:sz w:val="20"/>
              </w:rPr>
              <w:t xml:space="preserve">ИС </w:t>
            </w:r>
            <w:r>
              <w:rPr>
                <w:b/>
                <w:sz w:val="20"/>
                <w:szCs w:val="22"/>
              </w:rPr>
              <w:t>1С:БП КОРП</w:t>
            </w:r>
          </w:p>
        </w:tc>
        <w:tc>
          <w:tcPr>
            <w:tcW w:w="763" w:type="pct"/>
            <w:vMerge w:val="restart"/>
            <w:shd w:val="pct15" w:color="auto" w:fill="auto"/>
            <w:vAlign w:val="center"/>
          </w:tcPr>
          <w:p w14:paraId="78C906B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Примечание</w:t>
            </w:r>
          </w:p>
        </w:tc>
      </w:tr>
      <w:tr w14:paraId="21349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7" w:hRule="atLeast"/>
          <w:tblHeader/>
          <w:jc w:val="center"/>
        </w:trPr>
        <w:tc>
          <w:tcPr>
            <w:tcW w:w="306" w:type="pct"/>
            <w:vMerge w:val="continue"/>
            <w:tcBorders>
              <w:bottom w:val="single" w:color="auto" w:sz="4" w:space="0"/>
            </w:tcBorders>
            <w:shd w:val="pct15" w:color="auto" w:fill="auto"/>
            <w:vAlign w:val="center"/>
          </w:tcPr>
          <w:p w14:paraId="453E613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1" w:type="pct"/>
            <w:tcBorders>
              <w:bottom w:val="single" w:color="auto" w:sz="4" w:space="0"/>
            </w:tcBorders>
            <w:shd w:val="pct15" w:color="auto" w:fill="auto"/>
            <w:vAlign w:val="center"/>
          </w:tcPr>
          <w:p w14:paraId="0524150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szCs w:val="20"/>
              </w:rPr>
              <w:t xml:space="preserve">Наименование реквизита </w:t>
            </w:r>
          </w:p>
        </w:tc>
        <w:tc>
          <w:tcPr>
            <w:tcW w:w="490" w:type="pct"/>
            <w:tcBorders>
              <w:bottom w:val="single" w:color="auto" w:sz="4" w:space="0"/>
            </w:tcBorders>
            <w:shd w:val="pct15" w:color="auto" w:fill="auto"/>
            <w:vAlign w:val="center"/>
          </w:tcPr>
          <w:p w14:paraId="54489C0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Тип данных </w:t>
            </w:r>
          </w:p>
        </w:tc>
        <w:tc>
          <w:tcPr>
            <w:tcW w:w="648" w:type="pct"/>
            <w:tcBorders>
              <w:bottom w:val="single" w:color="auto" w:sz="4" w:space="0"/>
            </w:tcBorders>
            <w:shd w:val="pct15" w:color="auto" w:fill="auto"/>
            <w:vAlign w:val="center"/>
          </w:tcPr>
          <w:p w14:paraId="00962EC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Обязательность заполнения</w:t>
            </w:r>
            <w:r>
              <w:rPr>
                <w:rStyle w:val="8"/>
                <w:b/>
                <w:sz w:val="20"/>
                <w:szCs w:val="20"/>
              </w:rPr>
              <w:footnoteReference w:id="0"/>
            </w:r>
          </w:p>
        </w:tc>
        <w:tc>
          <w:tcPr>
            <w:tcW w:w="595" w:type="pct"/>
            <w:tcBorders>
              <w:bottom w:val="single" w:color="auto" w:sz="4" w:space="0"/>
            </w:tcBorders>
            <w:shd w:val="pct15" w:color="auto" w:fill="auto"/>
            <w:vAlign w:val="center"/>
          </w:tcPr>
          <w:p w14:paraId="1C8E572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Значение по умолчанию</w:t>
            </w:r>
          </w:p>
        </w:tc>
        <w:tc>
          <w:tcPr>
            <w:tcW w:w="995" w:type="pct"/>
            <w:tcBorders>
              <w:bottom w:val="single" w:color="auto" w:sz="4" w:space="0"/>
            </w:tcBorders>
            <w:shd w:val="pct15" w:color="auto" w:fill="auto"/>
            <w:vAlign w:val="center"/>
          </w:tcPr>
          <w:p w14:paraId="1BB21D2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szCs w:val="20"/>
              </w:rPr>
              <w:t>Правило заполнения/Исключения/Ссылка на другой документ</w:t>
            </w:r>
          </w:p>
        </w:tc>
        <w:tc>
          <w:tcPr>
            <w:tcW w:w="643" w:type="pct"/>
            <w:vMerge w:val="continue"/>
            <w:tcBorders>
              <w:bottom w:val="single" w:color="auto" w:sz="4" w:space="0"/>
            </w:tcBorders>
            <w:shd w:val="pct15" w:color="auto" w:fill="auto"/>
            <w:vAlign w:val="center"/>
          </w:tcPr>
          <w:p w14:paraId="1B14558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63" w:type="pct"/>
            <w:vMerge w:val="continue"/>
            <w:tcBorders>
              <w:bottom w:val="single" w:color="auto" w:sz="4" w:space="0"/>
            </w:tcBorders>
            <w:shd w:val="pct15" w:color="auto" w:fill="auto"/>
            <w:vAlign w:val="center"/>
          </w:tcPr>
          <w:p w14:paraId="7622697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14:paraId="2C9EC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2" w:hRule="atLeast"/>
          <w:jc w:val="center"/>
        </w:trPr>
        <w:tc>
          <w:tcPr>
            <w:tcW w:w="5000" w:type="pct"/>
            <w:gridSpan w:val="8"/>
            <w:tcBorders>
              <w:bottom w:val="single" w:color="auto" w:sz="4" w:space="0"/>
            </w:tcBorders>
            <w:shd w:val="pct10" w:color="auto" w:fill="auto"/>
            <w:vAlign w:val="center"/>
          </w:tcPr>
          <w:p w14:paraId="23F9437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Стандартные реквизиты номенклатурной позиции в 1С:</w:t>
            </w:r>
            <w:r>
              <w:rPr>
                <w:b/>
                <w:sz w:val="20"/>
                <w:szCs w:val="20"/>
                <w:lang w:val="en-US"/>
              </w:rPr>
              <w:t>MDM</w:t>
            </w:r>
          </w:p>
        </w:tc>
      </w:tr>
      <w:tr w14:paraId="7095C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" w:type="pct"/>
            <w:vAlign w:val="center"/>
          </w:tcPr>
          <w:p w14:paraId="79E97DC7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61" w:type="pct"/>
            <w:vAlign w:val="center"/>
          </w:tcPr>
          <w:p w14:paraId="0D8B2997">
            <w:pPr>
              <w:rPr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MDM Key</w:t>
            </w:r>
          </w:p>
        </w:tc>
        <w:tc>
          <w:tcPr>
            <w:tcW w:w="490" w:type="pct"/>
            <w:vAlign w:val="center"/>
          </w:tcPr>
          <w:p w14:paraId="2EC747B8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Ссылка (36)</w:t>
            </w:r>
          </w:p>
        </w:tc>
        <w:tc>
          <w:tcPr>
            <w:tcW w:w="648" w:type="pct"/>
            <w:vAlign w:val="center"/>
          </w:tcPr>
          <w:p w14:paraId="2E172AB9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595" w:type="pct"/>
            <w:vAlign w:val="center"/>
          </w:tcPr>
          <w:p w14:paraId="49CEBC9F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Автоматическая генерация </w:t>
            </w:r>
          </w:p>
        </w:tc>
        <w:tc>
          <w:tcPr>
            <w:tcW w:w="995" w:type="pct"/>
            <w:vAlign w:val="center"/>
          </w:tcPr>
          <w:p w14:paraId="1B26E932">
            <w:pPr>
              <w:rPr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Системный код записи. Заполняется системой автоматически.</w:t>
            </w:r>
          </w:p>
        </w:tc>
        <w:tc>
          <w:tcPr>
            <w:tcW w:w="643" w:type="pct"/>
            <w:vAlign w:val="center"/>
          </w:tcPr>
          <w:p w14:paraId="3ECCD6F1">
            <w:pPr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GUID</w:t>
            </w:r>
          </w:p>
        </w:tc>
        <w:tc>
          <w:tcPr>
            <w:tcW w:w="763" w:type="pct"/>
            <w:vAlign w:val="center"/>
          </w:tcPr>
          <w:p w14:paraId="535EA2BB">
            <w:pPr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GUID из ИС-источника должен быть сохранен в таблице переходных ключей</w:t>
            </w:r>
          </w:p>
        </w:tc>
      </w:tr>
      <w:tr w14:paraId="022DD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" w:type="pct"/>
            <w:vAlign w:val="center"/>
          </w:tcPr>
          <w:p w14:paraId="3E3ACD9D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1" w:type="pct"/>
            <w:vAlign w:val="center"/>
          </w:tcPr>
          <w:p w14:paraId="70EEE410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Код </w:t>
            </w:r>
          </w:p>
        </w:tc>
        <w:tc>
          <w:tcPr>
            <w:tcW w:w="490" w:type="pct"/>
            <w:vAlign w:val="center"/>
          </w:tcPr>
          <w:p w14:paraId="17B02676">
            <w:pPr>
              <w:jc w:val="center"/>
              <w:rPr>
                <w:rStyle w:val="88"/>
                <w:rFonts w:eastAsiaTheme="majorEastAsia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 (11)</w:t>
            </w:r>
          </w:p>
        </w:tc>
        <w:tc>
          <w:tcPr>
            <w:tcW w:w="648" w:type="pct"/>
            <w:vAlign w:val="center"/>
          </w:tcPr>
          <w:p w14:paraId="5BC03F07">
            <w:pPr>
              <w:jc w:val="center"/>
              <w:rPr>
                <w:rStyle w:val="88"/>
                <w:rFonts w:eastAsiaTheme="majorEastAsia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595" w:type="pct"/>
            <w:vAlign w:val="center"/>
          </w:tcPr>
          <w:p w14:paraId="793ED84A">
            <w:pPr>
              <w:jc w:val="center"/>
              <w:rPr>
                <w:rStyle w:val="88"/>
                <w:rFonts w:eastAsiaTheme="majorEastAsia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Автоматическая генерация (счетчик)</w:t>
            </w:r>
          </w:p>
        </w:tc>
        <w:tc>
          <w:tcPr>
            <w:tcW w:w="995" w:type="pct"/>
            <w:vAlign w:val="center"/>
          </w:tcPr>
          <w:p w14:paraId="636F6C66">
            <w:pPr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Генерируется системой автоматически в момент создания новой номенклатуры.</w:t>
            </w:r>
          </w:p>
          <w:p w14:paraId="345C3914">
            <w:pPr>
              <w:rPr>
                <w:sz w:val="20"/>
                <w:szCs w:val="20"/>
              </w:rPr>
            </w:pPr>
          </w:p>
          <w:p w14:paraId="7AFC8C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Первый символ «М»</w:t>
            </w:r>
          </w:p>
        </w:tc>
        <w:tc>
          <w:tcPr>
            <w:tcW w:w="643" w:type="pct"/>
            <w:vAlign w:val="center"/>
          </w:tcPr>
          <w:p w14:paraId="45A85523">
            <w:pPr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Код</w:t>
            </w:r>
          </w:p>
        </w:tc>
        <w:tc>
          <w:tcPr>
            <w:tcW w:w="763" w:type="pct"/>
            <w:vAlign w:val="center"/>
          </w:tcPr>
          <w:p w14:paraId="65D6F2CF">
            <w:pPr>
              <w:rPr>
                <w:rFonts w:eastAsiaTheme="minorHAnsi"/>
                <w:sz w:val="20"/>
              </w:rPr>
            </w:pPr>
            <w:r>
              <w:rPr>
                <w:color w:val="000000"/>
                <w:sz w:val="20"/>
                <w:szCs w:val="22"/>
              </w:rPr>
              <w:t xml:space="preserve">Уникальный код номенклатурной позиции </w:t>
            </w:r>
            <w:r>
              <w:rPr>
                <w:sz w:val="20"/>
                <w:szCs w:val="20"/>
              </w:rPr>
              <w:t xml:space="preserve">из ИС-источника должен быть сохранен в отдельном </w:t>
            </w:r>
            <w:r>
              <w:rPr>
                <w:b/>
                <w:bCs/>
                <w:sz w:val="20"/>
                <w:szCs w:val="20"/>
              </w:rPr>
              <w:t>новом</w:t>
            </w:r>
            <w:r>
              <w:rPr>
                <w:sz w:val="20"/>
                <w:szCs w:val="20"/>
              </w:rPr>
              <w:t xml:space="preserve"> реквизите «</w:t>
            </w:r>
            <w:r>
              <w:rPr>
                <w:rFonts w:cs="Calibri"/>
                <w:color w:val="000000"/>
                <w:sz w:val="20"/>
                <w:szCs w:val="20"/>
              </w:rPr>
              <w:t>Прежний номенклатурный номер</w:t>
            </w:r>
            <w:r>
              <w:rPr>
                <w:sz w:val="20"/>
                <w:szCs w:val="20"/>
              </w:rPr>
              <w:t>»</w:t>
            </w:r>
          </w:p>
        </w:tc>
      </w:tr>
      <w:tr w14:paraId="30D69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" w:type="pct"/>
            <w:vAlign w:val="center"/>
          </w:tcPr>
          <w:p w14:paraId="340D1935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1" w:type="pct"/>
            <w:vAlign w:val="center"/>
          </w:tcPr>
          <w:p w14:paraId="758CD920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Наименование</w:t>
            </w:r>
          </w:p>
        </w:tc>
        <w:tc>
          <w:tcPr>
            <w:tcW w:w="490" w:type="pct"/>
            <w:vAlign w:val="center"/>
          </w:tcPr>
          <w:p w14:paraId="37728D6C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 (100)</w:t>
            </w:r>
          </w:p>
        </w:tc>
        <w:tc>
          <w:tcPr>
            <w:tcW w:w="648" w:type="pct"/>
            <w:vAlign w:val="center"/>
          </w:tcPr>
          <w:p w14:paraId="40A8382F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595" w:type="pct"/>
            <w:vAlign w:val="center"/>
          </w:tcPr>
          <w:p w14:paraId="108035A6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995" w:type="pct"/>
            <w:vAlign w:val="center"/>
          </w:tcPr>
          <w:p w14:paraId="2196DB3A">
            <w:pPr>
              <w:rPr>
                <w:sz w:val="20"/>
                <w:szCs w:val="20"/>
              </w:rPr>
            </w:pPr>
            <w:r>
              <w:rPr>
                <w:iCs/>
                <w:color w:val="000000"/>
                <w:sz w:val="20"/>
                <w:szCs w:val="20"/>
              </w:rPr>
              <w:t>Правила заполнения см. п. 5.1, 5.2 методики</w:t>
            </w:r>
          </w:p>
        </w:tc>
        <w:tc>
          <w:tcPr>
            <w:tcW w:w="643" w:type="pct"/>
            <w:vAlign w:val="center"/>
          </w:tcPr>
          <w:p w14:paraId="33650335">
            <w:pPr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763" w:type="pct"/>
            <w:vAlign w:val="center"/>
          </w:tcPr>
          <w:p w14:paraId="4538D881">
            <w:pPr>
              <w:rPr>
                <w:rFonts w:eastAsiaTheme="minorHAnsi"/>
                <w:sz w:val="20"/>
              </w:rPr>
            </w:pPr>
            <w:r>
              <w:rPr>
                <w:color w:val="000000"/>
                <w:sz w:val="20"/>
                <w:szCs w:val="20"/>
              </w:rPr>
              <w:t xml:space="preserve">Краткое наименование номенклатурной позиции </w:t>
            </w:r>
            <w:r>
              <w:rPr>
                <w:rFonts w:cs="Calibri"/>
                <w:color w:val="000000"/>
                <w:sz w:val="20"/>
                <w:szCs w:val="20"/>
              </w:rPr>
              <w:t>подлежит загрузке в соответствующее поле после нормализации</w:t>
            </w:r>
          </w:p>
        </w:tc>
      </w:tr>
      <w:tr w14:paraId="548E9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" w:type="pct"/>
            <w:vAlign w:val="center"/>
          </w:tcPr>
          <w:p w14:paraId="331CD7B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61" w:type="pct"/>
            <w:vAlign w:val="center"/>
          </w:tcPr>
          <w:p w14:paraId="748C4C1D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Наименование полное</w:t>
            </w:r>
          </w:p>
        </w:tc>
        <w:tc>
          <w:tcPr>
            <w:tcW w:w="490" w:type="pct"/>
            <w:vAlign w:val="center"/>
          </w:tcPr>
          <w:p w14:paraId="4550DD0F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 (1000)</w:t>
            </w:r>
          </w:p>
        </w:tc>
        <w:tc>
          <w:tcPr>
            <w:tcW w:w="648" w:type="pct"/>
            <w:vAlign w:val="center"/>
          </w:tcPr>
          <w:p w14:paraId="4A3D71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595" w:type="pct"/>
            <w:vAlign w:val="center"/>
          </w:tcPr>
          <w:p w14:paraId="322F68B1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995" w:type="pct"/>
            <w:vAlign w:val="center"/>
          </w:tcPr>
          <w:p w14:paraId="5FD0151B">
            <w:pPr>
              <w:rPr>
                <w:iCs/>
                <w:color w:val="000000"/>
                <w:sz w:val="20"/>
                <w:szCs w:val="20"/>
              </w:rPr>
            </w:pPr>
            <w:r>
              <w:rPr>
                <w:iCs/>
                <w:color w:val="000000"/>
                <w:sz w:val="20"/>
                <w:szCs w:val="20"/>
              </w:rPr>
              <w:t>Правила заполнения см. п. 5.1, 5.2 методики</w:t>
            </w:r>
          </w:p>
        </w:tc>
        <w:tc>
          <w:tcPr>
            <w:tcW w:w="643" w:type="pct"/>
            <w:vAlign w:val="center"/>
          </w:tcPr>
          <w:p w14:paraId="4CC69F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Полное наименование</w:t>
            </w:r>
          </w:p>
        </w:tc>
        <w:tc>
          <w:tcPr>
            <w:tcW w:w="763" w:type="pct"/>
            <w:vAlign w:val="center"/>
          </w:tcPr>
          <w:p w14:paraId="7AE594E8">
            <w:pPr>
              <w:rPr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Полное наименование подлежит загрузке в соответствующее поле после нормализации</w:t>
            </w:r>
          </w:p>
        </w:tc>
      </w:tr>
      <w:tr w14:paraId="6B420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" w:type="pct"/>
            <w:vAlign w:val="center"/>
          </w:tcPr>
          <w:p w14:paraId="7C55E0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61" w:type="pct"/>
            <w:vAlign w:val="center"/>
          </w:tcPr>
          <w:p w14:paraId="0592EBD8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Базовая ед изм</w:t>
            </w:r>
          </w:p>
        </w:tc>
        <w:tc>
          <w:tcPr>
            <w:tcW w:w="490" w:type="pct"/>
            <w:vAlign w:val="center"/>
          </w:tcPr>
          <w:p w14:paraId="706E60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СправочникСсылка.КлассификаторЕдиницИзмерения</w:t>
            </w:r>
          </w:p>
        </w:tc>
        <w:tc>
          <w:tcPr>
            <w:tcW w:w="648" w:type="pct"/>
            <w:vAlign w:val="center"/>
          </w:tcPr>
          <w:p w14:paraId="55776209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595" w:type="pct"/>
            <w:vAlign w:val="center"/>
          </w:tcPr>
          <w:p w14:paraId="5FF8E515">
            <w:pPr>
              <w:jc w:val="center"/>
              <w:rPr>
                <w:rFonts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Шт</w:t>
            </w:r>
          </w:p>
        </w:tc>
        <w:tc>
          <w:tcPr>
            <w:tcW w:w="995" w:type="pct"/>
            <w:vMerge w:val="restart"/>
            <w:vAlign w:val="center"/>
          </w:tcPr>
          <w:p w14:paraId="6A795375">
            <w:pPr>
              <w:rPr>
                <w:iCs/>
                <w:color w:val="000000"/>
                <w:sz w:val="20"/>
                <w:szCs w:val="20"/>
              </w:rPr>
            </w:pPr>
            <w:r>
              <w:rPr>
                <w:iCs/>
                <w:color w:val="000000"/>
                <w:sz w:val="20"/>
                <w:szCs w:val="20"/>
              </w:rPr>
              <w:t xml:space="preserve">Выбираются из нормализованного вспомогательного справочника. </w:t>
            </w:r>
          </w:p>
          <w:p w14:paraId="4B83A0DF">
            <w:pPr>
              <w:rPr>
                <w:iCs/>
                <w:color w:val="000000"/>
                <w:sz w:val="20"/>
                <w:szCs w:val="20"/>
              </w:rPr>
            </w:pPr>
            <w:r>
              <w:rPr>
                <w:iCs/>
                <w:color w:val="000000"/>
                <w:sz w:val="20"/>
                <w:szCs w:val="20"/>
              </w:rPr>
              <w:t>Правила заполнения справочника базовых и альтернативных единиц измерения</w:t>
            </w:r>
          </w:p>
          <w:p w14:paraId="13BF5E09">
            <w:pPr>
              <w:rPr>
                <w:iCs/>
                <w:color w:val="000000"/>
                <w:sz w:val="20"/>
                <w:szCs w:val="20"/>
              </w:rPr>
            </w:pPr>
            <w:r>
              <w:rPr>
                <w:iCs/>
                <w:color w:val="000000"/>
                <w:sz w:val="20"/>
                <w:szCs w:val="20"/>
              </w:rPr>
              <w:t xml:space="preserve"> см. п. 8.1.3 методики  </w:t>
            </w:r>
          </w:p>
        </w:tc>
        <w:tc>
          <w:tcPr>
            <w:tcW w:w="643" w:type="pct"/>
            <w:vAlign w:val="center"/>
          </w:tcPr>
          <w:p w14:paraId="2F873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Единица</w:t>
            </w:r>
          </w:p>
        </w:tc>
        <w:tc>
          <w:tcPr>
            <w:tcW w:w="763" w:type="pct"/>
            <w:vAlign w:val="center"/>
          </w:tcPr>
          <w:p w14:paraId="722E09FC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Единица измерения подлежит загрузке в соответствующее поле после нормализации </w:t>
            </w:r>
          </w:p>
        </w:tc>
      </w:tr>
      <w:tr w14:paraId="1C16E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" w:type="pct"/>
            <w:vAlign w:val="center"/>
          </w:tcPr>
          <w:p w14:paraId="5E3CCC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61" w:type="pct"/>
            <w:vAlign w:val="center"/>
          </w:tcPr>
          <w:p w14:paraId="5D718248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Альтернативные единицы измерения</w:t>
            </w:r>
          </w:p>
        </w:tc>
        <w:tc>
          <w:tcPr>
            <w:tcW w:w="490" w:type="pct"/>
            <w:vAlign w:val="center"/>
          </w:tcPr>
          <w:p w14:paraId="669FFD3D">
            <w:pPr>
              <w:jc w:val="center"/>
              <w:rPr>
                <w:rFonts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СправочникСсылка.КлассификаторЕдиницИзмерения</w:t>
            </w:r>
          </w:p>
        </w:tc>
        <w:tc>
          <w:tcPr>
            <w:tcW w:w="648" w:type="pct"/>
            <w:vAlign w:val="center"/>
          </w:tcPr>
          <w:p w14:paraId="22C2FB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595" w:type="pct"/>
            <w:vAlign w:val="center"/>
          </w:tcPr>
          <w:p w14:paraId="2D32997F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995" w:type="pct"/>
            <w:vMerge w:val="continue"/>
            <w:vAlign w:val="center"/>
          </w:tcPr>
          <w:p w14:paraId="09376E23">
            <w:pPr>
              <w:rPr>
                <w:iCs/>
                <w:color w:val="000000"/>
                <w:sz w:val="20"/>
                <w:szCs w:val="20"/>
              </w:rPr>
            </w:pPr>
          </w:p>
        </w:tc>
        <w:tc>
          <w:tcPr>
            <w:tcW w:w="643" w:type="pct"/>
            <w:vAlign w:val="center"/>
          </w:tcPr>
          <w:p w14:paraId="2E88F5C1">
            <w:pPr>
              <w:jc w:val="center"/>
              <w:rPr>
                <w:sz w:val="20"/>
                <w:szCs w:val="20"/>
              </w:rPr>
            </w:pPr>
            <w:r>
              <w:rPr>
                <w:rFonts w:eastAsiaTheme="minorHAnsi"/>
                <w:sz w:val="20"/>
              </w:rPr>
              <w:t>_</w:t>
            </w:r>
          </w:p>
        </w:tc>
        <w:tc>
          <w:tcPr>
            <w:tcW w:w="763" w:type="pct"/>
            <w:vAlign w:val="center"/>
          </w:tcPr>
          <w:p w14:paraId="5748BA10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Подлежит первичному наполнению в процессе нормализации </w:t>
            </w:r>
          </w:p>
        </w:tc>
      </w:tr>
      <w:tr w14:paraId="5E853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" w:type="pct"/>
            <w:vAlign w:val="center"/>
          </w:tcPr>
          <w:p w14:paraId="3597C142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61" w:type="pct"/>
            <w:vAlign w:val="center"/>
          </w:tcPr>
          <w:p w14:paraId="19DDDB7E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Классификатор номенклатуры</w:t>
            </w:r>
          </w:p>
        </w:tc>
        <w:tc>
          <w:tcPr>
            <w:tcW w:w="490" w:type="pct"/>
          </w:tcPr>
          <w:p w14:paraId="6F3A346E">
            <w:pPr>
              <w:jc w:val="center"/>
              <w:rPr>
                <w:rFonts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СправочникСсылка. Классификатор номенклатуры</w:t>
            </w:r>
          </w:p>
        </w:tc>
        <w:tc>
          <w:tcPr>
            <w:tcW w:w="648" w:type="pct"/>
            <w:vAlign w:val="center"/>
          </w:tcPr>
          <w:p w14:paraId="26FA60FD">
            <w:pPr>
              <w:jc w:val="center"/>
              <w:rPr>
                <w:sz w:val="20"/>
                <w:szCs w:val="20"/>
              </w:rPr>
            </w:pPr>
            <w:r>
              <w:rPr>
                <w:rFonts w:eastAsiaTheme="minorHAnsi"/>
                <w:sz w:val="20"/>
              </w:rPr>
              <w:t>ДА</w:t>
            </w:r>
          </w:p>
        </w:tc>
        <w:tc>
          <w:tcPr>
            <w:tcW w:w="595" w:type="pct"/>
            <w:vAlign w:val="center"/>
          </w:tcPr>
          <w:p w14:paraId="6E679BA8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eastAsiaTheme="minorHAnsi"/>
                <w:sz w:val="20"/>
              </w:rPr>
              <w:t>Пусто</w:t>
            </w:r>
          </w:p>
        </w:tc>
        <w:tc>
          <w:tcPr>
            <w:tcW w:w="995" w:type="pct"/>
            <w:vMerge w:val="restart"/>
            <w:vAlign w:val="center"/>
          </w:tcPr>
          <w:p w14:paraId="17CB5C64">
            <w:pPr>
              <w:rPr>
                <w:iC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Правила заполнения определяются в соответствии с документом «Стандарт Классификации»</w:t>
            </w:r>
          </w:p>
        </w:tc>
        <w:tc>
          <w:tcPr>
            <w:tcW w:w="643" w:type="pct"/>
            <w:vAlign w:val="center"/>
          </w:tcPr>
          <w:p w14:paraId="6FA43294">
            <w:pPr>
              <w:jc w:val="center"/>
              <w:rPr>
                <w:sz w:val="20"/>
                <w:szCs w:val="20"/>
              </w:rPr>
            </w:pPr>
            <w:r>
              <w:rPr>
                <w:rFonts w:eastAsiaTheme="minorHAnsi"/>
                <w:sz w:val="20"/>
              </w:rPr>
              <w:t>_</w:t>
            </w:r>
          </w:p>
        </w:tc>
        <w:tc>
          <w:tcPr>
            <w:tcW w:w="763" w:type="pct"/>
            <w:vAlign w:val="center"/>
          </w:tcPr>
          <w:p w14:paraId="0935583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Реквизиты «Виды материалов», «Группы материалов» реализуются через классификатор номенклатуры</w:t>
            </w:r>
          </w:p>
        </w:tc>
      </w:tr>
      <w:tr w14:paraId="0D374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" w:type="pct"/>
            <w:vAlign w:val="center"/>
          </w:tcPr>
          <w:p w14:paraId="3789B402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61" w:type="pct"/>
            <w:vAlign w:val="center"/>
          </w:tcPr>
          <w:p w14:paraId="38CB77D6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Шаблон номенклатуры</w:t>
            </w:r>
          </w:p>
        </w:tc>
        <w:tc>
          <w:tcPr>
            <w:tcW w:w="490" w:type="pct"/>
          </w:tcPr>
          <w:p w14:paraId="70C10EAD">
            <w:pPr>
              <w:jc w:val="center"/>
              <w:rPr>
                <w:rFonts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СправочникСсылка. Шаблон номенклатуры</w:t>
            </w:r>
          </w:p>
        </w:tc>
        <w:tc>
          <w:tcPr>
            <w:tcW w:w="648" w:type="pct"/>
            <w:vAlign w:val="center"/>
          </w:tcPr>
          <w:p w14:paraId="395CFD0E">
            <w:pPr>
              <w:jc w:val="center"/>
              <w:rPr>
                <w:sz w:val="20"/>
                <w:szCs w:val="20"/>
              </w:rPr>
            </w:pPr>
            <w:r>
              <w:rPr>
                <w:rFonts w:eastAsiaTheme="minorHAnsi"/>
                <w:sz w:val="20"/>
              </w:rPr>
              <w:t>НЕТ</w:t>
            </w:r>
          </w:p>
        </w:tc>
        <w:tc>
          <w:tcPr>
            <w:tcW w:w="595" w:type="pct"/>
            <w:vAlign w:val="center"/>
          </w:tcPr>
          <w:p w14:paraId="3F64E5D1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eastAsiaTheme="minorHAnsi"/>
                <w:sz w:val="20"/>
              </w:rPr>
              <w:t>Пусто</w:t>
            </w:r>
          </w:p>
        </w:tc>
        <w:tc>
          <w:tcPr>
            <w:tcW w:w="995" w:type="pct"/>
            <w:vMerge w:val="continue"/>
            <w:vAlign w:val="center"/>
          </w:tcPr>
          <w:p w14:paraId="1CD153B3">
            <w:pPr>
              <w:rPr>
                <w:iCs/>
                <w:color w:val="000000"/>
                <w:sz w:val="20"/>
                <w:szCs w:val="20"/>
              </w:rPr>
            </w:pPr>
          </w:p>
        </w:tc>
        <w:tc>
          <w:tcPr>
            <w:tcW w:w="643" w:type="pct"/>
            <w:vAlign w:val="center"/>
          </w:tcPr>
          <w:p w14:paraId="2584CC86">
            <w:pPr>
              <w:jc w:val="center"/>
              <w:rPr>
                <w:sz w:val="20"/>
                <w:szCs w:val="20"/>
              </w:rPr>
            </w:pPr>
            <w:r>
              <w:rPr>
                <w:rFonts w:eastAsiaTheme="minorHAnsi"/>
                <w:sz w:val="20"/>
              </w:rPr>
              <w:t>_</w:t>
            </w:r>
          </w:p>
        </w:tc>
        <w:tc>
          <w:tcPr>
            <w:tcW w:w="763" w:type="pct"/>
            <w:vAlign w:val="center"/>
          </w:tcPr>
          <w:p w14:paraId="72A709FE">
            <w:pPr>
              <w:rPr>
                <w:color w:val="000000"/>
                <w:sz w:val="20"/>
                <w:szCs w:val="20"/>
              </w:rPr>
            </w:pPr>
          </w:p>
        </w:tc>
      </w:tr>
      <w:tr w14:paraId="4A105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5" w:hRule="atLeast"/>
          <w:jc w:val="center"/>
        </w:trPr>
        <w:tc>
          <w:tcPr>
            <w:tcW w:w="306" w:type="pct"/>
            <w:vMerge w:val="restart"/>
            <w:vAlign w:val="center"/>
          </w:tcPr>
          <w:p w14:paraId="1C0E1B24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61" w:type="pct"/>
            <w:vMerge w:val="restart"/>
            <w:vAlign w:val="center"/>
          </w:tcPr>
          <w:p w14:paraId="643406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Атрибут</w:t>
            </w:r>
          </w:p>
        </w:tc>
        <w:tc>
          <w:tcPr>
            <w:tcW w:w="490" w:type="pct"/>
            <w:vMerge w:val="restart"/>
            <w:vAlign w:val="center"/>
          </w:tcPr>
          <w:p w14:paraId="3AEFEE97">
            <w:pPr>
              <w:jc w:val="center"/>
              <w:rPr>
                <w:iCs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Тип данных определяется функциональным назначением характеристики материала</w:t>
            </w:r>
          </w:p>
        </w:tc>
        <w:tc>
          <w:tcPr>
            <w:tcW w:w="648" w:type="pct"/>
            <w:vMerge w:val="restart"/>
            <w:vAlign w:val="center"/>
          </w:tcPr>
          <w:p w14:paraId="21A0D9FE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595" w:type="pct"/>
            <w:vMerge w:val="restart"/>
            <w:vAlign w:val="center"/>
          </w:tcPr>
          <w:p w14:paraId="32D7B586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995" w:type="pct"/>
            <w:vAlign w:val="center"/>
          </w:tcPr>
          <w:p w14:paraId="185B9DC3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Правила заполнения см. п. 4, п.5.1 методики</w:t>
            </w:r>
          </w:p>
        </w:tc>
        <w:tc>
          <w:tcPr>
            <w:tcW w:w="643" w:type="pct"/>
            <w:vAlign w:val="center"/>
          </w:tcPr>
          <w:p w14:paraId="0DC011A4">
            <w:pPr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Артикул</w:t>
            </w:r>
          </w:p>
        </w:tc>
        <w:tc>
          <w:tcPr>
            <w:tcW w:w="763" w:type="pct"/>
            <w:vAlign w:val="center"/>
          </w:tcPr>
          <w:p w14:paraId="1C718537">
            <w:pPr>
              <w:rPr>
                <w:rFonts w:eastAsiaTheme="minorHAnsi"/>
                <w:sz w:val="20"/>
                <w:highlight w:val="yellow"/>
              </w:rPr>
            </w:pPr>
            <w:r>
              <w:rPr>
                <w:rFonts w:eastAsiaTheme="minorHAnsi"/>
                <w:sz w:val="20"/>
              </w:rPr>
              <w:t xml:space="preserve">Артикул </w:t>
            </w:r>
            <w:r>
              <w:rPr>
                <w:sz w:val="20"/>
                <w:szCs w:val="20"/>
              </w:rPr>
              <w:t>из ИС-источника должен быть перенесен в соответствующий атрибут</w:t>
            </w:r>
          </w:p>
        </w:tc>
      </w:tr>
      <w:tr w14:paraId="2EA88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0" w:hRule="atLeast"/>
          <w:jc w:val="center"/>
        </w:trPr>
        <w:tc>
          <w:tcPr>
            <w:tcW w:w="306" w:type="pct"/>
            <w:vMerge w:val="continue"/>
            <w:vAlign w:val="center"/>
          </w:tcPr>
          <w:p w14:paraId="6F05BA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1" w:type="pct"/>
            <w:vMerge w:val="continue"/>
            <w:vAlign w:val="center"/>
          </w:tcPr>
          <w:p w14:paraId="49DD2E4F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490" w:type="pct"/>
            <w:vMerge w:val="continue"/>
            <w:vAlign w:val="center"/>
          </w:tcPr>
          <w:p w14:paraId="454657B4">
            <w:pPr>
              <w:jc w:val="center"/>
              <w:rPr>
                <w:rFonts w:cs="Calibr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648" w:type="pct"/>
            <w:vMerge w:val="continue"/>
            <w:vAlign w:val="center"/>
          </w:tcPr>
          <w:p w14:paraId="369F6769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595" w:type="pct"/>
            <w:vMerge w:val="continue"/>
            <w:vAlign w:val="center"/>
          </w:tcPr>
          <w:p w14:paraId="1C4F0AE0">
            <w:pPr>
              <w:jc w:val="center"/>
              <w:rPr>
                <w:rFonts w:cs="Calibr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995" w:type="pct"/>
            <w:vAlign w:val="center"/>
          </w:tcPr>
          <w:p w14:paraId="1F610426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Правила заполнения </w:t>
            </w:r>
            <w:r>
              <w:rPr>
                <w:sz w:val="20"/>
                <w:szCs w:val="20"/>
              </w:rPr>
              <w:t xml:space="preserve">технических характеристик определяются в соответствии с документом «Стандарт классификации справочника номенклатуры» и </w:t>
            </w:r>
            <w:r>
              <w:rPr>
                <w:rFonts w:cs="Calibri"/>
                <w:color w:val="000000"/>
                <w:sz w:val="20"/>
                <w:szCs w:val="20"/>
              </w:rPr>
              <w:t>п. 4, п.5.1, 5.2 методики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43" w:type="pct"/>
            <w:vAlign w:val="center"/>
          </w:tcPr>
          <w:p w14:paraId="67E8F8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63" w:type="pct"/>
            <w:vAlign w:val="center"/>
          </w:tcPr>
          <w:p w14:paraId="6F8A7B49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-</w:t>
            </w:r>
          </w:p>
        </w:tc>
      </w:tr>
      <w:tr w14:paraId="496BF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" w:type="pct"/>
            <w:vAlign w:val="center"/>
          </w:tcPr>
          <w:p w14:paraId="133B6E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61" w:type="pct"/>
            <w:vAlign w:val="center"/>
          </w:tcPr>
          <w:p w14:paraId="69F8D51D">
            <w:pPr>
              <w:rPr>
                <w:rFonts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Значения атрибутов</w:t>
            </w:r>
          </w:p>
        </w:tc>
        <w:tc>
          <w:tcPr>
            <w:tcW w:w="490" w:type="pct"/>
            <w:vAlign w:val="center"/>
          </w:tcPr>
          <w:p w14:paraId="0A1499D2">
            <w:pPr>
              <w:jc w:val="center"/>
              <w:rPr>
                <w:rFonts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Тип данных определяется функциональным назначением характеристики материала</w:t>
            </w:r>
          </w:p>
        </w:tc>
        <w:tc>
          <w:tcPr>
            <w:tcW w:w="648" w:type="pct"/>
            <w:vAlign w:val="center"/>
          </w:tcPr>
          <w:p w14:paraId="535DD0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595" w:type="pct"/>
            <w:vAlign w:val="center"/>
          </w:tcPr>
          <w:p w14:paraId="5111B5D8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995" w:type="pct"/>
            <w:vAlign w:val="center"/>
          </w:tcPr>
          <w:p w14:paraId="2F7A0DEA">
            <w:pPr>
              <w:rPr>
                <w:rFonts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Правила заполнения </w:t>
            </w:r>
            <w:r>
              <w:rPr>
                <w:sz w:val="20"/>
                <w:szCs w:val="20"/>
              </w:rPr>
              <w:t xml:space="preserve">технических характеристик определяются в соответствии с документом «Стандарт классификации справочника номенклатуры» и </w:t>
            </w:r>
            <w:r>
              <w:rPr>
                <w:rFonts w:cs="Calibri"/>
                <w:color w:val="000000"/>
                <w:sz w:val="20"/>
                <w:szCs w:val="20"/>
              </w:rPr>
              <w:t>п. 4, п.5.1, 5.2 методики</w:t>
            </w:r>
          </w:p>
        </w:tc>
        <w:tc>
          <w:tcPr>
            <w:tcW w:w="643" w:type="pct"/>
            <w:vAlign w:val="center"/>
          </w:tcPr>
          <w:p w14:paraId="787499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63" w:type="pct"/>
            <w:vAlign w:val="center"/>
          </w:tcPr>
          <w:p w14:paraId="2C3D5ED6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</w:tr>
      <w:tr w14:paraId="0D29F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" w:type="pct"/>
            <w:vAlign w:val="center"/>
          </w:tcPr>
          <w:p w14:paraId="4E5EFBAB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61" w:type="pct"/>
            <w:vAlign w:val="center"/>
          </w:tcPr>
          <w:p w14:paraId="2CE9A66A">
            <w:pPr>
              <w:rPr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Производитель </w:t>
            </w:r>
          </w:p>
        </w:tc>
        <w:tc>
          <w:tcPr>
            <w:tcW w:w="490" w:type="pct"/>
            <w:vAlign w:val="center"/>
          </w:tcPr>
          <w:p w14:paraId="1AA1FB70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СправочникСсылка. АтрибутПроизводитель</w:t>
            </w:r>
          </w:p>
        </w:tc>
        <w:tc>
          <w:tcPr>
            <w:tcW w:w="648" w:type="pct"/>
            <w:vAlign w:val="center"/>
          </w:tcPr>
          <w:p w14:paraId="5337C3BD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595" w:type="pct"/>
            <w:vAlign w:val="center"/>
          </w:tcPr>
          <w:p w14:paraId="1D5D1183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Пусто</w:t>
            </w:r>
          </w:p>
        </w:tc>
        <w:tc>
          <w:tcPr>
            <w:tcW w:w="995" w:type="pct"/>
            <w:vAlign w:val="center"/>
          </w:tcPr>
          <w:p w14:paraId="16759EFE">
            <w:pPr>
              <w:rPr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Выбирается из нормализованного вспомогательного справочника. Правила заполнения - см. п. 5.1, 5.2 и 8.1.3 методики</w:t>
            </w:r>
          </w:p>
        </w:tc>
        <w:tc>
          <w:tcPr>
            <w:tcW w:w="643" w:type="pct"/>
            <w:vAlign w:val="center"/>
          </w:tcPr>
          <w:p w14:paraId="396125EE">
            <w:pPr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Производитель</w:t>
            </w:r>
          </w:p>
        </w:tc>
        <w:tc>
          <w:tcPr>
            <w:tcW w:w="763" w:type="pct"/>
            <w:vAlign w:val="center"/>
          </w:tcPr>
          <w:p w14:paraId="5EF8E304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Подлежит первичному наполнению в процессе нормализации </w:t>
            </w:r>
          </w:p>
        </w:tc>
      </w:tr>
      <w:tr w14:paraId="755F2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" w:type="pct"/>
            <w:vAlign w:val="center"/>
          </w:tcPr>
          <w:p w14:paraId="1EBD12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61" w:type="pct"/>
            <w:vAlign w:val="center"/>
          </w:tcPr>
          <w:p w14:paraId="5668BCA1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Марка </w:t>
            </w:r>
          </w:p>
        </w:tc>
        <w:tc>
          <w:tcPr>
            <w:tcW w:w="490" w:type="pct"/>
            <w:vAlign w:val="center"/>
          </w:tcPr>
          <w:p w14:paraId="0B194788">
            <w:pPr>
              <w:jc w:val="center"/>
              <w:rPr>
                <w:rFonts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СправочникСсылка</w:t>
            </w:r>
          </w:p>
        </w:tc>
        <w:tc>
          <w:tcPr>
            <w:tcW w:w="648" w:type="pct"/>
            <w:vAlign w:val="center"/>
          </w:tcPr>
          <w:p w14:paraId="63D9D4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595" w:type="pct"/>
            <w:vAlign w:val="center"/>
          </w:tcPr>
          <w:p w14:paraId="36AB6714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995" w:type="pct"/>
            <w:vAlign w:val="center"/>
          </w:tcPr>
          <w:p w14:paraId="689E3E7C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Правила заполнения - см. п. 5.1.7 - 5.1.11 методики</w:t>
            </w:r>
          </w:p>
        </w:tc>
        <w:tc>
          <w:tcPr>
            <w:tcW w:w="643" w:type="pct"/>
            <w:vAlign w:val="center"/>
          </w:tcPr>
          <w:p w14:paraId="19CFFB2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63" w:type="pct"/>
            <w:vAlign w:val="center"/>
          </w:tcPr>
          <w:p w14:paraId="5AE3EF46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</w:tr>
      <w:tr w14:paraId="5AF18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" w:type="pct"/>
            <w:vAlign w:val="center"/>
          </w:tcPr>
          <w:p w14:paraId="5EB1AD11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13</w:t>
            </w:r>
          </w:p>
        </w:tc>
        <w:tc>
          <w:tcPr>
            <w:tcW w:w="561" w:type="pct"/>
            <w:vAlign w:val="center"/>
          </w:tcPr>
          <w:p w14:paraId="61493C04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Страна происхождения</w:t>
            </w:r>
          </w:p>
        </w:tc>
        <w:tc>
          <w:tcPr>
            <w:tcW w:w="490" w:type="pct"/>
            <w:vAlign w:val="center"/>
          </w:tcPr>
          <w:p w14:paraId="5190534C">
            <w:pPr>
              <w:jc w:val="center"/>
              <w:rPr>
                <w:iCs/>
                <w:color w:val="000000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СправочникСсылка.СтраныМира</w:t>
            </w:r>
          </w:p>
        </w:tc>
        <w:tc>
          <w:tcPr>
            <w:tcW w:w="648" w:type="pct"/>
            <w:vAlign w:val="center"/>
          </w:tcPr>
          <w:p w14:paraId="28D86F64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595" w:type="pct"/>
            <w:vAlign w:val="center"/>
          </w:tcPr>
          <w:p w14:paraId="12360E92">
            <w:pPr>
              <w:jc w:val="center"/>
              <w:rPr>
                <w:iCs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995" w:type="pct"/>
            <w:vAlign w:val="center"/>
          </w:tcPr>
          <w:p w14:paraId="3ED9B634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Выбирается из нормализованного вспомогательного справочника. Правила заполнения - см. п. 8.1.3 методики</w:t>
            </w:r>
          </w:p>
        </w:tc>
        <w:tc>
          <w:tcPr>
            <w:tcW w:w="643" w:type="pct"/>
            <w:vAlign w:val="center"/>
          </w:tcPr>
          <w:p w14:paraId="412FC773">
            <w:pPr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Страна происхождения</w:t>
            </w:r>
          </w:p>
        </w:tc>
        <w:tc>
          <w:tcPr>
            <w:tcW w:w="763" w:type="pct"/>
            <w:vAlign w:val="center"/>
          </w:tcPr>
          <w:p w14:paraId="61036975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</w:tr>
      <w:tr w14:paraId="58F03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" w:type="pct"/>
            <w:vAlign w:val="center"/>
          </w:tcPr>
          <w:p w14:paraId="0026DE08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561" w:type="pct"/>
            <w:vAlign w:val="center"/>
          </w:tcPr>
          <w:p w14:paraId="6E20869C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Пометка удаления</w:t>
            </w:r>
          </w:p>
        </w:tc>
        <w:tc>
          <w:tcPr>
            <w:tcW w:w="490" w:type="pct"/>
            <w:vAlign w:val="center"/>
          </w:tcPr>
          <w:p w14:paraId="70D9073B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Булево</w:t>
            </w:r>
          </w:p>
        </w:tc>
        <w:tc>
          <w:tcPr>
            <w:tcW w:w="648" w:type="pct"/>
            <w:vAlign w:val="center"/>
          </w:tcPr>
          <w:p w14:paraId="50F754B3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595" w:type="pct"/>
            <w:vAlign w:val="center"/>
          </w:tcPr>
          <w:p w14:paraId="3B793104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995" w:type="pct"/>
            <w:vAlign w:val="center"/>
          </w:tcPr>
          <w:p w14:paraId="335A4610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Специальный признак удаления подлежит уточнению и обработке на этапе первичного анализа переданных на нормализацию данных </w:t>
            </w:r>
          </w:p>
        </w:tc>
        <w:tc>
          <w:tcPr>
            <w:tcW w:w="643" w:type="pct"/>
            <w:vAlign w:val="center"/>
          </w:tcPr>
          <w:p w14:paraId="293EA4F6">
            <w:pPr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Пометка удаления</w:t>
            </w:r>
          </w:p>
        </w:tc>
        <w:tc>
          <w:tcPr>
            <w:tcW w:w="763" w:type="pct"/>
            <w:vAlign w:val="center"/>
          </w:tcPr>
          <w:p w14:paraId="634B4057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Style w:val="87"/>
                <w:rFonts w:eastAsiaTheme="majorEastAsia"/>
                <w:color w:val="000000"/>
                <w:sz w:val="20"/>
                <w:szCs w:val="20"/>
              </w:rPr>
              <w:t xml:space="preserve">Пометка удаления из ИС-источника </w:t>
            </w:r>
            <w:r>
              <w:rPr>
                <w:rFonts w:cs="Calibri"/>
                <w:color w:val="000000"/>
                <w:sz w:val="20"/>
                <w:szCs w:val="20"/>
              </w:rPr>
              <w:t xml:space="preserve">подлежит переносу в ИС-приемник по итогам первичного анализа </w:t>
            </w:r>
          </w:p>
        </w:tc>
      </w:tr>
      <w:tr w14:paraId="2AEED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" w:type="pct"/>
            <w:vAlign w:val="center"/>
          </w:tcPr>
          <w:p w14:paraId="1221C058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61" w:type="pct"/>
            <w:vAlign w:val="center"/>
          </w:tcPr>
          <w:p w14:paraId="33DCAE3C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Комментарий</w:t>
            </w:r>
          </w:p>
          <w:p w14:paraId="34150B77">
            <w:pPr>
              <w:rPr>
                <w:sz w:val="20"/>
                <w:szCs w:val="20"/>
              </w:rPr>
            </w:pPr>
          </w:p>
        </w:tc>
        <w:tc>
          <w:tcPr>
            <w:tcW w:w="490" w:type="pct"/>
            <w:vAlign w:val="center"/>
          </w:tcPr>
          <w:p w14:paraId="26659BA4">
            <w:pPr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648" w:type="pct"/>
            <w:vAlign w:val="center"/>
          </w:tcPr>
          <w:p w14:paraId="23109A0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595" w:type="pct"/>
            <w:vAlign w:val="center"/>
          </w:tcPr>
          <w:p w14:paraId="4EF1C1E7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995" w:type="pct"/>
            <w:vAlign w:val="center"/>
          </w:tcPr>
          <w:p w14:paraId="2BA8A01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Пояснение к номенклатурной позиции/</w:t>
            </w:r>
            <w:r>
              <w:rPr>
                <w:rStyle w:val="87"/>
                <w:rFonts w:eastAsiaTheme="majorEastAsia"/>
                <w:color w:val="000000"/>
                <w:sz w:val="20"/>
                <w:szCs w:val="20"/>
              </w:rPr>
              <w:t xml:space="preserve"> подробная информация о номенклатурной позиции/дополнительная информация </w:t>
            </w:r>
            <w:r>
              <w:rPr>
                <w:rFonts w:cs="Calibri"/>
                <w:color w:val="000000"/>
                <w:sz w:val="20"/>
                <w:szCs w:val="20"/>
              </w:rPr>
              <w:t>из ИС-источников</w:t>
            </w:r>
          </w:p>
        </w:tc>
        <w:tc>
          <w:tcPr>
            <w:tcW w:w="643" w:type="pct"/>
            <w:vAlign w:val="center"/>
          </w:tcPr>
          <w:p w14:paraId="7F11B49E">
            <w:pPr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Комментарий</w:t>
            </w:r>
          </w:p>
        </w:tc>
        <w:tc>
          <w:tcPr>
            <w:tcW w:w="763" w:type="pct"/>
            <w:vAlign w:val="center"/>
          </w:tcPr>
          <w:p w14:paraId="654B08AF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Комментарий и описание</w:t>
            </w:r>
          </w:p>
          <w:p w14:paraId="0A990203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Style w:val="87"/>
                <w:rFonts w:eastAsiaTheme="majorEastAsia"/>
                <w:color w:val="000000"/>
                <w:sz w:val="20"/>
                <w:szCs w:val="20"/>
              </w:rPr>
              <w:t xml:space="preserve">из ИС-источников </w:t>
            </w:r>
            <w:r>
              <w:rPr>
                <w:rFonts w:cs="Calibri"/>
                <w:color w:val="000000"/>
                <w:sz w:val="20"/>
                <w:szCs w:val="20"/>
              </w:rPr>
              <w:t xml:space="preserve">подлежит переносу в ИС-приемник  </w:t>
            </w:r>
          </w:p>
        </w:tc>
      </w:tr>
      <w:tr w14:paraId="4A675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" w:type="pct"/>
            <w:vAlign w:val="center"/>
          </w:tcPr>
          <w:p w14:paraId="27D99B7B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561" w:type="pct"/>
            <w:vAlign w:val="center"/>
          </w:tcPr>
          <w:p w14:paraId="622E8683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Ставка НДС</w:t>
            </w:r>
          </w:p>
        </w:tc>
        <w:tc>
          <w:tcPr>
            <w:tcW w:w="490" w:type="pct"/>
            <w:vAlign w:val="center"/>
          </w:tcPr>
          <w:p w14:paraId="2DEB3EB6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ПеречислениеСсылка.ВидыСтавокНДС</w:t>
            </w:r>
          </w:p>
          <w:p w14:paraId="34D18DE8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648" w:type="pct"/>
            <w:vAlign w:val="center"/>
          </w:tcPr>
          <w:p w14:paraId="663DC330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595" w:type="pct"/>
            <w:vAlign w:val="center"/>
          </w:tcPr>
          <w:p w14:paraId="6A75F45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995" w:type="pct"/>
            <w:vAlign w:val="center"/>
          </w:tcPr>
          <w:p w14:paraId="4A2B504C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Заполняется выбором значения из списка</w:t>
            </w:r>
          </w:p>
        </w:tc>
        <w:tc>
          <w:tcPr>
            <w:tcW w:w="643" w:type="pct"/>
            <w:vAlign w:val="center"/>
          </w:tcPr>
          <w:p w14:paraId="7AB45144">
            <w:pPr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% НДС</w:t>
            </w:r>
          </w:p>
        </w:tc>
        <w:tc>
          <w:tcPr>
            <w:tcW w:w="763" w:type="pct"/>
            <w:vAlign w:val="center"/>
          </w:tcPr>
          <w:p w14:paraId="729E9FDA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Style w:val="87"/>
                <w:rFonts w:eastAsiaTheme="majorEastAsia"/>
                <w:color w:val="000000"/>
                <w:sz w:val="20"/>
                <w:szCs w:val="20"/>
              </w:rPr>
              <w:t xml:space="preserve">% НДС из ИС-источника </w:t>
            </w:r>
            <w:r>
              <w:rPr>
                <w:rFonts w:cs="Calibri"/>
                <w:color w:val="000000"/>
                <w:sz w:val="20"/>
                <w:szCs w:val="20"/>
              </w:rPr>
              <w:t xml:space="preserve">подлежит переносу в ИС-приемник  </w:t>
            </w:r>
          </w:p>
        </w:tc>
      </w:tr>
      <w:tr w14:paraId="40C50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" w:type="pct"/>
            <w:vAlign w:val="center"/>
          </w:tcPr>
          <w:p w14:paraId="7A34712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561" w:type="pct"/>
            <w:vAlign w:val="center"/>
          </w:tcPr>
          <w:p w14:paraId="48E5002A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ОКПД2</w:t>
            </w:r>
          </w:p>
        </w:tc>
        <w:tc>
          <w:tcPr>
            <w:tcW w:w="490" w:type="pct"/>
            <w:vAlign w:val="center"/>
          </w:tcPr>
          <w:p w14:paraId="14442ACB">
            <w:pPr>
              <w:jc w:val="center"/>
              <w:rPr>
                <w:rFonts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СправочникСсылка.КлассификаторОКПД2</w:t>
            </w:r>
          </w:p>
        </w:tc>
        <w:tc>
          <w:tcPr>
            <w:tcW w:w="648" w:type="pct"/>
            <w:vAlign w:val="center"/>
          </w:tcPr>
          <w:p w14:paraId="162A77EE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595" w:type="pct"/>
            <w:vAlign w:val="center"/>
          </w:tcPr>
          <w:p w14:paraId="76479231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995" w:type="pct"/>
            <w:vAlign w:val="center"/>
          </w:tcPr>
          <w:p w14:paraId="378884E0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Выбирается из справочника ОКПД 2. </w:t>
            </w:r>
          </w:p>
          <w:p w14:paraId="32C04C80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Первичное сопоставление между номенклатурной позицией и кодом ОКПД 2 выполняется Исполнителем и передается в зону ответственности Заказчика.</w:t>
            </w:r>
          </w:p>
        </w:tc>
        <w:tc>
          <w:tcPr>
            <w:tcW w:w="643" w:type="pct"/>
            <w:vAlign w:val="center"/>
          </w:tcPr>
          <w:p w14:paraId="16439728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ОКПД 2</w:t>
            </w:r>
          </w:p>
        </w:tc>
        <w:tc>
          <w:tcPr>
            <w:tcW w:w="763" w:type="pct"/>
            <w:vAlign w:val="center"/>
          </w:tcPr>
          <w:p w14:paraId="3A0A860A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</w:tr>
      <w:tr w14:paraId="185E7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7" w:hRule="atLeast"/>
          <w:jc w:val="center"/>
        </w:trPr>
        <w:tc>
          <w:tcPr>
            <w:tcW w:w="306" w:type="pct"/>
            <w:vAlign w:val="center"/>
          </w:tcPr>
          <w:p w14:paraId="6121459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561" w:type="pct"/>
            <w:vAlign w:val="center"/>
          </w:tcPr>
          <w:p w14:paraId="547869C8">
            <w:pPr>
              <w:rPr>
                <w:rFonts w:eastAsiaTheme="minorHAnsi"/>
                <w:sz w:val="20"/>
              </w:rPr>
            </w:pPr>
            <w:r>
              <w:rPr>
                <w:rFonts w:cs="Calibri"/>
                <w:sz w:val="20"/>
                <w:szCs w:val="20"/>
              </w:rPr>
              <w:t xml:space="preserve">Группа аналитического учета </w:t>
            </w:r>
          </w:p>
        </w:tc>
        <w:tc>
          <w:tcPr>
            <w:tcW w:w="490" w:type="pct"/>
            <w:vAlign w:val="center"/>
          </w:tcPr>
          <w:p w14:paraId="2A7EFE04">
            <w:pPr>
              <w:jc w:val="center"/>
              <w:rPr>
                <w:sz w:val="20"/>
                <w:szCs w:val="20"/>
              </w:rPr>
            </w:pPr>
            <w:r>
              <w:rPr>
                <w:iCs/>
                <w:sz w:val="20"/>
              </w:rPr>
              <w:t>СправочникСсылка.</w:t>
            </w:r>
            <w:r>
              <w:rPr>
                <w:rFonts w:cs="Calibri"/>
                <w:sz w:val="20"/>
                <w:szCs w:val="20"/>
              </w:rPr>
              <w:t xml:space="preserve"> ГруппАналитическогУчета</w:t>
            </w:r>
          </w:p>
        </w:tc>
        <w:tc>
          <w:tcPr>
            <w:tcW w:w="648" w:type="pct"/>
            <w:vAlign w:val="center"/>
          </w:tcPr>
          <w:p w14:paraId="64E3A9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ДА</w:t>
            </w:r>
          </w:p>
        </w:tc>
        <w:tc>
          <w:tcPr>
            <w:tcW w:w="595" w:type="pct"/>
            <w:vAlign w:val="center"/>
          </w:tcPr>
          <w:p w14:paraId="0CEC9F14">
            <w:pPr>
              <w:jc w:val="center"/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995" w:type="pct"/>
            <w:vAlign w:val="center"/>
          </w:tcPr>
          <w:p w14:paraId="6C9F8AB8">
            <w:pPr>
              <w:rPr>
                <w:rFonts w:eastAsiaTheme="minorHAnsi"/>
                <w:sz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Выбирается из справочника </w:t>
            </w:r>
            <w:r>
              <w:rPr>
                <w:rFonts w:cs="Calibri"/>
                <w:sz w:val="20"/>
                <w:szCs w:val="20"/>
              </w:rPr>
              <w:t>Группа аналитического учета</w:t>
            </w:r>
          </w:p>
        </w:tc>
        <w:tc>
          <w:tcPr>
            <w:tcW w:w="643" w:type="pct"/>
            <w:vAlign w:val="center"/>
          </w:tcPr>
          <w:p w14:paraId="3F99A77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63" w:type="pct"/>
            <w:vAlign w:val="center"/>
          </w:tcPr>
          <w:p w14:paraId="04BB1698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14:paraId="40CA5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7" w:hRule="atLeast"/>
          <w:jc w:val="center"/>
        </w:trPr>
        <w:tc>
          <w:tcPr>
            <w:tcW w:w="306" w:type="pct"/>
            <w:vAlign w:val="center"/>
          </w:tcPr>
          <w:p w14:paraId="7A1B43E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561" w:type="pct"/>
            <w:vAlign w:val="center"/>
          </w:tcPr>
          <w:p w14:paraId="03094C1E">
            <w:pPr>
              <w:rPr>
                <w:rFonts w:eastAsiaTheme="minorHAnsi"/>
                <w:sz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Статус записи</w:t>
            </w:r>
          </w:p>
        </w:tc>
        <w:tc>
          <w:tcPr>
            <w:tcW w:w="490" w:type="pct"/>
            <w:vAlign w:val="center"/>
          </w:tcPr>
          <w:p w14:paraId="16B9C1CA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iCs/>
                <w:sz w:val="20"/>
              </w:rPr>
              <w:t>Справочник.СтатусыЗаписейСправочниковНСИ</w:t>
            </w:r>
          </w:p>
        </w:tc>
        <w:tc>
          <w:tcPr>
            <w:tcW w:w="648" w:type="pct"/>
            <w:vAlign w:val="center"/>
          </w:tcPr>
          <w:p w14:paraId="6F4C2046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595" w:type="pct"/>
            <w:vAlign w:val="center"/>
          </w:tcPr>
          <w:p w14:paraId="567F0F9F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Эталон</w:t>
            </w:r>
          </w:p>
        </w:tc>
        <w:tc>
          <w:tcPr>
            <w:tcW w:w="995" w:type="pct"/>
            <w:vAlign w:val="center"/>
          </w:tcPr>
          <w:p w14:paraId="638719B5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643" w:type="pct"/>
            <w:vAlign w:val="center"/>
          </w:tcPr>
          <w:p w14:paraId="50F2118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63" w:type="pct"/>
            <w:vAlign w:val="center"/>
          </w:tcPr>
          <w:p w14:paraId="7196C9D8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Необходимо добавить новый статус «Архив» – это записи, которые выводятся из эксплуатации</w:t>
            </w:r>
          </w:p>
        </w:tc>
      </w:tr>
      <w:tr w14:paraId="2C7A1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7" w:hRule="atLeast"/>
          <w:jc w:val="center"/>
        </w:trPr>
        <w:tc>
          <w:tcPr>
            <w:tcW w:w="306" w:type="pct"/>
            <w:tcBorders>
              <w:bottom w:val="single" w:color="auto" w:sz="4" w:space="0"/>
            </w:tcBorders>
            <w:vAlign w:val="center"/>
          </w:tcPr>
          <w:p w14:paraId="2E367C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561" w:type="pct"/>
            <w:tcBorders>
              <w:bottom w:val="single" w:color="auto" w:sz="4" w:space="0"/>
            </w:tcBorders>
            <w:vAlign w:val="center"/>
          </w:tcPr>
          <w:p w14:paraId="7B52302E">
            <w:pPr>
              <w:rPr>
                <w:rFonts w:eastAsiaTheme="minorHAnsi"/>
                <w:sz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Эталонная запись</w:t>
            </w:r>
          </w:p>
        </w:tc>
        <w:tc>
          <w:tcPr>
            <w:tcW w:w="490" w:type="pct"/>
            <w:tcBorders>
              <w:bottom w:val="single" w:color="auto" w:sz="4" w:space="0"/>
            </w:tcBorders>
          </w:tcPr>
          <w:p w14:paraId="1B0F4914">
            <w:pPr>
              <w:jc w:val="center"/>
              <w:rPr>
                <w:iCs/>
                <w:sz w:val="20"/>
              </w:rPr>
            </w:pPr>
            <w:r>
              <w:rPr>
                <w:iCs/>
                <w:sz w:val="20"/>
              </w:rPr>
              <w:t>Справочник.Номенклатура</w:t>
            </w:r>
          </w:p>
        </w:tc>
        <w:tc>
          <w:tcPr>
            <w:tcW w:w="648" w:type="pct"/>
            <w:tcBorders>
              <w:bottom w:val="single" w:color="auto" w:sz="4" w:space="0"/>
            </w:tcBorders>
          </w:tcPr>
          <w:p w14:paraId="34733B30">
            <w:pPr>
              <w:jc w:val="center"/>
              <w:rPr>
                <w:iCs/>
                <w:sz w:val="20"/>
              </w:rPr>
            </w:pPr>
            <w:r>
              <w:rPr>
                <w:iCs/>
                <w:sz w:val="20"/>
              </w:rPr>
              <w:t>Да (если Статус записи = Дубль)</w:t>
            </w:r>
          </w:p>
        </w:tc>
        <w:tc>
          <w:tcPr>
            <w:tcW w:w="595" w:type="pct"/>
            <w:tcBorders>
              <w:bottom w:val="single" w:color="auto" w:sz="4" w:space="0"/>
            </w:tcBorders>
            <w:vAlign w:val="center"/>
          </w:tcPr>
          <w:p w14:paraId="43B27FBF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995" w:type="pct"/>
            <w:tcBorders>
              <w:bottom w:val="single" w:color="auto" w:sz="4" w:space="0"/>
            </w:tcBorders>
            <w:vAlign w:val="center"/>
          </w:tcPr>
          <w:p w14:paraId="31DB9E06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643" w:type="pct"/>
            <w:tcBorders>
              <w:bottom w:val="single" w:color="auto" w:sz="4" w:space="0"/>
            </w:tcBorders>
            <w:vAlign w:val="center"/>
          </w:tcPr>
          <w:p w14:paraId="514A2BA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63" w:type="pct"/>
            <w:tcBorders>
              <w:bottom w:val="single" w:color="auto" w:sz="4" w:space="0"/>
            </w:tcBorders>
            <w:vAlign w:val="center"/>
          </w:tcPr>
          <w:p w14:paraId="2578F5CA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</w:tr>
      <w:tr w14:paraId="7B987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7" w:hRule="atLeast"/>
          <w:jc w:val="center"/>
        </w:trPr>
        <w:tc>
          <w:tcPr>
            <w:tcW w:w="5000" w:type="pct"/>
            <w:gridSpan w:val="8"/>
            <w:shd w:val="pct10" w:color="auto" w:fill="auto"/>
            <w:vAlign w:val="center"/>
          </w:tcPr>
          <w:p w14:paraId="7D1DCEEE">
            <w:pPr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Новые реквизиты, требуется доработка 1С: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MDM</w:t>
            </w:r>
          </w:p>
        </w:tc>
      </w:tr>
      <w:tr w14:paraId="2D8A3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7" w:hRule="atLeast"/>
          <w:jc w:val="center"/>
        </w:trPr>
        <w:tc>
          <w:tcPr>
            <w:tcW w:w="306" w:type="pct"/>
            <w:vAlign w:val="center"/>
          </w:tcPr>
          <w:p w14:paraId="1E67FA2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561" w:type="pct"/>
            <w:vAlign w:val="center"/>
          </w:tcPr>
          <w:p w14:paraId="15F5AF93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Прослеживаемый товар</w:t>
            </w:r>
          </w:p>
        </w:tc>
        <w:tc>
          <w:tcPr>
            <w:tcW w:w="490" w:type="pct"/>
            <w:vAlign w:val="center"/>
          </w:tcPr>
          <w:p w14:paraId="0D5D4D5B">
            <w:pPr>
              <w:jc w:val="center"/>
              <w:rPr>
                <w:iCs/>
                <w:sz w:val="20"/>
              </w:rPr>
            </w:pPr>
            <w:r>
              <w:rPr>
                <w:iCs/>
                <w:sz w:val="20"/>
              </w:rPr>
              <w:t>Булево</w:t>
            </w:r>
          </w:p>
        </w:tc>
        <w:tc>
          <w:tcPr>
            <w:tcW w:w="648" w:type="pct"/>
            <w:vAlign w:val="center"/>
          </w:tcPr>
          <w:p w14:paraId="4F6D6351">
            <w:pPr>
              <w:jc w:val="center"/>
              <w:rPr>
                <w:iCs/>
                <w:sz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595" w:type="pct"/>
            <w:vAlign w:val="center"/>
          </w:tcPr>
          <w:p w14:paraId="3287EA4D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995" w:type="pct"/>
            <w:vAlign w:val="center"/>
          </w:tcPr>
          <w:p w14:paraId="3C1BBD2A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Заполняется для прослеживаемых групп товаров. </w:t>
            </w:r>
          </w:p>
          <w:p w14:paraId="768BCC7F">
            <w:pPr>
              <w:rPr>
                <w:rFonts w:cs="Calibri"/>
                <w:color w:val="000000"/>
                <w:sz w:val="20"/>
                <w:szCs w:val="20"/>
              </w:rPr>
            </w:pPr>
          </w:p>
          <w:p w14:paraId="23345794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В список прослеживаемых товаров в России входят импортные товары, утверждённые Постановлением Правительства РФ от 01.07.2021 №1110.</w:t>
            </w:r>
          </w:p>
        </w:tc>
        <w:tc>
          <w:tcPr>
            <w:tcW w:w="643" w:type="pct"/>
            <w:vAlign w:val="center"/>
          </w:tcPr>
          <w:p w14:paraId="2A1086CF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Прослеживаемый товар</w:t>
            </w:r>
          </w:p>
        </w:tc>
        <w:tc>
          <w:tcPr>
            <w:tcW w:w="763" w:type="pct"/>
            <w:vAlign w:val="center"/>
          </w:tcPr>
          <w:p w14:paraId="571075F6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2"/>
              </w:rPr>
              <w:t xml:space="preserve">Уникальный код номенклатурной позиции </w:t>
            </w:r>
            <w:r>
              <w:rPr>
                <w:sz w:val="20"/>
                <w:szCs w:val="20"/>
              </w:rPr>
              <w:t xml:space="preserve">из ИС-источника должен быть сохранен в отдельном </w:t>
            </w:r>
            <w:r>
              <w:rPr>
                <w:b/>
                <w:bCs/>
                <w:sz w:val="20"/>
                <w:szCs w:val="20"/>
              </w:rPr>
              <w:t>новом</w:t>
            </w:r>
            <w:r>
              <w:rPr>
                <w:sz w:val="20"/>
                <w:szCs w:val="20"/>
              </w:rPr>
              <w:t xml:space="preserve"> реквизите, требуется доработка.</w:t>
            </w:r>
          </w:p>
        </w:tc>
      </w:tr>
      <w:tr w14:paraId="7E963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7" w:hRule="atLeast"/>
          <w:jc w:val="center"/>
        </w:trPr>
        <w:tc>
          <w:tcPr>
            <w:tcW w:w="306" w:type="pct"/>
            <w:tcBorders>
              <w:bottom w:val="single" w:color="auto" w:sz="4" w:space="0"/>
            </w:tcBorders>
            <w:vAlign w:val="center"/>
          </w:tcPr>
          <w:p w14:paraId="33AC8C1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561" w:type="pct"/>
            <w:tcBorders>
              <w:bottom w:val="single" w:color="auto" w:sz="4" w:space="0"/>
            </w:tcBorders>
            <w:vAlign w:val="center"/>
          </w:tcPr>
          <w:p w14:paraId="7D8797FC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Прежний номенклатурный номер</w:t>
            </w:r>
          </w:p>
        </w:tc>
        <w:tc>
          <w:tcPr>
            <w:tcW w:w="490" w:type="pct"/>
            <w:tcBorders>
              <w:bottom w:val="single" w:color="auto" w:sz="4" w:space="0"/>
            </w:tcBorders>
            <w:vAlign w:val="center"/>
          </w:tcPr>
          <w:p w14:paraId="55DE96E1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648" w:type="pct"/>
            <w:tcBorders>
              <w:bottom w:val="single" w:color="auto" w:sz="4" w:space="0"/>
            </w:tcBorders>
            <w:vAlign w:val="center"/>
          </w:tcPr>
          <w:p w14:paraId="574F2B26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595" w:type="pct"/>
            <w:tcBorders>
              <w:bottom w:val="single" w:color="auto" w:sz="4" w:space="0"/>
            </w:tcBorders>
            <w:vAlign w:val="center"/>
          </w:tcPr>
          <w:p w14:paraId="133742D9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Пусто</w:t>
            </w:r>
          </w:p>
        </w:tc>
        <w:tc>
          <w:tcPr>
            <w:tcW w:w="995" w:type="pct"/>
            <w:tcBorders>
              <w:bottom w:val="single" w:color="auto" w:sz="4" w:space="0"/>
            </w:tcBorders>
            <w:vAlign w:val="center"/>
          </w:tcPr>
          <w:p w14:paraId="4A0C43D7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Вносится информация о номере номенклатуры из системы источника</w:t>
            </w:r>
          </w:p>
        </w:tc>
        <w:tc>
          <w:tcPr>
            <w:tcW w:w="643" w:type="pct"/>
            <w:tcBorders>
              <w:bottom w:val="single" w:color="auto" w:sz="4" w:space="0"/>
            </w:tcBorders>
            <w:vAlign w:val="center"/>
          </w:tcPr>
          <w:p w14:paraId="5393741C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63" w:type="pct"/>
            <w:tcBorders>
              <w:bottom w:val="single" w:color="auto" w:sz="4" w:space="0"/>
            </w:tcBorders>
            <w:vAlign w:val="center"/>
          </w:tcPr>
          <w:p w14:paraId="5ADA2A51">
            <w:pPr>
              <w:rPr>
                <w:color w:val="000000"/>
                <w:sz w:val="20"/>
                <w:szCs w:val="22"/>
              </w:rPr>
            </w:pPr>
            <w:r>
              <w:rPr>
                <w:color w:val="000000"/>
                <w:sz w:val="20"/>
                <w:szCs w:val="22"/>
              </w:rPr>
              <w:t xml:space="preserve">Уникальный код номенклатурной позиции </w:t>
            </w:r>
            <w:r>
              <w:rPr>
                <w:sz w:val="20"/>
                <w:szCs w:val="20"/>
              </w:rPr>
              <w:t xml:space="preserve">из ИС-источника должен быть сохранен в отдельном </w:t>
            </w:r>
            <w:r>
              <w:rPr>
                <w:b/>
                <w:bCs/>
                <w:sz w:val="20"/>
                <w:szCs w:val="20"/>
              </w:rPr>
              <w:t>новом</w:t>
            </w:r>
            <w:r>
              <w:rPr>
                <w:sz w:val="20"/>
                <w:szCs w:val="20"/>
              </w:rPr>
              <w:t xml:space="preserve"> реквизите, требуется доработка.</w:t>
            </w:r>
          </w:p>
        </w:tc>
      </w:tr>
      <w:tr w14:paraId="7799B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5000" w:type="pct"/>
            <w:gridSpan w:val="8"/>
            <w:shd w:val="pct10" w:color="auto" w:fill="auto"/>
            <w:vAlign w:val="center"/>
          </w:tcPr>
          <w:p w14:paraId="200B9682">
            <w:pPr>
              <w:jc w:val="center"/>
              <w:rPr>
                <w:b/>
                <w:bCs/>
                <w:color w:val="000000"/>
                <w:sz w:val="20"/>
                <w:szCs w:val="22"/>
              </w:rPr>
            </w:pPr>
            <w:r>
              <w:rPr>
                <w:b/>
                <w:bCs/>
                <w:color w:val="000000"/>
                <w:sz w:val="20"/>
                <w:szCs w:val="22"/>
              </w:rPr>
              <w:t>Реквизиты, не подлежащие переносу в 1С:</w:t>
            </w:r>
            <w:r>
              <w:rPr>
                <w:b/>
                <w:bCs/>
                <w:color w:val="000000"/>
                <w:sz w:val="20"/>
                <w:szCs w:val="22"/>
                <w:lang w:val="en-US"/>
              </w:rPr>
              <w:t>MDM</w:t>
            </w:r>
          </w:p>
        </w:tc>
      </w:tr>
      <w:tr w14:paraId="086E4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7" w:hRule="atLeast"/>
          <w:jc w:val="center"/>
        </w:trPr>
        <w:tc>
          <w:tcPr>
            <w:tcW w:w="306" w:type="pct"/>
            <w:vAlign w:val="center"/>
          </w:tcPr>
          <w:p w14:paraId="63CE60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561" w:type="pct"/>
            <w:vAlign w:val="center"/>
          </w:tcPr>
          <w:p w14:paraId="7F687473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90" w:type="pct"/>
            <w:vAlign w:val="center"/>
          </w:tcPr>
          <w:p w14:paraId="65486D9D">
            <w:pPr>
              <w:jc w:val="center"/>
              <w:rPr>
                <w:iCs/>
                <w:sz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648" w:type="pct"/>
            <w:vAlign w:val="center"/>
          </w:tcPr>
          <w:p w14:paraId="26A21A65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95" w:type="pct"/>
            <w:vAlign w:val="center"/>
          </w:tcPr>
          <w:p w14:paraId="33DB5FEC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5" w:type="pct"/>
            <w:vAlign w:val="center"/>
          </w:tcPr>
          <w:p w14:paraId="01FBA24D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643" w:type="pct"/>
            <w:vAlign w:val="center"/>
          </w:tcPr>
          <w:p w14:paraId="2D8E14FA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Описание</w:t>
            </w:r>
          </w:p>
        </w:tc>
        <w:tc>
          <w:tcPr>
            <w:tcW w:w="763" w:type="pct"/>
            <w:vAlign w:val="center"/>
          </w:tcPr>
          <w:p w14:paraId="3EC78CB8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Style w:val="87"/>
                <w:rFonts w:eastAsiaTheme="majorEastAsia"/>
                <w:color w:val="000000"/>
                <w:sz w:val="20"/>
                <w:szCs w:val="20"/>
              </w:rPr>
              <w:t xml:space="preserve">Описание из ИС-источника </w:t>
            </w:r>
            <w:r>
              <w:rPr>
                <w:rStyle w:val="87"/>
                <w:rFonts w:eastAsiaTheme="majorEastAsia"/>
                <w:b/>
                <w:bCs/>
                <w:color w:val="000000"/>
                <w:sz w:val="20"/>
                <w:szCs w:val="20"/>
              </w:rPr>
              <w:t>н</w:t>
            </w:r>
            <w:r>
              <w:rPr>
                <w:rStyle w:val="87"/>
                <w:rFonts w:eastAsiaTheme="majorEastAsia"/>
                <w:b/>
                <w:bCs/>
                <w:sz w:val="20"/>
              </w:rPr>
              <w:t xml:space="preserve">е 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подлежит</w:t>
            </w:r>
            <w:r>
              <w:rPr>
                <w:rFonts w:cs="Calibri"/>
                <w:color w:val="000000"/>
                <w:sz w:val="20"/>
                <w:szCs w:val="20"/>
              </w:rPr>
              <w:t xml:space="preserve"> нормализации и переносу в 1С: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MDM</w:t>
            </w:r>
          </w:p>
        </w:tc>
      </w:tr>
      <w:tr w14:paraId="24F31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7" w:hRule="atLeast"/>
          <w:jc w:val="center"/>
        </w:trPr>
        <w:tc>
          <w:tcPr>
            <w:tcW w:w="306" w:type="pct"/>
            <w:vAlign w:val="center"/>
          </w:tcPr>
          <w:p w14:paraId="3C1D03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561" w:type="pct"/>
            <w:vAlign w:val="center"/>
          </w:tcPr>
          <w:p w14:paraId="400B7D9D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90" w:type="pct"/>
            <w:vAlign w:val="center"/>
          </w:tcPr>
          <w:p w14:paraId="13DED318">
            <w:pPr>
              <w:jc w:val="center"/>
              <w:rPr>
                <w:iCs/>
                <w:sz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648" w:type="pct"/>
            <w:vAlign w:val="center"/>
          </w:tcPr>
          <w:p w14:paraId="6654F823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95" w:type="pct"/>
            <w:vAlign w:val="center"/>
          </w:tcPr>
          <w:p w14:paraId="64C04E4C">
            <w:pPr>
              <w:jc w:val="center"/>
              <w:rPr>
                <w:rFonts w:eastAsiaTheme="minorHAnsi"/>
                <w:sz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5" w:type="pct"/>
            <w:vAlign w:val="center"/>
          </w:tcPr>
          <w:p w14:paraId="4088B5EA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Не используется</w:t>
            </w:r>
          </w:p>
        </w:tc>
        <w:tc>
          <w:tcPr>
            <w:tcW w:w="643" w:type="pct"/>
            <w:vAlign w:val="center"/>
          </w:tcPr>
          <w:p w14:paraId="57B7B8F5">
            <w:pPr>
              <w:jc w:val="center"/>
              <w:rPr>
                <w:rFonts w:eastAsiaTheme="minorHAnsi"/>
                <w:sz w:val="20"/>
              </w:rPr>
            </w:pPr>
            <w:r>
              <w:rPr>
                <w:sz w:val="20"/>
                <w:szCs w:val="20"/>
              </w:rPr>
              <w:t>Вид ставки НДС</w:t>
            </w:r>
          </w:p>
        </w:tc>
        <w:tc>
          <w:tcPr>
            <w:tcW w:w="763" w:type="pct"/>
            <w:vAlign w:val="center"/>
          </w:tcPr>
          <w:p w14:paraId="3E3F7EDF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Не переносится</w:t>
            </w:r>
          </w:p>
        </w:tc>
      </w:tr>
      <w:tr w14:paraId="0AC8C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7" w:hRule="atLeast"/>
          <w:jc w:val="center"/>
        </w:trPr>
        <w:tc>
          <w:tcPr>
            <w:tcW w:w="306" w:type="pct"/>
            <w:vAlign w:val="center"/>
          </w:tcPr>
          <w:p w14:paraId="1C0AF25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561" w:type="pct"/>
            <w:vAlign w:val="center"/>
          </w:tcPr>
          <w:p w14:paraId="6AFF236E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90" w:type="pct"/>
            <w:vAlign w:val="center"/>
          </w:tcPr>
          <w:p w14:paraId="58FF2586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648" w:type="pct"/>
            <w:vAlign w:val="center"/>
          </w:tcPr>
          <w:p w14:paraId="4F4F7B8B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95" w:type="pct"/>
            <w:vAlign w:val="center"/>
          </w:tcPr>
          <w:p w14:paraId="3743529F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5" w:type="pct"/>
            <w:vAlign w:val="center"/>
          </w:tcPr>
          <w:p w14:paraId="2CC57069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Правила заполнения определяются в соответствии с документом «Стандарт Классификации»</w:t>
            </w:r>
          </w:p>
        </w:tc>
        <w:tc>
          <w:tcPr>
            <w:tcW w:w="643" w:type="pct"/>
            <w:vAlign w:val="center"/>
          </w:tcPr>
          <w:p w14:paraId="2D762D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Входит в группу</w:t>
            </w:r>
          </w:p>
        </w:tc>
        <w:tc>
          <w:tcPr>
            <w:tcW w:w="763" w:type="pct"/>
            <w:vAlign w:val="center"/>
          </w:tcPr>
          <w:p w14:paraId="29AA7149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Реквизит «Группы материалов» реализуется через классификатор номенклатуры</w:t>
            </w:r>
          </w:p>
        </w:tc>
      </w:tr>
      <w:tr w14:paraId="3969B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7" w:hRule="atLeast"/>
          <w:jc w:val="center"/>
        </w:trPr>
        <w:tc>
          <w:tcPr>
            <w:tcW w:w="306" w:type="pct"/>
            <w:vAlign w:val="center"/>
          </w:tcPr>
          <w:p w14:paraId="549926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561" w:type="pct"/>
            <w:vAlign w:val="center"/>
          </w:tcPr>
          <w:p w14:paraId="1253AF8F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90" w:type="pct"/>
            <w:vAlign w:val="center"/>
          </w:tcPr>
          <w:p w14:paraId="2F82C77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648" w:type="pct"/>
            <w:vAlign w:val="center"/>
          </w:tcPr>
          <w:p w14:paraId="472AAA6C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95" w:type="pct"/>
            <w:vAlign w:val="center"/>
          </w:tcPr>
          <w:p w14:paraId="4AD8BFAF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5" w:type="pct"/>
            <w:vAlign w:val="center"/>
          </w:tcPr>
          <w:p w14:paraId="783E7D3B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Правила заполнения определяются в соответствии с документом «Стандарт Классификации»</w:t>
            </w:r>
          </w:p>
        </w:tc>
        <w:tc>
          <w:tcPr>
            <w:tcW w:w="643" w:type="pct"/>
            <w:vAlign w:val="center"/>
          </w:tcPr>
          <w:p w14:paraId="105726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номенклатуры</w:t>
            </w:r>
          </w:p>
        </w:tc>
        <w:tc>
          <w:tcPr>
            <w:tcW w:w="763" w:type="pct"/>
            <w:vAlign w:val="center"/>
          </w:tcPr>
          <w:p w14:paraId="7A696C39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«Виды материалов», реализуется через классификатор номенклатуры или отдельным реквизитом</w:t>
            </w:r>
          </w:p>
        </w:tc>
      </w:tr>
      <w:tr w14:paraId="7575B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7" w:hRule="atLeast"/>
          <w:jc w:val="center"/>
        </w:trPr>
        <w:tc>
          <w:tcPr>
            <w:tcW w:w="306" w:type="pct"/>
            <w:vAlign w:val="center"/>
          </w:tcPr>
          <w:p w14:paraId="28AA99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561" w:type="pct"/>
            <w:vAlign w:val="center"/>
          </w:tcPr>
          <w:p w14:paraId="33D785D4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90" w:type="pct"/>
            <w:vAlign w:val="center"/>
          </w:tcPr>
          <w:p w14:paraId="6E35DE05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648" w:type="pct"/>
            <w:vAlign w:val="center"/>
          </w:tcPr>
          <w:p w14:paraId="23935503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95" w:type="pct"/>
            <w:vAlign w:val="center"/>
          </w:tcPr>
          <w:p w14:paraId="66311CD8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5" w:type="pct"/>
            <w:vAlign w:val="center"/>
          </w:tcPr>
          <w:p w14:paraId="052C729F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Не используется</w:t>
            </w:r>
          </w:p>
        </w:tc>
        <w:tc>
          <w:tcPr>
            <w:tcW w:w="643" w:type="pct"/>
            <w:vAlign w:val="center"/>
          </w:tcPr>
          <w:p w14:paraId="153603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Это группа</w:t>
            </w:r>
          </w:p>
        </w:tc>
        <w:tc>
          <w:tcPr>
            <w:tcW w:w="763" w:type="pct"/>
            <w:vAlign w:val="center"/>
          </w:tcPr>
          <w:p w14:paraId="5437A304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Реквизит «</w:t>
            </w:r>
            <w:r>
              <w:rPr>
                <w:sz w:val="20"/>
                <w:szCs w:val="20"/>
              </w:rPr>
              <w:t>Это группа</w:t>
            </w:r>
            <w:r>
              <w:rPr>
                <w:color w:val="000000"/>
                <w:sz w:val="20"/>
                <w:szCs w:val="20"/>
              </w:rPr>
              <w:t>» реализуется через классификатор номенклатуры</w:t>
            </w:r>
          </w:p>
        </w:tc>
      </w:tr>
      <w:tr w14:paraId="53240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7" w:hRule="atLeast"/>
          <w:jc w:val="center"/>
        </w:trPr>
        <w:tc>
          <w:tcPr>
            <w:tcW w:w="306" w:type="pct"/>
            <w:vAlign w:val="center"/>
          </w:tcPr>
          <w:p w14:paraId="60F228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561" w:type="pct"/>
            <w:vAlign w:val="center"/>
          </w:tcPr>
          <w:p w14:paraId="4505D8A1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490" w:type="pct"/>
            <w:vAlign w:val="center"/>
          </w:tcPr>
          <w:p w14:paraId="0C547C12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648" w:type="pct"/>
            <w:vAlign w:val="center"/>
          </w:tcPr>
          <w:p w14:paraId="20288161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595" w:type="pct"/>
            <w:vAlign w:val="center"/>
          </w:tcPr>
          <w:p w14:paraId="4CF81A9D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995" w:type="pct"/>
            <w:vAlign w:val="center"/>
          </w:tcPr>
          <w:p w14:paraId="6521D199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Не используется</w:t>
            </w:r>
          </w:p>
        </w:tc>
        <w:tc>
          <w:tcPr>
            <w:tcW w:w="643" w:type="pct"/>
            <w:vAlign w:val="center"/>
          </w:tcPr>
          <w:p w14:paraId="5D72CF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Номенклатурная группа</w:t>
            </w:r>
          </w:p>
        </w:tc>
        <w:tc>
          <w:tcPr>
            <w:tcW w:w="763" w:type="pct"/>
            <w:vAlign w:val="center"/>
          </w:tcPr>
          <w:p w14:paraId="1885769C">
            <w:pPr>
              <w:spacing w:after="240"/>
              <w:rPr>
                <w:sz w:val="20"/>
              </w:rPr>
            </w:pPr>
            <w:r>
              <w:rPr>
                <w:sz w:val="20"/>
              </w:rPr>
              <w:t>Справочник «Номенклатурных групп» отсутствует в стандартной поставке 1С:MDM КОРП и будет реализован на базе справочника «Группа аналитического учета номенклатуры»</w:t>
            </w:r>
          </w:p>
        </w:tc>
      </w:tr>
      <w:tr w14:paraId="7E200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7" w:hRule="atLeast"/>
          <w:jc w:val="center"/>
        </w:trPr>
        <w:tc>
          <w:tcPr>
            <w:tcW w:w="306" w:type="pct"/>
            <w:vAlign w:val="center"/>
          </w:tcPr>
          <w:p w14:paraId="4482A8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561" w:type="pct"/>
            <w:vAlign w:val="center"/>
          </w:tcPr>
          <w:p w14:paraId="638A3CA2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90" w:type="pct"/>
            <w:vAlign w:val="center"/>
          </w:tcPr>
          <w:p w14:paraId="49451141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648" w:type="pct"/>
            <w:vAlign w:val="center"/>
          </w:tcPr>
          <w:p w14:paraId="79B3D4DC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95" w:type="pct"/>
            <w:vAlign w:val="center"/>
          </w:tcPr>
          <w:p w14:paraId="02F9EB7F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95" w:type="pct"/>
            <w:vAlign w:val="center"/>
          </w:tcPr>
          <w:p w14:paraId="48CC0615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Не используется</w:t>
            </w:r>
          </w:p>
        </w:tc>
        <w:tc>
          <w:tcPr>
            <w:tcW w:w="643" w:type="pct"/>
            <w:vAlign w:val="center"/>
          </w:tcPr>
          <w:p w14:paraId="56122E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Статья затрат</w:t>
            </w:r>
          </w:p>
        </w:tc>
        <w:tc>
          <w:tcPr>
            <w:tcW w:w="763" w:type="pct"/>
            <w:vAlign w:val="center"/>
          </w:tcPr>
          <w:p w14:paraId="12811C1C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44E4F241">
      <w:pPr>
        <w:pStyle w:val="67"/>
      </w:pPr>
      <w:bookmarkStart w:id="60" w:name="_Toc211008680"/>
      <w:r>
        <w:t>8.2.3. Классификация номенклатурных позиций</w:t>
      </w:r>
      <w:bookmarkEnd w:id="60"/>
    </w:p>
    <w:p w14:paraId="1C486919">
      <w:pPr>
        <w:spacing w:after="240"/>
        <w:ind w:firstLine="709"/>
        <w:jc w:val="both"/>
      </w:pPr>
      <w:r>
        <w:t>Классификация номенклатурных позиций закладывает основу для единообразия справочника номенклатуры.</w:t>
      </w:r>
    </w:p>
    <w:p w14:paraId="02BDB78D">
      <w:pPr>
        <w:spacing w:after="240"/>
        <w:rPr>
          <w:b/>
          <w:bCs/>
        </w:rPr>
      </w:pPr>
      <w:r>
        <w:rPr>
          <w:rFonts w:eastAsiaTheme="majorEastAsia"/>
          <w:b/>
          <w:bCs/>
        </w:rPr>
        <w:t>Цель и назначение классификации</w:t>
      </w:r>
      <w:r>
        <w:rPr>
          <w:b/>
          <w:bCs/>
        </w:rPr>
        <w:t>:</w:t>
      </w:r>
    </w:p>
    <w:p w14:paraId="43375A0A">
      <w:pPr>
        <w:spacing w:after="240"/>
        <w:ind w:firstLine="709"/>
        <w:jc w:val="both"/>
      </w:pPr>
      <w:r>
        <w:rPr>
          <w:b/>
          <w:bCs/>
        </w:rPr>
        <w:t>Обеспечение единообразия:</w:t>
      </w:r>
      <w:r>
        <w:t> создание единого подхода к наименованию, кодированию и учету всех номенклатурных позиций в компании.</w:t>
      </w:r>
    </w:p>
    <w:p w14:paraId="3D8605DB">
      <w:pPr>
        <w:spacing w:after="240"/>
        <w:ind w:firstLine="709"/>
        <w:jc w:val="both"/>
      </w:pPr>
      <w:r>
        <w:rPr>
          <w:b/>
          <w:bCs/>
        </w:rPr>
        <w:t>Упрощение поиска:</w:t>
      </w:r>
      <w:r>
        <w:t> позволяет быстро находить нужные записи по заданным критериям.</w:t>
      </w:r>
    </w:p>
    <w:p w14:paraId="5066710F">
      <w:pPr>
        <w:spacing w:after="240"/>
        <w:ind w:firstLine="709"/>
        <w:jc w:val="both"/>
      </w:pPr>
      <w:r>
        <w:rPr>
          <w:b/>
          <w:bCs/>
        </w:rPr>
        <w:t>Повышение качества аналитики:</w:t>
      </w:r>
      <w:r>
        <w:t> группировка позиций позволяет проводить анализ, закупок, складских запасов не по отдельным позициям, а по логическим группам (категориям, видам), что делает отчетность более информативной.</w:t>
      </w:r>
    </w:p>
    <w:p w14:paraId="7CB4A267">
      <w:pPr>
        <w:spacing w:after="240"/>
        <w:rPr>
          <w:rFonts w:eastAsiaTheme="majorEastAsia"/>
          <w:b/>
          <w:bCs/>
        </w:rPr>
      </w:pPr>
      <w:r>
        <w:rPr>
          <w:rFonts w:eastAsiaTheme="majorEastAsia"/>
          <w:b/>
          <w:bCs/>
        </w:rPr>
        <w:t>Структура классификации:</w:t>
      </w:r>
    </w:p>
    <w:p w14:paraId="050C1C54">
      <w:pPr>
        <w:spacing w:after="240"/>
        <w:ind w:firstLine="851"/>
      </w:pPr>
      <w:r>
        <w:t>Используется многоуровневая (иерархическая) классификация:</w:t>
      </w:r>
    </w:p>
    <w:p w14:paraId="07D3C49D">
      <w:pPr>
        <w:spacing w:after="240"/>
        <w:ind w:left="1068"/>
        <w:jc w:val="both"/>
        <w:rPr>
          <w:b/>
          <w:bCs/>
        </w:rPr>
      </w:pPr>
      <w:r>
        <w:rPr>
          <w:b/>
          <w:bCs/>
        </w:rPr>
        <w:t>Уровень 1:</w:t>
      </w:r>
      <w:r>
        <w:t xml:space="preserve"> Вид</w:t>
      </w:r>
      <w:r>
        <w:rPr>
          <w:b/>
          <w:bCs/>
        </w:rPr>
        <w:t xml:space="preserve"> </w:t>
      </w:r>
    </w:p>
    <w:p w14:paraId="45EA0C31">
      <w:pPr>
        <w:spacing w:after="240"/>
        <w:ind w:left="1068"/>
        <w:jc w:val="both"/>
      </w:pPr>
      <w:r>
        <w:rPr>
          <w:b/>
          <w:bCs/>
        </w:rPr>
        <w:t xml:space="preserve">Уровень 2: </w:t>
      </w:r>
      <w:r>
        <w:t>Группа</w:t>
      </w:r>
    </w:p>
    <w:p w14:paraId="32F8541A">
      <w:pPr>
        <w:spacing w:after="240"/>
        <w:ind w:left="1068"/>
        <w:jc w:val="both"/>
      </w:pPr>
      <w:r>
        <w:rPr>
          <w:b/>
          <w:bCs/>
        </w:rPr>
        <w:t xml:space="preserve">Уровень 3: </w:t>
      </w:r>
      <w:r>
        <w:t>Подгруппа и т.д.</w:t>
      </w:r>
      <w:r>
        <w:rPr>
          <w:b/>
          <w:bCs/>
        </w:rPr>
        <w:t xml:space="preserve"> </w:t>
      </w:r>
    </w:p>
    <w:p w14:paraId="543B1A02">
      <w:pPr>
        <w:spacing w:after="240"/>
        <w:rPr>
          <w:rFonts w:eastAsiaTheme="majorEastAsia"/>
          <w:b/>
          <w:bCs/>
        </w:rPr>
      </w:pPr>
      <w:r>
        <w:rPr>
          <w:rFonts w:eastAsiaTheme="majorEastAsia"/>
          <w:b/>
          <w:bCs/>
        </w:rPr>
        <w:t>Правила отнесения позиций к группам:</w:t>
      </w:r>
    </w:p>
    <w:p w14:paraId="0C634D25">
      <w:pPr>
        <w:spacing w:after="240"/>
        <w:ind w:firstLine="709"/>
        <w:jc w:val="both"/>
      </w:pPr>
      <w:r>
        <w:rPr>
          <w:b/>
          <w:bCs/>
        </w:rPr>
        <w:t>Правило 1:</w:t>
      </w:r>
      <w:r>
        <w:t xml:space="preserve"> Каждая номенклатурная позиция должна быть отнесена к одному и только одному элементу на каждом уровне классификации.</w:t>
      </w:r>
    </w:p>
    <w:p w14:paraId="5893434E">
      <w:pPr>
        <w:spacing w:after="240"/>
        <w:ind w:firstLine="709"/>
        <w:jc w:val="both"/>
      </w:pPr>
      <w:r>
        <w:rPr>
          <w:b/>
          <w:bCs/>
        </w:rPr>
        <w:t>Правило 2:</w:t>
      </w:r>
      <w:r>
        <w:t> При выборе группы необходимо руководствоваться правилами, определенными в документе «Стандарт Классификации».</w:t>
      </w:r>
    </w:p>
    <w:p w14:paraId="2C827B0E">
      <w:pPr>
        <w:spacing w:after="240"/>
        <w:ind w:firstLine="709"/>
        <w:jc w:val="both"/>
      </w:pPr>
      <w:r>
        <w:rPr>
          <w:b/>
          <w:bCs/>
        </w:rPr>
        <w:t>Правило 3:</w:t>
      </w:r>
      <w:r>
        <w:t> Классификация может быть доработана на этапе нормализации справочника номенклатуры. Для новых номенклатурных позиций, не подходящих под существующие классы, необходимо создать новый класс по согласованию с Центром компетенции Заказчика в соответствии с документом «Стандарт Классификации».</w:t>
      </w:r>
    </w:p>
    <w:p w14:paraId="14E5B687">
      <w:pPr>
        <w:pStyle w:val="67"/>
      </w:pPr>
      <w:bookmarkStart w:id="61" w:name="_Toc211008681"/>
      <w:r>
        <w:t>8.2.4. Обработка текущих номенклатурных позиций</w:t>
      </w:r>
      <w:bookmarkEnd w:id="61"/>
      <w:r>
        <w:t xml:space="preserve"> </w:t>
      </w:r>
    </w:p>
    <w:p w14:paraId="16CC9F07">
      <w:pPr>
        <w:spacing w:after="240"/>
        <w:ind w:firstLine="709"/>
        <w:jc w:val="both"/>
      </w:pPr>
      <w:r>
        <w:t>Шаблоны классов разрабатываются непосредственно в процессе проведения нормализации:</w:t>
      </w:r>
    </w:p>
    <w:p w14:paraId="361BE232">
      <w:pPr>
        <w:pStyle w:val="38"/>
        <w:numPr>
          <w:ilvl w:val="0"/>
          <w:numId w:val="39"/>
        </w:numPr>
        <w:jc w:val="both"/>
      </w:pPr>
      <w:r>
        <w:t>Определение атрибутов шаблона на основании исходного наименования и артикула номенклатурной позиции;</w:t>
      </w:r>
    </w:p>
    <w:p w14:paraId="7C794074">
      <w:pPr>
        <w:pStyle w:val="38"/>
        <w:numPr>
          <w:ilvl w:val="0"/>
          <w:numId w:val="39"/>
        </w:numPr>
        <w:jc w:val="both"/>
      </w:pPr>
      <w:r>
        <w:t>Определение значений атрибутов шаблона;</w:t>
      </w:r>
    </w:p>
    <w:p w14:paraId="01605D3F">
      <w:pPr>
        <w:pStyle w:val="38"/>
        <w:numPr>
          <w:ilvl w:val="0"/>
          <w:numId w:val="39"/>
        </w:numPr>
        <w:spacing w:after="240"/>
        <w:jc w:val="both"/>
      </w:pPr>
      <w:r>
        <w:t>Настройка (создание) шаблонов.</w:t>
      </w:r>
    </w:p>
    <w:p w14:paraId="07989BD3">
      <w:pPr>
        <w:spacing w:after="240"/>
        <w:ind w:firstLine="709"/>
        <w:jc w:val="both"/>
      </w:pPr>
      <w:r>
        <w:t xml:space="preserve">На данном этапе в номенклатурной позиции выполняется заполнение реквизитов и атрибутов значениями на основании исходного наименования и артикула. В случае недостатка информации осуществляется процесс дообогащения данных. </w:t>
      </w:r>
    </w:p>
    <w:p w14:paraId="69F56096">
      <w:pPr>
        <w:pStyle w:val="67"/>
      </w:pPr>
      <w:bookmarkStart w:id="62" w:name="_Toc211008682"/>
      <w:r>
        <w:t>8.2.5. Обработка некорректной и невостербованной номенклатуры</w:t>
      </w:r>
      <w:bookmarkEnd w:id="62"/>
    </w:p>
    <w:p w14:paraId="06492D9B">
      <w:pPr>
        <w:spacing w:after="240"/>
        <w:ind w:firstLine="709"/>
        <w:jc w:val="both"/>
        <w:rPr>
          <w:lang w:eastAsia="en-US"/>
        </w:rPr>
      </w:pPr>
      <w:r>
        <w:rPr>
          <w:lang w:eastAsia="en-US"/>
        </w:rPr>
        <w:t xml:space="preserve">Цель процесса: выявление неполно и некорректно описанных позиций для их исправления или, при невозможности исправления, для исключения их из процесса нормализации и классификации, и дальнейшего отсеивания из справочника номенклатура. </w:t>
      </w:r>
    </w:p>
    <w:p w14:paraId="40674B48">
      <w:pPr>
        <w:spacing w:after="240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8.2.5.1. Обработка неполно описанных позиций</w:t>
      </w:r>
    </w:p>
    <w:p w14:paraId="55BFD6EE">
      <w:pPr>
        <w:spacing w:after="240"/>
        <w:ind w:firstLine="709"/>
        <w:jc w:val="both"/>
        <w:rPr>
          <w:lang w:eastAsia="en-US"/>
        </w:rPr>
      </w:pPr>
      <w:r>
        <w:rPr>
          <w:lang w:eastAsia="en-US"/>
        </w:rPr>
        <w:t>Номенклатурная позиция может быть признана неполно описанной только после согласования факта неполноты ее описания с Заказчиком. Под позициями, не подлежащими нормализации, понимаются недостаточно описанные позиции, информацию о которых нельзя восстановить.</w:t>
      </w:r>
    </w:p>
    <w:p w14:paraId="3BA55721">
      <w:pPr>
        <w:pStyle w:val="38"/>
        <w:numPr>
          <w:ilvl w:val="0"/>
          <w:numId w:val="40"/>
        </w:numPr>
        <w:spacing w:after="240"/>
        <w:ind w:left="1134"/>
        <w:jc w:val="both"/>
        <w:rPr>
          <w:lang w:eastAsia="en-US"/>
        </w:rPr>
      </w:pPr>
      <w:r>
        <w:rPr>
          <w:lang w:eastAsia="en-US"/>
        </w:rPr>
        <w:t>После выявления неполно описанной позиции эксперт должен уточнить (дополнить) описание позиции, используя информацию, полученную от Центров компетенции Заказчика.</w:t>
      </w:r>
    </w:p>
    <w:p w14:paraId="510C71B1">
      <w:pPr>
        <w:pStyle w:val="38"/>
        <w:numPr>
          <w:ilvl w:val="0"/>
          <w:numId w:val="40"/>
        </w:numPr>
        <w:spacing w:after="240"/>
        <w:ind w:left="1134"/>
        <w:jc w:val="both"/>
        <w:rPr>
          <w:lang w:eastAsia="en-US"/>
        </w:rPr>
      </w:pPr>
      <w:r>
        <w:rPr>
          <w:lang w:eastAsia="en-US"/>
        </w:rPr>
        <w:t>В случае если дополнить описание позиции невозможно, эксперт помечает данную позицию признаком «Неполноописанная» и формулирует обоснование того, почему данную позицию следует признать неполно описанной (т.е. не подлежащей нормализации).</w:t>
      </w:r>
    </w:p>
    <w:p w14:paraId="657271EF">
      <w:pPr>
        <w:pStyle w:val="38"/>
        <w:numPr>
          <w:ilvl w:val="0"/>
          <w:numId w:val="40"/>
        </w:numPr>
        <w:spacing w:after="240"/>
        <w:ind w:left="1134"/>
        <w:jc w:val="both"/>
        <w:rPr>
          <w:lang w:eastAsia="en-US"/>
        </w:rPr>
      </w:pPr>
      <w:r>
        <w:rPr>
          <w:lang w:eastAsia="en-US"/>
        </w:rPr>
        <w:t>Согласование неполно описанной позиции заключается в признании (или не признании) Заказчиком того факта, что описание позиции является недостаточно полным для ее идентификации.</w:t>
      </w:r>
    </w:p>
    <w:p w14:paraId="7289C778">
      <w:pPr>
        <w:pStyle w:val="38"/>
        <w:numPr>
          <w:ilvl w:val="0"/>
          <w:numId w:val="40"/>
        </w:numPr>
        <w:spacing w:after="240"/>
        <w:ind w:left="1134"/>
        <w:jc w:val="both"/>
        <w:rPr>
          <w:lang w:eastAsia="en-US"/>
        </w:rPr>
      </w:pPr>
      <w:r>
        <w:rPr>
          <w:lang w:eastAsia="en-US"/>
        </w:rPr>
        <w:t>Если позиция признана Заказчиком неполно описанной, такая позиция помечается статусом «Неполноописанная» и исключается из дальнейшего процесса нормализации.</w:t>
      </w:r>
    </w:p>
    <w:p w14:paraId="2AB64B25">
      <w:pPr>
        <w:pStyle w:val="38"/>
        <w:numPr>
          <w:ilvl w:val="0"/>
          <w:numId w:val="40"/>
        </w:numPr>
        <w:spacing w:after="240"/>
        <w:ind w:left="1134"/>
        <w:jc w:val="both"/>
        <w:rPr>
          <w:lang w:eastAsia="en-US"/>
        </w:rPr>
      </w:pPr>
      <w:r>
        <w:rPr>
          <w:lang w:eastAsia="en-US"/>
        </w:rPr>
        <w:t>Если позиция не признается Заказчиком неполно описанной, то Заказчик дополняет (уточняет) описание позиции. Эксперт вносит дополнения (уточнения) в описание позиции в справочник номенклатура и выполняет последующие операции по нормализации позиции.</w:t>
      </w:r>
    </w:p>
    <w:p w14:paraId="1A55B96D">
      <w:pPr>
        <w:spacing w:after="240"/>
        <w:ind w:firstLine="709"/>
      </w:pPr>
      <w:r>
        <w:t>Пример реестра обработки неполно описанных записей представлен в таблице 19.</w:t>
      </w:r>
    </w:p>
    <w:p w14:paraId="65B73AED">
      <w:pPr>
        <w:jc w:val="right"/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</w:pPr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>Таблица 19. Реестр обработки неполно описанных записей.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1560"/>
        <w:gridCol w:w="2581"/>
        <w:gridCol w:w="1653"/>
        <w:gridCol w:w="1555"/>
        <w:gridCol w:w="2000"/>
      </w:tblGrid>
      <w:tr w14:paraId="70542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2" w:type="dxa"/>
            <w:shd w:val="pct15" w:color="auto" w:fill="auto"/>
            <w:vAlign w:val="center"/>
          </w:tcPr>
          <w:p w14:paraId="415C7602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№ п/п</w:t>
            </w:r>
          </w:p>
        </w:tc>
        <w:tc>
          <w:tcPr>
            <w:tcW w:w="1560" w:type="dxa"/>
            <w:shd w:val="pct15" w:color="auto" w:fill="auto"/>
            <w:vAlign w:val="center"/>
          </w:tcPr>
          <w:p w14:paraId="1327F163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ID Code</w:t>
            </w:r>
          </w:p>
        </w:tc>
        <w:tc>
          <w:tcPr>
            <w:tcW w:w="2581" w:type="dxa"/>
            <w:shd w:val="pct15" w:color="auto" w:fill="auto"/>
            <w:vAlign w:val="center"/>
          </w:tcPr>
          <w:p w14:paraId="7E642174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Наименование субъекта данных (ненормализованное)</w:t>
            </w:r>
          </w:p>
        </w:tc>
        <w:tc>
          <w:tcPr>
            <w:tcW w:w="1653" w:type="dxa"/>
            <w:shd w:val="pct15" w:color="auto" w:fill="auto"/>
            <w:vAlign w:val="center"/>
          </w:tcPr>
          <w:p w14:paraId="62644BB6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Наименование атрибута требующего уточнения</w:t>
            </w:r>
          </w:p>
        </w:tc>
        <w:tc>
          <w:tcPr>
            <w:tcW w:w="1555" w:type="dxa"/>
            <w:shd w:val="pct15" w:color="auto" w:fill="auto"/>
            <w:vAlign w:val="center"/>
          </w:tcPr>
          <w:p w14:paraId="3CB96699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Примечание</w:t>
            </w:r>
          </w:p>
        </w:tc>
        <w:tc>
          <w:tcPr>
            <w:tcW w:w="2000" w:type="dxa"/>
            <w:shd w:val="pct15" w:color="auto" w:fill="auto"/>
            <w:vAlign w:val="center"/>
          </w:tcPr>
          <w:p w14:paraId="2FA1E17C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Решение</w:t>
            </w:r>
          </w:p>
        </w:tc>
      </w:tr>
      <w:tr w14:paraId="18AA2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68527311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3E153781">
            <w:pPr>
              <w:rPr>
                <w:sz w:val="20"/>
              </w:rPr>
            </w:pPr>
            <w:r>
              <w:rPr>
                <w:sz w:val="20"/>
              </w:rPr>
              <w:t>БП-00063051</w:t>
            </w:r>
          </w:p>
        </w:tc>
        <w:tc>
          <w:tcPr>
            <w:tcW w:w="2581" w:type="dxa"/>
            <w:vAlign w:val="center"/>
          </w:tcPr>
          <w:p w14:paraId="4EFF3205">
            <w:pPr>
              <w:rPr>
                <w:sz w:val="20"/>
              </w:rPr>
            </w:pPr>
            <w:r>
              <w:rPr>
                <w:sz w:val="20"/>
              </w:rPr>
              <w:t>Уголок 20х20х4 6м ГОСТ 8509-93</w:t>
            </w:r>
          </w:p>
        </w:tc>
        <w:tc>
          <w:tcPr>
            <w:tcW w:w="1653" w:type="dxa"/>
            <w:vAlign w:val="center"/>
          </w:tcPr>
          <w:p w14:paraId="2F2EC1B5">
            <w:pPr>
              <w:rPr>
                <w:sz w:val="20"/>
              </w:rPr>
            </w:pPr>
            <w:r>
              <w:rPr>
                <w:sz w:val="20"/>
              </w:rPr>
              <w:t>Марка стали</w:t>
            </w:r>
          </w:p>
        </w:tc>
        <w:tc>
          <w:tcPr>
            <w:tcW w:w="1555" w:type="dxa"/>
            <w:vAlign w:val="center"/>
          </w:tcPr>
          <w:p w14:paraId="2FCA1911">
            <w:pPr>
              <w:rPr>
                <w:sz w:val="20"/>
              </w:rPr>
            </w:pPr>
            <w:r>
              <w:rPr>
                <w:sz w:val="20"/>
              </w:rPr>
              <w:t>Требуется уточнение по марке стали</w:t>
            </w:r>
          </w:p>
        </w:tc>
        <w:tc>
          <w:tcPr>
            <w:tcW w:w="2000" w:type="dxa"/>
            <w:vAlign w:val="center"/>
          </w:tcPr>
          <w:p w14:paraId="7730729F">
            <w:pPr>
              <w:rPr>
                <w:sz w:val="20"/>
              </w:rPr>
            </w:pPr>
            <w:r>
              <w:rPr>
                <w:sz w:val="20"/>
              </w:rPr>
              <w:t>Передать бизнесу на уточнение</w:t>
            </w:r>
          </w:p>
        </w:tc>
      </w:tr>
      <w:tr w14:paraId="593C7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52E4C369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2D296BB6">
            <w:pPr>
              <w:rPr>
                <w:sz w:val="20"/>
              </w:rPr>
            </w:pPr>
            <w:r>
              <w:rPr>
                <w:sz w:val="20"/>
              </w:rPr>
              <w:t>БП-00064846</w:t>
            </w:r>
          </w:p>
        </w:tc>
        <w:tc>
          <w:tcPr>
            <w:tcW w:w="2581" w:type="dxa"/>
            <w:vAlign w:val="center"/>
          </w:tcPr>
          <w:p w14:paraId="2915F36B">
            <w:pPr>
              <w:rPr>
                <w:sz w:val="20"/>
              </w:rPr>
            </w:pPr>
            <w:r>
              <w:rPr>
                <w:sz w:val="20"/>
              </w:rPr>
              <w:t>Уголок 63х63х4 12м ГОСТ 8509-93</w:t>
            </w:r>
          </w:p>
        </w:tc>
        <w:tc>
          <w:tcPr>
            <w:tcW w:w="1653" w:type="dxa"/>
            <w:vAlign w:val="center"/>
          </w:tcPr>
          <w:p w14:paraId="4A282297">
            <w:pPr>
              <w:rPr>
                <w:sz w:val="20"/>
              </w:rPr>
            </w:pPr>
            <w:r>
              <w:rPr>
                <w:sz w:val="20"/>
              </w:rPr>
              <w:t>Марка стали</w:t>
            </w:r>
          </w:p>
        </w:tc>
        <w:tc>
          <w:tcPr>
            <w:tcW w:w="1555" w:type="dxa"/>
            <w:vAlign w:val="center"/>
          </w:tcPr>
          <w:p w14:paraId="00C3E914">
            <w:pPr>
              <w:rPr>
                <w:sz w:val="20"/>
              </w:rPr>
            </w:pPr>
            <w:r>
              <w:rPr>
                <w:sz w:val="20"/>
              </w:rPr>
              <w:t>Требуется уточнение по марке стали</w:t>
            </w:r>
          </w:p>
        </w:tc>
        <w:tc>
          <w:tcPr>
            <w:tcW w:w="2000" w:type="dxa"/>
            <w:vAlign w:val="center"/>
          </w:tcPr>
          <w:p w14:paraId="76D15F28">
            <w:pPr>
              <w:rPr>
                <w:sz w:val="20"/>
              </w:rPr>
            </w:pPr>
            <w:r>
              <w:rPr>
                <w:sz w:val="20"/>
              </w:rPr>
              <w:t>Передать бизнесу на уточнение</w:t>
            </w:r>
          </w:p>
        </w:tc>
      </w:tr>
      <w:tr w14:paraId="4B8B0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7FF6B5D7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36AAF257">
            <w:pPr>
              <w:rPr>
                <w:sz w:val="20"/>
              </w:rPr>
            </w:pPr>
            <w:r>
              <w:rPr>
                <w:sz w:val="20"/>
              </w:rPr>
              <w:t>ЦБ-00000439</w:t>
            </w:r>
          </w:p>
        </w:tc>
        <w:tc>
          <w:tcPr>
            <w:tcW w:w="2581" w:type="dxa"/>
            <w:vAlign w:val="center"/>
          </w:tcPr>
          <w:p w14:paraId="571FC98C">
            <w:pPr>
              <w:rPr>
                <w:sz w:val="20"/>
              </w:rPr>
            </w:pPr>
            <w:r>
              <w:rPr>
                <w:sz w:val="20"/>
              </w:rPr>
              <w:t>Уголок 63х63х5 12м ГОСТ 8509-93</w:t>
            </w:r>
          </w:p>
        </w:tc>
        <w:tc>
          <w:tcPr>
            <w:tcW w:w="1653" w:type="dxa"/>
            <w:vAlign w:val="center"/>
          </w:tcPr>
          <w:p w14:paraId="7983E6CF">
            <w:pPr>
              <w:rPr>
                <w:sz w:val="20"/>
              </w:rPr>
            </w:pPr>
            <w:r>
              <w:rPr>
                <w:sz w:val="20"/>
              </w:rPr>
              <w:t>Марка стали</w:t>
            </w:r>
          </w:p>
        </w:tc>
        <w:tc>
          <w:tcPr>
            <w:tcW w:w="1555" w:type="dxa"/>
            <w:vAlign w:val="center"/>
          </w:tcPr>
          <w:p w14:paraId="543A8311">
            <w:pPr>
              <w:rPr>
                <w:sz w:val="20"/>
              </w:rPr>
            </w:pPr>
            <w:r>
              <w:rPr>
                <w:sz w:val="20"/>
              </w:rPr>
              <w:t>Требуется уточнение по марке стали</w:t>
            </w:r>
          </w:p>
        </w:tc>
        <w:tc>
          <w:tcPr>
            <w:tcW w:w="2000" w:type="dxa"/>
            <w:vAlign w:val="center"/>
          </w:tcPr>
          <w:p w14:paraId="63C3045B">
            <w:pPr>
              <w:rPr>
                <w:sz w:val="20"/>
              </w:rPr>
            </w:pPr>
            <w:r>
              <w:rPr>
                <w:sz w:val="20"/>
              </w:rPr>
              <w:t>Передать бизнесу на уточнение</w:t>
            </w:r>
          </w:p>
        </w:tc>
      </w:tr>
      <w:tr w14:paraId="771B3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2FA9B24D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560" w:type="dxa"/>
            <w:vAlign w:val="center"/>
          </w:tcPr>
          <w:p w14:paraId="1C2A008D">
            <w:pPr>
              <w:rPr>
                <w:sz w:val="20"/>
              </w:rPr>
            </w:pPr>
            <w:r>
              <w:rPr>
                <w:sz w:val="20"/>
              </w:rPr>
              <w:t>БП-00001710</w:t>
            </w:r>
          </w:p>
        </w:tc>
        <w:tc>
          <w:tcPr>
            <w:tcW w:w="2581" w:type="dxa"/>
            <w:vAlign w:val="center"/>
          </w:tcPr>
          <w:p w14:paraId="1263ED21">
            <w:pPr>
              <w:rPr>
                <w:sz w:val="20"/>
              </w:rPr>
            </w:pPr>
            <w:r>
              <w:rPr>
                <w:sz w:val="20"/>
              </w:rPr>
              <w:t>Уголок 50х50х5 Ст3пс/сп5 12м ГОСТ 8509-93</w:t>
            </w:r>
          </w:p>
        </w:tc>
        <w:tc>
          <w:tcPr>
            <w:tcW w:w="1653" w:type="dxa"/>
            <w:vAlign w:val="center"/>
          </w:tcPr>
          <w:p w14:paraId="1E8CBE8B">
            <w:pPr>
              <w:rPr>
                <w:sz w:val="20"/>
              </w:rPr>
            </w:pPr>
            <w:r>
              <w:rPr>
                <w:sz w:val="20"/>
              </w:rPr>
              <w:t>Марка стали</w:t>
            </w:r>
          </w:p>
        </w:tc>
        <w:tc>
          <w:tcPr>
            <w:tcW w:w="1555" w:type="dxa"/>
            <w:vAlign w:val="center"/>
          </w:tcPr>
          <w:p w14:paraId="18768CC7">
            <w:pPr>
              <w:rPr>
                <w:sz w:val="20"/>
              </w:rPr>
            </w:pPr>
            <w:r>
              <w:rPr>
                <w:sz w:val="20"/>
              </w:rPr>
              <w:t>Требуется уточнение по марке стали</w:t>
            </w:r>
          </w:p>
        </w:tc>
        <w:tc>
          <w:tcPr>
            <w:tcW w:w="2000" w:type="dxa"/>
            <w:vAlign w:val="center"/>
          </w:tcPr>
          <w:p w14:paraId="17035D33">
            <w:pPr>
              <w:rPr>
                <w:sz w:val="20"/>
              </w:rPr>
            </w:pPr>
            <w:r>
              <w:rPr>
                <w:sz w:val="20"/>
              </w:rPr>
              <w:t>Передать бизнесу на уточнение</w:t>
            </w:r>
          </w:p>
        </w:tc>
      </w:tr>
      <w:tr w14:paraId="55F0D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6ADE8638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75CFF013">
            <w:pPr>
              <w:rPr>
                <w:sz w:val="20"/>
              </w:rPr>
            </w:pPr>
            <w:r>
              <w:rPr>
                <w:sz w:val="20"/>
              </w:rPr>
              <w:t>ЦБ-00036330</w:t>
            </w:r>
          </w:p>
        </w:tc>
        <w:tc>
          <w:tcPr>
            <w:tcW w:w="2581" w:type="dxa"/>
            <w:vAlign w:val="center"/>
          </w:tcPr>
          <w:p w14:paraId="453A1219">
            <w:pPr>
              <w:rPr>
                <w:sz w:val="20"/>
              </w:rPr>
            </w:pPr>
            <w:r>
              <w:rPr>
                <w:sz w:val="20"/>
              </w:rPr>
              <w:t>Уголок 100х100х7 Ст3пс/сп5 12м ГОСТ 8509-93</w:t>
            </w:r>
          </w:p>
        </w:tc>
        <w:tc>
          <w:tcPr>
            <w:tcW w:w="1653" w:type="dxa"/>
            <w:vAlign w:val="center"/>
          </w:tcPr>
          <w:p w14:paraId="5FD51309">
            <w:pPr>
              <w:rPr>
                <w:sz w:val="20"/>
              </w:rPr>
            </w:pPr>
            <w:r>
              <w:rPr>
                <w:sz w:val="20"/>
              </w:rPr>
              <w:t>Марка стали</w:t>
            </w:r>
          </w:p>
        </w:tc>
        <w:tc>
          <w:tcPr>
            <w:tcW w:w="1555" w:type="dxa"/>
            <w:vAlign w:val="center"/>
          </w:tcPr>
          <w:p w14:paraId="0C4824D4">
            <w:pPr>
              <w:rPr>
                <w:sz w:val="20"/>
              </w:rPr>
            </w:pPr>
            <w:r>
              <w:rPr>
                <w:sz w:val="20"/>
              </w:rPr>
              <w:t>Требуется уточнение по марке стали</w:t>
            </w:r>
          </w:p>
        </w:tc>
        <w:tc>
          <w:tcPr>
            <w:tcW w:w="2000" w:type="dxa"/>
            <w:vAlign w:val="center"/>
          </w:tcPr>
          <w:p w14:paraId="46B9835A">
            <w:pPr>
              <w:rPr>
                <w:sz w:val="20"/>
              </w:rPr>
            </w:pPr>
            <w:r>
              <w:rPr>
                <w:sz w:val="20"/>
              </w:rPr>
              <w:t>Передать бизнесу на уточнение</w:t>
            </w:r>
          </w:p>
        </w:tc>
      </w:tr>
      <w:tr w14:paraId="74CEE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14B06B25">
            <w:pPr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560" w:type="dxa"/>
            <w:vAlign w:val="center"/>
          </w:tcPr>
          <w:p w14:paraId="4F0B3153">
            <w:pPr>
              <w:rPr>
                <w:sz w:val="20"/>
              </w:rPr>
            </w:pPr>
            <w:r>
              <w:rPr>
                <w:sz w:val="20"/>
              </w:rPr>
              <w:t>ЦБ-00036336</w:t>
            </w:r>
          </w:p>
        </w:tc>
        <w:tc>
          <w:tcPr>
            <w:tcW w:w="2581" w:type="dxa"/>
            <w:vAlign w:val="center"/>
          </w:tcPr>
          <w:p w14:paraId="7B70108B">
            <w:pPr>
              <w:rPr>
                <w:sz w:val="20"/>
              </w:rPr>
            </w:pPr>
            <w:r>
              <w:rPr>
                <w:sz w:val="20"/>
              </w:rPr>
              <w:t>Уголок 50х50х5 Ст3пс/сп5 12м ГОСТ 8509-93</w:t>
            </w:r>
          </w:p>
        </w:tc>
        <w:tc>
          <w:tcPr>
            <w:tcW w:w="1653" w:type="dxa"/>
            <w:vAlign w:val="center"/>
          </w:tcPr>
          <w:p w14:paraId="1537AB12">
            <w:pPr>
              <w:rPr>
                <w:sz w:val="20"/>
              </w:rPr>
            </w:pPr>
            <w:r>
              <w:rPr>
                <w:sz w:val="20"/>
              </w:rPr>
              <w:t>Марка стали</w:t>
            </w:r>
          </w:p>
        </w:tc>
        <w:tc>
          <w:tcPr>
            <w:tcW w:w="1555" w:type="dxa"/>
            <w:vAlign w:val="center"/>
          </w:tcPr>
          <w:p w14:paraId="13AA8DB6">
            <w:pPr>
              <w:rPr>
                <w:sz w:val="20"/>
              </w:rPr>
            </w:pPr>
            <w:r>
              <w:rPr>
                <w:sz w:val="20"/>
              </w:rPr>
              <w:t>Требуется уточнение по марке стали</w:t>
            </w:r>
          </w:p>
        </w:tc>
        <w:tc>
          <w:tcPr>
            <w:tcW w:w="2000" w:type="dxa"/>
            <w:vAlign w:val="center"/>
          </w:tcPr>
          <w:p w14:paraId="110B2D20">
            <w:pPr>
              <w:rPr>
                <w:sz w:val="20"/>
              </w:rPr>
            </w:pPr>
            <w:r>
              <w:rPr>
                <w:sz w:val="20"/>
              </w:rPr>
              <w:t>Передать бизнесу на уточнение</w:t>
            </w:r>
          </w:p>
        </w:tc>
      </w:tr>
    </w:tbl>
    <w:p w14:paraId="2E6D8A5B">
      <w:pPr>
        <w:spacing w:before="240" w:after="240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8.2.5.2. Обработка невостребованных номенклатурных позиций</w:t>
      </w:r>
    </w:p>
    <w:p w14:paraId="3B619C93">
      <w:pPr>
        <w:spacing w:after="240"/>
        <w:ind w:firstLine="709"/>
        <w:jc w:val="both"/>
        <w:rPr>
          <w:lang w:eastAsia="en-US"/>
        </w:rPr>
      </w:pPr>
      <w:r>
        <w:rPr>
          <w:lang w:eastAsia="en-US"/>
        </w:rPr>
        <w:t>Невостребованная номенклатура – номенклатурные позиции, которые к моменту проведения работ по нормализации сняты с производства производителями или признаны производственными службами Заказчика неприемлемыми к использованию, например, записи, у которых не было движения (поступления, перемещения между складами, списания в производство) за последние три года и у которых есть складские запасы.</w:t>
      </w:r>
    </w:p>
    <w:p w14:paraId="2AC0933D">
      <w:pPr>
        <w:spacing w:after="240"/>
        <w:ind w:firstLine="709"/>
        <w:jc w:val="both"/>
        <w:rPr>
          <w:lang w:eastAsia="en-US"/>
        </w:rPr>
      </w:pPr>
      <w:r>
        <w:rPr>
          <w:lang w:eastAsia="en-US"/>
        </w:rPr>
        <w:t>Процесс выявления и устранения невостребованных позиций:</w:t>
      </w:r>
    </w:p>
    <w:p w14:paraId="38DD4ADA">
      <w:pPr>
        <w:pStyle w:val="38"/>
        <w:numPr>
          <w:ilvl w:val="0"/>
          <w:numId w:val="40"/>
        </w:numPr>
        <w:spacing w:after="240"/>
        <w:ind w:left="1134"/>
        <w:jc w:val="both"/>
        <w:rPr>
          <w:lang w:eastAsia="en-US"/>
        </w:rPr>
      </w:pPr>
      <w:r>
        <w:rPr>
          <w:lang w:eastAsia="en-US"/>
        </w:rPr>
        <w:t>Проведение анализа справочника на предмет выявления позиций, описывающих невостребованную номенклатуру.</w:t>
      </w:r>
    </w:p>
    <w:p w14:paraId="1C8D4FCF">
      <w:pPr>
        <w:pStyle w:val="38"/>
        <w:numPr>
          <w:ilvl w:val="0"/>
          <w:numId w:val="40"/>
        </w:numPr>
        <w:spacing w:after="240"/>
        <w:ind w:left="1134"/>
        <w:jc w:val="both"/>
        <w:rPr>
          <w:lang w:eastAsia="en-US"/>
        </w:rPr>
      </w:pPr>
      <w:r>
        <w:rPr>
          <w:lang w:eastAsia="en-US"/>
        </w:rPr>
        <w:t xml:space="preserve">Получение согласования Заказчика отнесения выявленных позиций к невостребованной номенклатуре. </w:t>
      </w:r>
    </w:p>
    <w:p w14:paraId="743B7E08">
      <w:pPr>
        <w:pStyle w:val="38"/>
        <w:numPr>
          <w:ilvl w:val="0"/>
          <w:numId w:val="40"/>
        </w:numPr>
        <w:spacing w:after="240"/>
        <w:ind w:left="1134"/>
        <w:jc w:val="both"/>
        <w:rPr>
          <w:lang w:eastAsia="en-US"/>
        </w:rPr>
      </w:pPr>
      <w:r>
        <w:rPr>
          <w:lang w:eastAsia="en-US"/>
        </w:rPr>
        <w:t>Установка статуса «Архив» для позиций, признанных Заказчиком невостребованными и</w:t>
      </w:r>
      <w:r>
        <w:rPr>
          <w:rFonts w:cs="Calibri"/>
          <w:color w:val="000000"/>
          <w:szCs w:val="20"/>
        </w:rPr>
        <w:t xml:space="preserve"> которые выводятся из эксплуатации.</w:t>
      </w:r>
    </w:p>
    <w:p w14:paraId="05874E56">
      <w:pPr>
        <w:pStyle w:val="67"/>
      </w:pPr>
      <w:bookmarkStart w:id="63" w:name="_Toc211008683"/>
      <w:r>
        <w:t>8.2.6. Дообогащение и актуализация номенклатурных позиций</w:t>
      </w:r>
      <w:bookmarkEnd w:id="63"/>
    </w:p>
    <w:p w14:paraId="05E88586">
      <w:pPr>
        <w:spacing w:after="240"/>
        <w:ind w:firstLine="709"/>
        <w:jc w:val="both"/>
        <w:rPr>
          <w:lang w:eastAsia="en-US"/>
        </w:rPr>
      </w:pPr>
      <w:r>
        <w:rPr>
          <w:lang w:eastAsia="en-US"/>
        </w:rPr>
        <w:t>Процесс дообогащения и актуализации данных для целей нормализации номенклатурных позиций включает следующие этапы:</w:t>
      </w:r>
    </w:p>
    <w:p w14:paraId="44571FF9">
      <w:pPr>
        <w:pStyle w:val="38"/>
        <w:numPr>
          <w:ilvl w:val="0"/>
          <w:numId w:val="41"/>
        </w:numPr>
        <w:jc w:val="both"/>
        <w:rPr>
          <w:lang w:eastAsia="en-US"/>
        </w:rPr>
      </w:pPr>
      <w:r>
        <w:rPr>
          <w:lang w:eastAsia="en-US"/>
        </w:rPr>
        <w:t>Идентификация неполно и некорректно описанных записей.</w:t>
      </w:r>
    </w:p>
    <w:p w14:paraId="5D72796F">
      <w:pPr>
        <w:pStyle w:val="38"/>
        <w:numPr>
          <w:ilvl w:val="0"/>
          <w:numId w:val="41"/>
        </w:numPr>
        <w:jc w:val="both"/>
        <w:rPr>
          <w:lang w:eastAsia="en-US"/>
        </w:rPr>
      </w:pPr>
      <w:r>
        <w:rPr>
          <w:lang w:eastAsia="en-US"/>
        </w:rPr>
        <w:t>Определение и верификация источников информации для дополнения данных.</w:t>
      </w:r>
    </w:p>
    <w:p w14:paraId="51905799">
      <w:pPr>
        <w:pStyle w:val="38"/>
        <w:numPr>
          <w:ilvl w:val="0"/>
          <w:numId w:val="41"/>
        </w:numPr>
        <w:spacing w:after="240"/>
        <w:jc w:val="both"/>
        <w:rPr>
          <w:lang w:eastAsia="en-US"/>
        </w:rPr>
      </w:pPr>
      <w:r>
        <w:rPr>
          <w:lang w:eastAsia="en-US"/>
        </w:rPr>
        <w:t>Внесение корректировок и дополнений в записи, в том числе устанавливается статус «Неполноописанная».</w:t>
      </w:r>
    </w:p>
    <w:p w14:paraId="36FB434B">
      <w:pPr>
        <w:spacing w:after="240"/>
        <w:ind w:firstLine="709"/>
        <w:jc w:val="both"/>
      </w:pPr>
      <w:r>
        <w:t>Пример реестра записей с указанием атрибута для дообогащения представлен в таблице 20.</w:t>
      </w:r>
    </w:p>
    <w:p w14:paraId="3B21D49D">
      <w:pPr>
        <w:spacing w:after="240"/>
        <w:ind w:firstLine="709"/>
        <w:jc w:val="both"/>
      </w:pPr>
    </w:p>
    <w:p w14:paraId="17C91A02">
      <w:pPr>
        <w:jc w:val="right"/>
        <w:rPr>
          <w:lang w:eastAsia="en-US"/>
        </w:rPr>
      </w:pPr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>Таблица 20. Реестр записей на дообогащение.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1418"/>
        <w:gridCol w:w="2680"/>
        <w:gridCol w:w="1730"/>
        <w:gridCol w:w="1536"/>
        <w:gridCol w:w="1985"/>
      </w:tblGrid>
      <w:tr w14:paraId="3637F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62" w:type="dxa"/>
            <w:shd w:val="pct15" w:color="auto" w:fill="auto"/>
            <w:vAlign w:val="center"/>
          </w:tcPr>
          <w:p w14:paraId="78AA24F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1418" w:type="dxa"/>
            <w:shd w:val="pct15" w:color="auto" w:fill="auto"/>
            <w:vAlign w:val="center"/>
          </w:tcPr>
          <w:p w14:paraId="325921D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ID Code</w:t>
            </w:r>
          </w:p>
        </w:tc>
        <w:tc>
          <w:tcPr>
            <w:tcW w:w="2680" w:type="dxa"/>
            <w:shd w:val="pct15" w:color="auto" w:fill="auto"/>
            <w:vAlign w:val="center"/>
          </w:tcPr>
          <w:p w14:paraId="20736C8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Наименование субъекта данных (ненормализованное)</w:t>
            </w:r>
          </w:p>
        </w:tc>
        <w:tc>
          <w:tcPr>
            <w:tcW w:w="1730" w:type="dxa"/>
            <w:shd w:val="pct15" w:color="auto" w:fill="auto"/>
            <w:vAlign w:val="center"/>
          </w:tcPr>
          <w:p w14:paraId="071643F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Наименование атрибута для дообогащения</w:t>
            </w:r>
          </w:p>
        </w:tc>
        <w:tc>
          <w:tcPr>
            <w:tcW w:w="1536" w:type="dxa"/>
            <w:shd w:val="pct15" w:color="auto" w:fill="auto"/>
            <w:vAlign w:val="center"/>
          </w:tcPr>
          <w:p w14:paraId="7C3A2F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Значение атрибута</w:t>
            </w:r>
          </w:p>
        </w:tc>
        <w:tc>
          <w:tcPr>
            <w:tcW w:w="1985" w:type="dxa"/>
            <w:shd w:val="pct15" w:color="auto" w:fill="auto"/>
            <w:vAlign w:val="center"/>
          </w:tcPr>
          <w:p w14:paraId="5F4D5EB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</w:rPr>
              <w:t>Наименование источника данных (НТД, Интернет и т.д.)</w:t>
            </w:r>
          </w:p>
        </w:tc>
      </w:tr>
      <w:tr w14:paraId="6850E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1C3CE5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18" w:type="dxa"/>
            <w:vAlign w:val="center"/>
          </w:tcPr>
          <w:p w14:paraId="674BCF03">
            <w:pPr>
              <w:jc w:val="center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БП-00001710</w:t>
            </w:r>
          </w:p>
        </w:tc>
        <w:tc>
          <w:tcPr>
            <w:tcW w:w="2680" w:type="dxa"/>
            <w:vAlign w:val="center"/>
          </w:tcPr>
          <w:p w14:paraId="6251A3F8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Уголок 50х50х5 Ст3пс/сп5 12м ГОСТ 8509-93</w:t>
            </w:r>
          </w:p>
        </w:tc>
        <w:tc>
          <w:tcPr>
            <w:tcW w:w="1730" w:type="dxa"/>
            <w:vAlign w:val="center"/>
          </w:tcPr>
          <w:p w14:paraId="710C40ED">
            <w:pPr>
              <w:jc w:val="center"/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Нормативно технический документ</w:t>
            </w:r>
          </w:p>
        </w:tc>
        <w:tc>
          <w:tcPr>
            <w:tcW w:w="1536" w:type="dxa"/>
            <w:vAlign w:val="center"/>
          </w:tcPr>
          <w:p w14:paraId="7E23AA26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ГОСТ 8509-93</w:t>
            </w:r>
          </w:p>
        </w:tc>
        <w:tc>
          <w:tcPr>
            <w:tcW w:w="1985" w:type="dxa"/>
            <w:vAlign w:val="center"/>
          </w:tcPr>
          <w:p w14:paraId="39435CEE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Не требуется</w:t>
            </w:r>
          </w:p>
        </w:tc>
      </w:tr>
      <w:tr w14:paraId="5DD9C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033995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18" w:type="dxa"/>
            <w:vAlign w:val="center"/>
          </w:tcPr>
          <w:p w14:paraId="533BFB14">
            <w:pPr>
              <w:jc w:val="center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БП-00063051</w:t>
            </w:r>
          </w:p>
        </w:tc>
        <w:tc>
          <w:tcPr>
            <w:tcW w:w="2680" w:type="dxa"/>
            <w:vAlign w:val="center"/>
          </w:tcPr>
          <w:p w14:paraId="3F1C04E3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Уголок 20х20х4 6м ГОСТ 8509-93</w:t>
            </w:r>
          </w:p>
        </w:tc>
        <w:tc>
          <w:tcPr>
            <w:tcW w:w="1730" w:type="dxa"/>
            <w:vAlign w:val="center"/>
          </w:tcPr>
          <w:p w14:paraId="30F4420C">
            <w:pPr>
              <w:jc w:val="center"/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Нормативно технический документ</w:t>
            </w:r>
          </w:p>
        </w:tc>
        <w:tc>
          <w:tcPr>
            <w:tcW w:w="1536" w:type="dxa"/>
            <w:vAlign w:val="center"/>
          </w:tcPr>
          <w:p w14:paraId="25968813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ГОСТ 8509-93</w:t>
            </w:r>
          </w:p>
        </w:tc>
        <w:tc>
          <w:tcPr>
            <w:tcW w:w="1985" w:type="dxa"/>
            <w:vAlign w:val="center"/>
          </w:tcPr>
          <w:p w14:paraId="1AEEFFD8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Не требуется</w:t>
            </w:r>
          </w:p>
        </w:tc>
      </w:tr>
      <w:tr w14:paraId="40C2A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075253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18" w:type="dxa"/>
            <w:vAlign w:val="center"/>
          </w:tcPr>
          <w:p w14:paraId="7C52B884">
            <w:pPr>
              <w:jc w:val="center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ЦБ-00000439</w:t>
            </w:r>
          </w:p>
        </w:tc>
        <w:tc>
          <w:tcPr>
            <w:tcW w:w="2680" w:type="dxa"/>
            <w:vAlign w:val="center"/>
          </w:tcPr>
          <w:p w14:paraId="0C7D9059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Уголок 63х63х5 12м ГОСТ 8509-93</w:t>
            </w:r>
          </w:p>
        </w:tc>
        <w:tc>
          <w:tcPr>
            <w:tcW w:w="1730" w:type="dxa"/>
            <w:vAlign w:val="center"/>
          </w:tcPr>
          <w:p w14:paraId="48176B7E">
            <w:pPr>
              <w:jc w:val="center"/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Нормативно технический документ</w:t>
            </w:r>
          </w:p>
        </w:tc>
        <w:tc>
          <w:tcPr>
            <w:tcW w:w="1536" w:type="dxa"/>
            <w:vAlign w:val="center"/>
          </w:tcPr>
          <w:p w14:paraId="45838D5A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ГОСТ 8509-93</w:t>
            </w:r>
          </w:p>
        </w:tc>
        <w:tc>
          <w:tcPr>
            <w:tcW w:w="1985" w:type="dxa"/>
            <w:vAlign w:val="center"/>
          </w:tcPr>
          <w:p w14:paraId="62D28199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Не требуется</w:t>
            </w:r>
          </w:p>
        </w:tc>
      </w:tr>
      <w:tr w14:paraId="07B4A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062D74C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18" w:type="dxa"/>
            <w:vAlign w:val="center"/>
          </w:tcPr>
          <w:p w14:paraId="18E5CB90">
            <w:pPr>
              <w:jc w:val="center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ХА-00000647</w:t>
            </w:r>
          </w:p>
        </w:tc>
        <w:tc>
          <w:tcPr>
            <w:tcW w:w="2680" w:type="dxa"/>
            <w:vAlign w:val="center"/>
          </w:tcPr>
          <w:p w14:paraId="42BF21EA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Уголок 63х63х6 Ст3пс/сп5 12м ГОСТ 8509-93</w:t>
            </w:r>
          </w:p>
        </w:tc>
        <w:tc>
          <w:tcPr>
            <w:tcW w:w="1730" w:type="dxa"/>
            <w:vAlign w:val="center"/>
          </w:tcPr>
          <w:p w14:paraId="3984D63D">
            <w:pPr>
              <w:jc w:val="center"/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Нормативно технический документ</w:t>
            </w:r>
          </w:p>
        </w:tc>
        <w:tc>
          <w:tcPr>
            <w:tcW w:w="1536" w:type="dxa"/>
            <w:vAlign w:val="center"/>
          </w:tcPr>
          <w:p w14:paraId="381BBFE5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ГОСТ 8509-93</w:t>
            </w:r>
          </w:p>
        </w:tc>
        <w:tc>
          <w:tcPr>
            <w:tcW w:w="1985" w:type="dxa"/>
            <w:vAlign w:val="center"/>
          </w:tcPr>
          <w:p w14:paraId="1B9D96F3">
            <w:pPr>
              <w:rPr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Не требуется</w:t>
            </w:r>
          </w:p>
        </w:tc>
      </w:tr>
    </w:tbl>
    <w:p w14:paraId="4B4C9E75">
      <w:pPr>
        <w:spacing w:before="240" w:after="240"/>
        <w:ind w:firstLine="709"/>
        <w:jc w:val="both"/>
        <w:rPr>
          <w:lang w:eastAsia="en-US"/>
        </w:rPr>
      </w:pPr>
      <w:r>
        <w:rPr>
          <w:lang w:eastAsia="en-US"/>
        </w:rPr>
        <w:t>Процесс актуализации данных для неполно и некорректно описанных номенклатурных позиций приведена на схеме ниже.</w:t>
      </w:r>
    </w:p>
    <w:p w14:paraId="50184871">
      <w:pPr>
        <w:pStyle w:val="38"/>
        <w:ind w:left="0"/>
        <w:jc w:val="center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6299835" cy="5848350"/>
            <wp:effectExtent l="0" t="0" r="5715" b="0"/>
            <wp:docPr id="379419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19482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0118">
      <w:pPr>
        <w:spacing w:after="240"/>
        <w:jc w:val="center"/>
        <w:rPr>
          <w:i/>
          <w:iCs/>
          <w:sz w:val="20"/>
          <w:szCs w:val="22"/>
        </w:rPr>
      </w:pPr>
      <w:r>
        <w:rPr>
          <w:i/>
          <w:iCs/>
          <w:sz w:val="20"/>
          <w:szCs w:val="22"/>
        </w:rPr>
        <w:t>Схема 1. Процесс обработки неполно и некорректно описанных записей.</w:t>
      </w:r>
    </w:p>
    <w:p w14:paraId="13985285">
      <w:pPr>
        <w:pStyle w:val="67"/>
      </w:pPr>
      <w:bookmarkStart w:id="64" w:name="_Toc209716456"/>
      <w:bookmarkStart w:id="65" w:name="_Toc211008684"/>
      <w:r>
        <w:t>8.2.7. Выявление и устранение дубл</w:t>
      </w:r>
      <w:bookmarkEnd w:id="64"/>
      <w:r>
        <w:t>ирующихся номенклатур</w:t>
      </w:r>
      <w:bookmarkEnd w:id="65"/>
    </w:p>
    <w:p w14:paraId="11F34CB1">
      <w:pPr>
        <w:spacing w:after="240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t>Алгоритм выявления дублей основывается на анализе причин, по которым в справочнике номенклатура возникают повторяющиеся позиции.</w:t>
      </w:r>
    </w:p>
    <w:p w14:paraId="1E7E5186">
      <w:pPr>
        <w:pStyle w:val="38"/>
        <w:numPr>
          <w:ilvl w:val="0"/>
          <w:numId w:val="42"/>
        </w:numPr>
        <w:ind w:left="993"/>
        <w:jc w:val="both"/>
        <w:rPr>
          <w:rFonts w:eastAsiaTheme="minorEastAsia"/>
        </w:rPr>
      </w:pPr>
      <w:r>
        <w:rPr>
          <w:rFonts w:eastAsiaTheme="minorEastAsia"/>
        </w:rPr>
        <w:t>Применение сокращений и аббревиатур.</w:t>
      </w:r>
    </w:p>
    <w:p w14:paraId="6F0A4470">
      <w:pPr>
        <w:pStyle w:val="38"/>
        <w:numPr>
          <w:ilvl w:val="0"/>
          <w:numId w:val="42"/>
        </w:numPr>
        <w:ind w:left="993"/>
        <w:jc w:val="both"/>
        <w:rPr>
          <w:rFonts w:eastAsiaTheme="minorEastAsia"/>
        </w:rPr>
      </w:pPr>
      <w:r>
        <w:rPr>
          <w:rFonts w:eastAsiaTheme="minorEastAsia"/>
        </w:rPr>
        <w:t>Использование синонимов и различных терминов для обозначения одних и тех же позиций.</w:t>
      </w:r>
    </w:p>
    <w:p w14:paraId="77F076D1">
      <w:pPr>
        <w:pStyle w:val="38"/>
        <w:numPr>
          <w:ilvl w:val="0"/>
          <w:numId w:val="42"/>
        </w:numPr>
        <w:ind w:left="993"/>
        <w:jc w:val="both"/>
        <w:rPr>
          <w:rFonts w:eastAsiaTheme="minorEastAsia"/>
        </w:rPr>
      </w:pPr>
      <w:r>
        <w:rPr>
          <w:rFonts w:eastAsiaTheme="minorEastAsia"/>
        </w:rPr>
        <w:t>Указание разных производителей, артикулов для номенклатурных позиций с идентичными техническими характеристиками, изготовленных по одному и тому же нормативно-техническому документу.</w:t>
      </w:r>
    </w:p>
    <w:p w14:paraId="5F0B3320">
      <w:pPr>
        <w:pStyle w:val="38"/>
        <w:numPr>
          <w:ilvl w:val="0"/>
          <w:numId w:val="42"/>
        </w:numPr>
        <w:ind w:left="993"/>
        <w:jc w:val="both"/>
        <w:rPr>
          <w:rFonts w:eastAsiaTheme="minorEastAsia"/>
        </w:rPr>
      </w:pPr>
      <w:r>
        <w:rPr>
          <w:rFonts w:eastAsiaTheme="minorEastAsia"/>
        </w:rPr>
        <w:t>Применение различных единиц измерения для одних и тех же номенклатур.</w:t>
      </w:r>
    </w:p>
    <w:p w14:paraId="4BB52E90">
      <w:pPr>
        <w:pStyle w:val="38"/>
        <w:numPr>
          <w:ilvl w:val="0"/>
          <w:numId w:val="42"/>
        </w:numPr>
        <w:ind w:left="993"/>
        <w:jc w:val="both"/>
        <w:rPr>
          <w:rFonts w:eastAsiaTheme="minorEastAsia"/>
        </w:rPr>
      </w:pPr>
      <w:r>
        <w:rPr>
          <w:rFonts w:eastAsiaTheme="minorEastAsia"/>
        </w:rPr>
        <w:t>Наличие орфографических, синтаксических ошибок и опечаток.</w:t>
      </w:r>
    </w:p>
    <w:p w14:paraId="4A889EC9">
      <w:pPr>
        <w:pStyle w:val="38"/>
        <w:numPr>
          <w:ilvl w:val="0"/>
          <w:numId w:val="42"/>
        </w:numPr>
        <w:ind w:left="993"/>
        <w:jc w:val="both"/>
        <w:rPr>
          <w:rFonts w:eastAsiaTheme="minorEastAsia"/>
        </w:rPr>
      </w:pPr>
      <w:r>
        <w:rPr>
          <w:rFonts w:eastAsiaTheme="minorEastAsia"/>
        </w:rPr>
        <w:t>Отличия в порядке слов в наименованиях номенклатурных позиций.</w:t>
      </w:r>
    </w:p>
    <w:p w14:paraId="533124E2">
      <w:pPr>
        <w:rPr>
          <w:rFonts w:eastAsiaTheme="minorEastAsia"/>
        </w:rPr>
      </w:pPr>
    </w:p>
    <w:p w14:paraId="0D382FEA">
      <w:pPr>
        <w:spacing w:after="160" w:line="259" w:lineRule="auto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8.2.7.1. Выявление и группировка дублирующих записей</w:t>
      </w:r>
    </w:p>
    <w:p w14:paraId="3F92CE45">
      <w:pPr>
        <w:spacing w:after="160" w:line="259" w:lineRule="auto"/>
        <w:ind w:firstLine="709"/>
        <w:jc w:val="both"/>
        <w:rPr>
          <w:lang w:eastAsia="en-US"/>
        </w:rPr>
      </w:pPr>
      <w:r>
        <w:rPr>
          <w:lang w:eastAsia="en-US"/>
        </w:rPr>
        <w:t>Для обнаружения дублирующих записей и их объединения в группы необходимо выполнить следующие действия:</w:t>
      </w:r>
    </w:p>
    <w:p w14:paraId="7DFFF19F">
      <w:pPr>
        <w:numPr>
          <w:ilvl w:val="0"/>
          <w:numId w:val="43"/>
        </w:numPr>
        <w:spacing w:after="160" w:line="259" w:lineRule="auto"/>
        <w:jc w:val="both"/>
        <w:rPr>
          <w:lang w:eastAsia="en-US"/>
        </w:rPr>
      </w:pPr>
      <w:r>
        <w:rPr>
          <w:b/>
          <w:bCs/>
          <w:lang w:eastAsia="en-US"/>
        </w:rPr>
        <w:t>Поиск по совпадению наименований, артикулов и единиц измерения</w:t>
      </w:r>
      <w:r>
        <w:rPr>
          <w:lang w:eastAsia="en-US"/>
        </w:rPr>
        <w:t>:</w:t>
      </w:r>
    </w:p>
    <w:p w14:paraId="5EE568AE">
      <w:pPr>
        <w:numPr>
          <w:ilvl w:val="1"/>
          <w:numId w:val="43"/>
        </w:numPr>
        <w:spacing w:after="160" w:line="259" w:lineRule="auto"/>
        <w:jc w:val="both"/>
        <w:rPr>
          <w:lang w:eastAsia="en-US"/>
        </w:rPr>
      </w:pPr>
      <w:r>
        <w:rPr>
          <w:lang w:eastAsia="en-US"/>
        </w:rPr>
        <w:t>Провести поиск дублирующих позиций в пределах обрабатываемого класса.</w:t>
      </w:r>
    </w:p>
    <w:p w14:paraId="21EDC83C">
      <w:pPr>
        <w:numPr>
          <w:ilvl w:val="1"/>
          <w:numId w:val="43"/>
        </w:numPr>
        <w:spacing w:after="160" w:line="259" w:lineRule="auto"/>
        <w:jc w:val="both"/>
        <w:rPr>
          <w:lang w:eastAsia="en-US"/>
        </w:rPr>
      </w:pPr>
      <w:r>
        <w:rPr>
          <w:lang w:eastAsia="en-US"/>
        </w:rPr>
        <w:t>Провести поиск дублирующих позиций по всему справочнику.</w:t>
      </w:r>
    </w:p>
    <w:p w14:paraId="3A27644A">
      <w:pPr>
        <w:numPr>
          <w:ilvl w:val="1"/>
          <w:numId w:val="43"/>
        </w:numPr>
        <w:spacing w:after="160" w:line="259" w:lineRule="auto"/>
        <w:jc w:val="both"/>
        <w:rPr>
          <w:lang w:eastAsia="en-US"/>
        </w:rPr>
      </w:pPr>
      <w:r>
        <w:rPr>
          <w:lang w:eastAsia="en-US"/>
        </w:rPr>
        <w:t>Объединить найденные дубли в группы на основе совпадения наименований, артикулов и единиц измерения.</w:t>
      </w:r>
    </w:p>
    <w:p w14:paraId="143F3118">
      <w:pPr>
        <w:numPr>
          <w:ilvl w:val="0"/>
          <w:numId w:val="43"/>
        </w:numPr>
        <w:spacing w:after="160" w:line="259" w:lineRule="auto"/>
        <w:jc w:val="both"/>
        <w:rPr>
          <w:lang w:eastAsia="en-US"/>
        </w:rPr>
      </w:pPr>
      <w:r>
        <w:rPr>
          <w:b/>
          <w:bCs/>
          <w:lang w:eastAsia="en-US"/>
        </w:rPr>
        <w:t>Поиск, по ключевым словам, и атрибутам</w:t>
      </w:r>
      <w:r>
        <w:rPr>
          <w:lang w:eastAsia="en-US"/>
        </w:rPr>
        <w:t>:</w:t>
      </w:r>
    </w:p>
    <w:p w14:paraId="574B20C3">
      <w:pPr>
        <w:numPr>
          <w:ilvl w:val="1"/>
          <w:numId w:val="43"/>
        </w:numPr>
        <w:spacing w:after="160" w:line="259" w:lineRule="auto"/>
        <w:jc w:val="both"/>
        <w:rPr>
          <w:lang w:eastAsia="en-US"/>
        </w:rPr>
      </w:pPr>
      <w:r>
        <w:rPr>
          <w:lang w:eastAsia="en-US"/>
        </w:rPr>
        <w:t>Эксперт осуществляет поиск дублирующих позиций во всем справочнике.</w:t>
      </w:r>
    </w:p>
    <w:p w14:paraId="7834B7C5">
      <w:pPr>
        <w:numPr>
          <w:ilvl w:val="1"/>
          <w:numId w:val="43"/>
        </w:numPr>
        <w:spacing w:after="160" w:line="259" w:lineRule="auto"/>
        <w:jc w:val="both"/>
        <w:rPr>
          <w:lang w:eastAsia="en-US"/>
        </w:rPr>
      </w:pPr>
      <w:r>
        <w:rPr>
          <w:lang w:eastAsia="en-US"/>
        </w:rPr>
        <w:t>Используются ключевые слова и значения атрибутов для идентификации дублирующих записей.</w:t>
      </w:r>
    </w:p>
    <w:p w14:paraId="197B0617">
      <w:pPr>
        <w:spacing w:after="160" w:line="259" w:lineRule="auto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8.2.7.2. Определение эталонных позиций</w:t>
      </w:r>
    </w:p>
    <w:p w14:paraId="55503A6C">
      <w:pPr>
        <w:spacing w:after="160" w:line="259" w:lineRule="auto"/>
        <w:ind w:firstLine="709"/>
        <w:jc w:val="both"/>
        <w:rPr>
          <w:lang w:eastAsia="en-US"/>
        </w:rPr>
      </w:pPr>
      <w:r>
        <w:rPr>
          <w:lang w:eastAsia="en-US"/>
        </w:rPr>
        <w:t>В каждой группе найденных дублирующих записей необходимо определить эталонную позицию. Предлагаемые критерии выбора:</w:t>
      </w:r>
    </w:p>
    <w:p w14:paraId="01DE2412">
      <w:pPr>
        <w:pStyle w:val="38"/>
        <w:numPr>
          <w:ilvl w:val="0"/>
          <w:numId w:val="44"/>
        </w:numPr>
        <w:spacing w:after="160" w:line="259" w:lineRule="auto"/>
        <w:jc w:val="both"/>
        <w:rPr>
          <w:lang w:eastAsia="en-US"/>
        </w:rPr>
      </w:pPr>
      <w:r>
        <w:rPr>
          <w:lang w:eastAsia="en-US"/>
        </w:rPr>
        <w:t>При отсутствии текущих складских запасов эталонной записью считается запись с наиболее полным описанием.</w:t>
      </w:r>
    </w:p>
    <w:p w14:paraId="3D4C42EC">
      <w:pPr>
        <w:numPr>
          <w:ilvl w:val="0"/>
          <w:numId w:val="44"/>
        </w:numPr>
        <w:spacing w:after="160" w:line="259" w:lineRule="auto"/>
        <w:jc w:val="both"/>
        <w:rPr>
          <w:lang w:eastAsia="en-US"/>
        </w:rPr>
      </w:pPr>
      <w:r>
        <w:rPr>
          <w:lang w:eastAsia="en-US"/>
        </w:rPr>
        <w:t>При наличии информации о складских запасах эталонная запись выбирается по следующему принципу: если записи группы имеют информацию о запасах, эталонной записью является запись с наибольшим количеством запасов.</w:t>
      </w:r>
    </w:p>
    <w:p w14:paraId="2F5CFC44">
      <w:pPr>
        <w:numPr>
          <w:ilvl w:val="0"/>
          <w:numId w:val="44"/>
        </w:numPr>
        <w:spacing w:after="160" w:line="259" w:lineRule="auto"/>
        <w:jc w:val="both"/>
        <w:rPr>
          <w:lang w:eastAsia="en-US"/>
        </w:rPr>
      </w:pPr>
      <w:r>
        <w:t>Установление статусов и ссылок:</w:t>
      </w:r>
    </w:p>
    <w:p w14:paraId="3C44D96E">
      <w:pPr>
        <w:numPr>
          <w:ilvl w:val="1"/>
          <w:numId w:val="43"/>
        </w:numPr>
        <w:spacing w:after="160" w:line="259" w:lineRule="auto"/>
        <w:jc w:val="both"/>
        <w:rPr>
          <w:lang w:eastAsia="en-US"/>
        </w:rPr>
      </w:pPr>
      <w:r>
        <w:rPr>
          <w:lang w:eastAsia="en-US"/>
        </w:rPr>
        <w:t>Для выявленных дублей устанавливается статус «Дубль».</w:t>
      </w:r>
    </w:p>
    <w:p w14:paraId="22FF1C39">
      <w:pPr>
        <w:numPr>
          <w:ilvl w:val="1"/>
          <w:numId w:val="43"/>
        </w:numPr>
        <w:spacing w:after="160" w:line="259" w:lineRule="auto"/>
        <w:jc w:val="both"/>
        <w:rPr>
          <w:lang w:eastAsia="en-US"/>
        </w:rPr>
      </w:pPr>
      <w:r>
        <w:rPr>
          <w:lang w:eastAsia="en-US"/>
        </w:rPr>
        <w:t>Для всех дублирующих позиций в группе необходимо установить ссылки на эталонную запись.</w:t>
      </w:r>
    </w:p>
    <w:p w14:paraId="1B623BCD">
      <w:pPr>
        <w:pStyle w:val="38"/>
        <w:jc w:val="both"/>
        <w:rPr>
          <w:lang w:eastAsia="en-US"/>
        </w:rPr>
      </w:pPr>
      <w:r>
        <w:rPr>
          <w:lang w:eastAsia="en-US"/>
        </w:rPr>
        <w:t>Пример отчета о дублирующихся записях представлен в Приложении 3.</w:t>
      </w:r>
    </w:p>
    <w:p w14:paraId="229CDD0C">
      <w:pPr>
        <w:pStyle w:val="38"/>
        <w:jc w:val="both"/>
        <w:rPr>
          <w:lang w:eastAsia="en-US"/>
        </w:rPr>
      </w:pPr>
      <w:r>
        <w:rPr>
          <w:lang w:eastAsia="en-US"/>
        </w:rPr>
        <w:t>Окончательное решение по определению эталонных записей остаётся за Заказчиком.</w:t>
      </w:r>
    </w:p>
    <w:p w14:paraId="294404B2">
      <w:pPr>
        <w:spacing w:after="160" w:line="259" w:lineRule="auto"/>
        <w:jc w:val="both"/>
        <w:rPr>
          <w:lang w:eastAsia="en-US"/>
        </w:rPr>
      </w:pPr>
    </w:p>
    <w:p w14:paraId="51D5AA24">
      <w:pPr>
        <w:pStyle w:val="64"/>
        <w:numPr>
          <w:ilvl w:val="0"/>
          <w:numId w:val="10"/>
        </w:numPr>
      </w:pPr>
      <w:bookmarkStart w:id="66" w:name="_Toc211008685"/>
      <w:r>
        <w:t>ПРОВЕРКА НОРМАЛИЗОВАННЫХ ДАННЫХ</w:t>
      </w:r>
      <w:bookmarkEnd w:id="66"/>
    </w:p>
    <w:p w14:paraId="32B88026">
      <w:pPr>
        <w:ind w:firstLine="709"/>
        <w:jc w:val="both"/>
      </w:pPr>
      <w:r>
        <w:t>Раздел представляет собой систему контроля качества результатов нормализации справочников. Включает следующую аналитику:</w:t>
      </w:r>
    </w:p>
    <w:p w14:paraId="6B18F743">
      <w:pPr>
        <w:jc w:val="both"/>
      </w:pPr>
    </w:p>
    <w:p w14:paraId="37D2ADCA">
      <w:pPr>
        <w:numPr>
          <w:ilvl w:val="0"/>
          <w:numId w:val="36"/>
        </w:numPr>
        <w:tabs>
          <w:tab w:val="left" w:pos="720"/>
        </w:tabs>
        <w:spacing w:after="240"/>
        <w:jc w:val="both"/>
      </w:pPr>
      <w:r>
        <w:rPr>
          <w:b/>
          <w:bCs/>
        </w:rPr>
        <w:t>Количественная оценка</w:t>
      </w:r>
      <w:r>
        <w:t> – анализ обработки данных с использованием метрик (Общий объем обработки, полнота, объем изменений) и категоризация записей на эталонные, дублирующие, неполно описанные и подлежащие к выводу из эксплуатации.</w:t>
      </w:r>
    </w:p>
    <w:p w14:paraId="28620051">
      <w:pPr>
        <w:numPr>
          <w:ilvl w:val="0"/>
          <w:numId w:val="36"/>
        </w:numPr>
        <w:tabs>
          <w:tab w:val="left" w:pos="720"/>
        </w:tabs>
        <w:jc w:val="both"/>
      </w:pPr>
      <w:r>
        <w:rPr>
          <w:b/>
          <w:bCs/>
        </w:rPr>
        <w:t>Качественная оценка</w:t>
      </w:r>
      <w:r>
        <w:t> – детальная проверка данных по следующим направлениям:</w:t>
      </w:r>
    </w:p>
    <w:p w14:paraId="52B2E669">
      <w:pPr>
        <w:numPr>
          <w:ilvl w:val="1"/>
          <w:numId w:val="45"/>
        </w:numPr>
        <w:jc w:val="both"/>
      </w:pPr>
      <w:r>
        <w:t>Контроль полноты, непротиворечивости, унификации и ссылочной целостности.</w:t>
      </w:r>
    </w:p>
    <w:p w14:paraId="343E32D2">
      <w:pPr>
        <w:numPr>
          <w:ilvl w:val="1"/>
          <w:numId w:val="45"/>
        </w:numPr>
        <w:jc w:val="both"/>
      </w:pPr>
      <w:r>
        <w:t>Проверка форматов данных, идентифицируемости и отсутствия дублей.</w:t>
      </w:r>
    </w:p>
    <w:p w14:paraId="5130729D">
      <w:pPr>
        <w:numPr>
          <w:ilvl w:val="1"/>
          <w:numId w:val="45"/>
        </w:numPr>
        <w:jc w:val="both"/>
      </w:pPr>
      <w:r>
        <w:t>Специфические проверки наименований (пробелы, раскладки клавиатуры, артикулы, единицы измерения).</w:t>
      </w:r>
    </w:p>
    <w:p w14:paraId="4AA9C016">
      <w:pPr>
        <w:numPr>
          <w:ilvl w:val="1"/>
          <w:numId w:val="45"/>
        </w:numPr>
      </w:pPr>
      <w:r>
        <w:t>Определение ключей уникальности для всех справочников.</w:t>
      </w:r>
    </w:p>
    <w:p w14:paraId="6D3AD7AB"/>
    <w:p w14:paraId="4DB014DA">
      <w:pPr>
        <w:spacing w:after="240"/>
        <w:ind w:firstLine="709"/>
      </w:pPr>
      <w:r>
        <w:t>Раздел также включает критерии приемки данных и указания по периодичности проверок.</w:t>
      </w:r>
    </w:p>
    <w:p w14:paraId="771CCA4E">
      <w:pPr>
        <w:spacing w:after="240"/>
        <w:ind w:firstLine="709"/>
      </w:pPr>
      <w:r>
        <w:t>Цель раздела – обеспечить высокое качество нормализованных данных через систему объективного контроля, которая:</w:t>
      </w:r>
    </w:p>
    <w:p w14:paraId="268A0DBF">
      <w:pPr>
        <w:numPr>
          <w:ilvl w:val="0"/>
          <w:numId w:val="36"/>
        </w:numPr>
        <w:tabs>
          <w:tab w:val="left" w:pos="720"/>
        </w:tabs>
        <w:jc w:val="both"/>
      </w:pPr>
      <w:r>
        <w:rPr>
          <w:b/>
          <w:bCs/>
        </w:rPr>
        <w:t>Подтверждает соответствие данных установленным стандартам</w:t>
      </w:r>
      <w:r>
        <w:t> – полнота, непротиворечивость, унификация.</w:t>
      </w:r>
    </w:p>
    <w:p w14:paraId="193E1229">
      <w:pPr>
        <w:numPr>
          <w:ilvl w:val="0"/>
          <w:numId w:val="36"/>
        </w:numPr>
        <w:tabs>
          <w:tab w:val="left" w:pos="720"/>
        </w:tabs>
        <w:jc w:val="both"/>
      </w:pPr>
      <w:r>
        <w:rPr>
          <w:b/>
          <w:bCs/>
        </w:rPr>
        <w:t>Выявляет и устраняет скрытые ошибки</w:t>
      </w:r>
      <w:r>
        <w:t> – форматирование, дублирование, некорректные символы.</w:t>
      </w:r>
    </w:p>
    <w:p w14:paraId="7D4B6417">
      <w:pPr>
        <w:numPr>
          <w:ilvl w:val="0"/>
          <w:numId w:val="36"/>
        </w:numPr>
        <w:tabs>
          <w:tab w:val="left" w:pos="720"/>
        </w:tabs>
        <w:jc w:val="both"/>
      </w:pPr>
      <w:r>
        <w:rPr>
          <w:b/>
          <w:bCs/>
        </w:rPr>
        <w:t>Гарантирует целостность и пригодность данных</w:t>
      </w:r>
      <w:r>
        <w:t> для интеграции в корпоративные системы.</w:t>
      </w:r>
    </w:p>
    <w:p w14:paraId="504BC535">
      <w:pPr>
        <w:numPr>
          <w:ilvl w:val="0"/>
          <w:numId w:val="36"/>
        </w:numPr>
        <w:tabs>
          <w:tab w:val="left" w:pos="720"/>
        </w:tabs>
        <w:jc w:val="both"/>
      </w:pPr>
      <w:r>
        <w:rPr>
          <w:b/>
          <w:bCs/>
        </w:rPr>
        <w:t>Обеспечивает прозрачность процесса нормализации</w:t>
      </w:r>
      <w:r>
        <w:t> через количественные метрики и критерии качества.</w:t>
      </w:r>
    </w:p>
    <w:p w14:paraId="05D97007">
      <w:pPr>
        <w:numPr>
          <w:ilvl w:val="0"/>
          <w:numId w:val="36"/>
        </w:numPr>
        <w:tabs>
          <w:tab w:val="left" w:pos="720"/>
        </w:tabs>
        <w:jc w:val="both"/>
      </w:pPr>
      <w:r>
        <w:rPr>
          <w:b/>
          <w:bCs/>
        </w:rPr>
        <w:t>Служит основой для приемки работ Заказчиком</w:t>
      </w:r>
      <w:r>
        <w:t> – четкие критерии и формат предоставления данных.</w:t>
      </w:r>
    </w:p>
    <w:p w14:paraId="01AB73FE"/>
    <w:p w14:paraId="298D9AA3">
      <w:pPr>
        <w:pStyle w:val="66"/>
      </w:pPr>
      <w:bookmarkStart w:id="67" w:name="_Toc210295626"/>
      <w:bookmarkStart w:id="68" w:name="_Toc211008686"/>
      <w:r>
        <w:t xml:space="preserve">9.1. Количественная оценка нормализованных </w:t>
      </w:r>
      <w:bookmarkEnd w:id="67"/>
      <w:r>
        <w:t>записей</w:t>
      </w:r>
      <w:bookmarkEnd w:id="68"/>
    </w:p>
    <w:p w14:paraId="38721E02">
      <w:pPr>
        <w:spacing w:after="240"/>
        <w:ind w:firstLine="709"/>
        <w:jc w:val="both"/>
      </w:pPr>
      <w:r>
        <w:t xml:space="preserve">Количество записей оценивается до выполнения нормализации и после выполнения нормализации для контроля полноты обработки. </w:t>
      </w:r>
    </w:p>
    <w:p w14:paraId="0CF60573">
      <w:pPr>
        <w:spacing w:after="240"/>
        <w:ind w:firstLine="709"/>
        <w:jc w:val="both"/>
      </w:pPr>
      <w:r>
        <w:t xml:space="preserve">Записи неполно и некорректно описанные передаются Заказчику для контроля и принятия решения. Формат предоставления таких записей совпадает с форматом шаблона соответствующего справочника с меткой неполноописанной записей. </w:t>
      </w:r>
    </w:p>
    <w:p w14:paraId="553BD4A2">
      <w:pPr>
        <w:spacing w:after="240"/>
        <w:ind w:firstLine="709"/>
        <w:jc w:val="both"/>
      </w:pPr>
      <w:r>
        <w:t>Общее количество записей по результатам нормализации равно сумме количества нормализованных записей и количества записей, не прошедших нормализацию.</w:t>
      </w:r>
    </w:p>
    <w:p w14:paraId="2BAC77D6">
      <w:pPr>
        <w:spacing w:after="240"/>
        <w:ind w:firstLine="709"/>
        <w:jc w:val="both"/>
      </w:pPr>
      <w:r>
        <w:t xml:space="preserve">В процессе нормализации все исходные записи распределяются по следующим категориям: </w:t>
      </w:r>
    </w:p>
    <w:p w14:paraId="6B1458AF">
      <w:pPr>
        <w:pStyle w:val="38"/>
        <w:numPr>
          <w:ilvl w:val="0"/>
          <w:numId w:val="46"/>
        </w:numPr>
      </w:pPr>
      <w:r>
        <w:t>Эталонные записи.</w:t>
      </w:r>
    </w:p>
    <w:p w14:paraId="79D6203D">
      <w:pPr>
        <w:pStyle w:val="38"/>
        <w:numPr>
          <w:ilvl w:val="0"/>
          <w:numId w:val="46"/>
        </w:numPr>
      </w:pPr>
      <w:r>
        <w:t>Дублирующие записи.</w:t>
      </w:r>
    </w:p>
    <w:p w14:paraId="180E6002">
      <w:pPr>
        <w:pStyle w:val="38"/>
        <w:numPr>
          <w:ilvl w:val="0"/>
          <w:numId w:val="46"/>
        </w:numPr>
      </w:pPr>
      <w:r>
        <w:t>Неполно и некорректно описанные записи.</w:t>
      </w:r>
    </w:p>
    <w:p w14:paraId="01FB18D0">
      <w:pPr>
        <w:pStyle w:val="38"/>
        <w:numPr>
          <w:ilvl w:val="0"/>
          <w:numId w:val="46"/>
        </w:numPr>
        <w:spacing w:after="240"/>
      </w:pPr>
      <w:r>
        <w:t xml:space="preserve">Записи, подлежащие к выводу из эксплуатации. </w:t>
      </w:r>
    </w:p>
    <w:p w14:paraId="5388F138">
      <w:pPr>
        <w:spacing w:after="240"/>
        <w:ind w:firstLine="709"/>
        <w:jc w:val="both"/>
      </w:pPr>
      <w:r>
        <w:t>После завершения нормализации все указанные массивы данных передаются Заказчику для дальнейшего контроля и принятия решений. Формат предоставления данных соответствует шаблону соответствующего справочника, при этом не эталонные записи выделяются красным цветом.</w:t>
      </w:r>
    </w:p>
    <w:p w14:paraId="1C4B8F64">
      <w:pPr>
        <w:spacing w:after="240"/>
        <w:ind w:firstLine="709"/>
        <w:jc w:val="both"/>
      </w:pPr>
      <w:r>
        <w:t>Общее количество записей по результатам нормализации сохраняется и соответствует исходному объему: оно представляет собой сумму эталонных, дублирующих, неполно описанных записей и записей, предназначенных к выводу из эксплуатации.</w:t>
      </w:r>
    </w:p>
    <w:p w14:paraId="19C8A847">
      <w:pPr>
        <w:spacing w:after="240"/>
        <w:ind w:firstLine="709"/>
        <w:jc w:val="both"/>
      </w:pPr>
      <w:r>
        <w:t>Количественные метрики приведены в таблице №21.</w:t>
      </w:r>
    </w:p>
    <w:p w14:paraId="41EC6111">
      <w:pPr>
        <w:jc w:val="right"/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</w:pPr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>Таблица 21. Количественные метрики.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4798"/>
        <w:gridCol w:w="3304"/>
      </w:tblGrid>
      <w:tr w14:paraId="2ED70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5" w:color="auto" w:fill="auto"/>
            <w:vAlign w:val="center"/>
          </w:tcPr>
          <w:p w14:paraId="2454A8A3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5" w:color="auto" w:fill="auto"/>
            <w:vAlign w:val="center"/>
          </w:tcPr>
          <w:p w14:paraId="5ED6386D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Формула</w:t>
            </w:r>
          </w:p>
        </w:tc>
        <w:tc>
          <w:tcPr>
            <w:tcW w:w="3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5" w:color="auto" w:fill="auto"/>
            <w:vAlign w:val="center"/>
          </w:tcPr>
          <w:p w14:paraId="5B3F84D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Примечание</w:t>
            </w:r>
          </w:p>
        </w:tc>
      </w:tr>
      <w:tr w14:paraId="16C77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A319A4">
            <w:pPr>
              <w:rPr>
                <w:sz w:val="20"/>
              </w:rPr>
            </w:pPr>
            <w:r>
              <w:rPr>
                <w:sz w:val="20"/>
              </w:rPr>
              <w:t>Общий объем обработки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1B69B1">
            <w:pPr>
              <w:rPr>
                <w:sz w:val="20"/>
              </w:rPr>
            </w:pPr>
            <w:r>
              <w:rPr>
                <w:sz w:val="20"/>
              </w:rPr>
              <w:t>((кол-во эталонных + кол-во дублирующих + кол-во неполно описанных + кол-во записей к выводу из эксплуатации)/ кол-во исходных записей)*100%</w:t>
            </w:r>
          </w:p>
        </w:tc>
        <w:tc>
          <w:tcPr>
            <w:tcW w:w="3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B27F38">
            <w:pPr>
              <w:rPr>
                <w:sz w:val="20"/>
              </w:rPr>
            </w:pPr>
            <w:r>
              <w:rPr>
                <w:sz w:val="20"/>
              </w:rPr>
              <w:t>Отсутствие потерь записей в процессе нормализации</w:t>
            </w:r>
          </w:p>
        </w:tc>
      </w:tr>
      <w:tr w14:paraId="66A31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6BFCD9">
            <w:pPr>
              <w:rPr>
                <w:sz w:val="20"/>
              </w:rPr>
            </w:pPr>
            <w:r>
              <w:rPr>
                <w:sz w:val="20"/>
              </w:rPr>
              <w:t>Полнота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D01528">
            <w:pPr>
              <w:rPr>
                <w:sz w:val="20"/>
              </w:rPr>
            </w:pPr>
            <w:r>
              <w:rPr>
                <w:sz w:val="20"/>
              </w:rPr>
              <w:t>(кол-во полностью заполненных записей (эталонных) / общее число записей за исключением дублирующих) * 100 %</w:t>
            </w:r>
          </w:p>
        </w:tc>
        <w:tc>
          <w:tcPr>
            <w:tcW w:w="3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C870FB">
            <w:pPr>
              <w:rPr>
                <w:sz w:val="20"/>
              </w:rPr>
            </w:pPr>
            <w:r>
              <w:rPr>
                <w:sz w:val="20"/>
              </w:rPr>
              <w:t>Доля записей, в которых все обязательные поля заполнены (эталонных).</w:t>
            </w:r>
          </w:p>
        </w:tc>
      </w:tr>
      <w:tr w14:paraId="22EAD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E9A7B6">
            <w:pPr>
              <w:rPr>
                <w:sz w:val="20"/>
              </w:rPr>
            </w:pPr>
            <w:r>
              <w:rPr>
                <w:sz w:val="20"/>
              </w:rPr>
              <w:t>Объём изменений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D3BBBF">
            <w:pPr>
              <w:rPr>
                <w:sz w:val="20"/>
              </w:rPr>
            </w:pPr>
            <w:r>
              <w:rPr>
                <w:sz w:val="20"/>
              </w:rPr>
              <w:t>(кол</w:t>
            </w:r>
            <w:r>
              <w:rPr>
                <w:sz w:val="20"/>
              </w:rPr>
              <w:noBreakHyphen/>
            </w:r>
            <w:r>
              <w:rPr>
                <w:sz w:val="20"/>
              </w:rPr>
              <w:t>во изменённых записей / общее число записей) * 100 %</w:t>
            </w:r>
          </w:p>
        </w:tc>
        <w:tc>
          <w:tcPr>
            <w:tcW w:w="3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D664EF">
            <w:pPr>
              <w:rPr>
                <w:sz w:val="20"/>
              </w:rPr>
            </w:pPr>
            <w:r>
              <w:rPr>
                <w:sz w:val="20"/>
              </w:rPr>
              <w:t>Количество записей, которые пришлось изменить/исправить во время нормализации.</w:t>
            </w:r>
          </w:p>
        </w:tc>
      </w:tr>
    </w:tbl>
    <w:p w14:paraId="254B013A"/>
    <w:p w14:paraId="497ACBD0">
      <w:pPr>
        <w:pStyle w:val="66"/>
      </w:pPr>
      <w:bookmarkStart w:id="69" w:name="_Toc210295627"/>
      <w:bookmarkStart w:id="70" w:name="_Toc211008687"/>
      <w:r>
        <w:t xml:space="preserve">9.2. Качественная оценка нормализованных </w:t>
      </w:r>
      <w:bookmarkEnd w:id="69"/>
      <w:r>
        <w:t>записей</w:t>
      </w:r>
      <w:bookmarkEnd w:id="70"/>
    </w:p>
    <w:p w14:paraId="06E9B7D1">
      <w:pPr>
        <w:pStyle w:val="67"/>
      </w:pPr>
      <w:bookmarkStart w:id="71" w:name="_Toc209201938"/>
      <w:bookmarkStart w:id="72" w:name="_Toc210295628"/>
      <w:bookmarkStart w:id="73" w:name="_Toc211008688"/>
      <w:r>
        <w:t xml:space="preserve">9.2.1. Цели проверки качества </w:t>
      </w:r>
      <w:bookmarkEnd w:id="71"/>
      <w:bookmarkEnd w:id="72"/>
      <w:r>
        <w:t>записей</w:t>
      </w:r>
      <w:bookmarkEnd w:id="73"/>
    </w:p>
    <w:p w14:paraId="4F3D8AD1">
      <w:pPr>
        <w:spacing w:after="240"/>
        <w:ind w:firstLine="709"/>
        <w:jc w:val="both"/>
      </w:pPr>
      <w:bookmarkStart w:id="74" w:name="_Toc209201940"/>
      <w:r>
        <w:t>Проверка качества данных после выполнения нормализации выполняется для подтверждения того, что цели нормализации достигнуты.</w:t>
      </w:r>
      <w:bookmarkEnd w:id="74"/>
      <w:r>
        <w:t xml:space="preserve">  Проверка качества данных осуществляется полным внутренним прямым методом: проверяется полный состав справочника с использованием исключительно информации из предоставленных данных.</w:t>
      </w:r>
    </w:p>
    <w:p w14:paraId="07034F1E">
      <w:pPr>
        <w:spacing w:after="240"/>
        <w:ind w:firstLine="709"/>
        <w:jc w:val="both"/>
      </w:pPr>
      <w:bookmarkStart w:id="75" w:name="_Toc209201941"/>
      <w:r>
        <w:t>Эталонные записи, прошедшие нормализацию, должны соответствовать правилам, указанным в таблице №22.</w:t>
      </w:r>
      <w:bookmarkEnd w:id="75"/>
    </w:p>
    <w:p w14:paraId="24FEE78D">
      <w:pPr>
        <w:ind w:firstLine="709"/>
        <w:jc w:val="right"/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</w:pPr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>Таблица 22.</w:t>
      </w:r>
    </w:p>
    <w:tbl>
      <w:tblPr>
        <w:tblStyle w:val="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2227"/>
        <w:gridCol w:w="3319"/>
        <w:gridCol w:w="3917"/>
      </w:tblGrid>
      <w:tr w14:paraId="489E6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5" w:color="auto" w:fill="auto"/>
            <w:vAlign w:val="center"/>
          </w:tcPr>
          <w:p w14:paraId="6205C1C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0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5" w:color="auto" w:fill="auto"/>
            <w:vAlign w:val="center"/>
          </w:tcPr>
          <w:p w14:paraId="11E8841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Наименование правила</w:t>
            </w:r>
          </w:p>
        </w:tc>
        <w:tc>
          <w:tcPr>
            <w:tcW w:w="1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5" w:color="auto" w:fill="auto"/>
            <w:vAlign w:val="center"/>
          </w:tcPr>
          <w:p w14:paraId="201FCC5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Требование</w:t>
            </w:r>
          </w:p>
        </w:tc>
        <w:tc>
          <w:tcPr>
            <w:tcW w:w="1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5" w:color="auto" w:fill="auto"/>
            <w:vAlign w:val="center"/>
          </w:tcPr>
          <w:p w14:paraId="7EEF97C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Примеры состава проверок</w:t>
            </w:r>
          </w:p>
        </w:tc>
      </w:tr>
      <w:tr w14:paraId="21E83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4F33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6B14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полноты данных</w:t>
            </w:r>
          </w:p>
        </w:tc>
        <w:tc>
          <w:tcPr>
            <w:tcW w:w="1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0E77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Заполнены все обязательные поля, а также дополнительная информация (при ее наличии в источнике данных)</w:t>
            </w:r>
          </w:p>
        </w:tc>
        <w:tc>
          <w:tcPr>
            <w:tcW w:w="1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D8E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Поля заполнены в полном соответствии с требованиями (см. раздел 5). По всем отсутствующим данным получено согласование Заказчика.</w:t>
            </w:r>
          </w:p>
        </w:tc>
      </w:tr>
      <w:tr w14:paraId="6A731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A73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9D4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непротиворечивости</w:t>
            </w:r>
          </w:p>
        </w:tc>
        <w:tc>
          <w:tcPr>
            <w:tcW w:w="1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882E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Данные, относящиеся к одному и тому же атрибуту или к группе атрибутов одной и той же записи, не противоречат друг другу</w:t>
            </w:r>
          </w:p>
        </w:tc>
        <w:tc>
          <w:tcPr>
            <w:tcW w:w="1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6BD2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из группы «Спецодежда» не может быть с единицей измерения литры.</w:t>
            </w:r>
          </w:p>
        </w:tc>
      </w:tr>
      <w:tr w14:paraId="0B468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80B07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FF5C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унификации</w:t>
            </w:r>
          </w:p>
        </w:tc>
        <w:tc>
          <w:tcPr>
            <w:tcW w:w="1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977F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Формат предоставления данных един для всех однотипных данных и соответствует требованиям, описанным в разделах 5 и 8</w:t>
            </w:r>
          </w:p>
        </w:tc>
        <w:tc>
          <w:tcPr>
            <w:tcW w:w="1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0D0F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Отсутствуют записи вида «карандаш синий автоматический» и «карандаш автоматический черный». Все числовые значения приведены к формату </w:t>
            </w:r>
          </w:p>
          <w:p w14:paraId="650BA8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1 000 000, 99</w:t>
            </w:r>
          </w:p>
        </w:tc>
      </w:tr>
      <w:tr w14:paraId="3B1D1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902F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5B8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идентифицируемости</w:t>
            </w:r>
          </w:p>
        </w:tc>
        <w:tc>
          <w:tcPr>
            <w:tcW w:w="1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419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 первичного ключа каждой записи справочника в виде простого или составного ключа.</w:t>
            </w:r>
          </w:p>
        </w:tc>
        <w:tc>
          <w:tcPr>
            <w:tcW w:w="1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76D6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ID</w:t>
            </w:r>
            <w:r>
              <w:rPr>
                <w:sz w:val="20"/>
                <w:szCs w:val="20"/>
              </w:rPr>
              <w:t xml:space="preserve"> указан по каждой записи, пройдена проверка на их уникальность в рамках справочника</w:t>
            </w:r>
          </w:p>
        </w:tc>
      </w:tr>
      <w:tr w14:paraId="2C224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9CF2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1A4E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отсутствия дублей</w:t>
            </w:r>
          </w:p>
        </w:tc>
        <w:tc>
          <w:tcPr>
            <w:tcW w:w="1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39C4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Дубли отсутствуют </w:t>
            </w:r>
          </w:p>
        </w:tc>
        <w:tc>
          <w:tcPr>
            <w:tcW w:w="1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22D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Поиск записи по первичным и дополнительным ключам дает единственный результат</w:t>
            </w:r>
          </w:p>
        </w:tc>
      </w:tr>
      <w:tr w14:paraId="7B0D8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2F835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CE1A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ссылочной целостности</w:t>
            </w:r>
          </w:p>
        </w:tc>
        <w:tc>
          <w:tcPr>
            <w:tcW w:w="1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E1D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Все ссылочные поля соответствуют записям в соответствующих справочниках</w:t>
            </w:r>
          </w:p>
        </w:tc>
        <w:tc>
          <w:tcPr>
            <w:tcW w:w="1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FBE1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Ссылка в поле атрибута «Страна» - РОССИЯ, соответствует записи с наименованием РОССИЯ в справочнике стран мира.</w:t>
            </w:r>
          </w:p>
        </w:tc>
      </w:tr>
      <w:tr w14:paraId="76D4A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FA57A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0211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корректности заполнения</w:t>
            </w:r>
          </w:p>
        </w:tc>
        <w:tc>
          <w:tcPr>
            <w:tcW w:w="1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7238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Данные в полях проходят проверки корректности заполнения</w:t>
            </w:r>
          </w:p>
        </w:tc>
        <w:tc>
          <w:tcPr>
            <w:tcW w:w="19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ED40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должно быть лидирующих и концевых пробелов, символы табуляции, перевода строки и возврата каретки заменены на пробел</w:t>
            </w:r>
          </w:p>
        </w:tc>
      </w:tr>
    </w:tbl>
    <w:p w14:paraId="57D31009"/>
    <w:p w14:paraId="571B0AC0">
      <w:pPr>
        <w:pStyle w:val="67"/>
      </w:pPr>
      <w:bookmarkStart w:id="76" w:name="_Toc209201942"/>
      <w:bookmarkStart w:id="77" w:name="_Toc211008689"/>
      <w:bookmarkStart w:id="78" w:name="_Toc210295629"/>
      <w:r>
        <w:t xml:space="preserve">9.2.2. Перечень контрольных </w:t>
      </w:r>
      <w:bookmarkEnd w:id="76"/>
      <w:r>
        <w:t>проверок по наименованию</w:t>
      </w:r>
      <w:bookmarkEnd w:id="77"/>
      <w:bookmarkEnd w:id="78"/>
    </w:p>
    <w:p w14:paraId="43784DA7">
      <w:pPr>
        <w:spacing w:after="240"/>
        <w:ind w:firstLine="709"/>
        <w:jc w:val="both"/>
      </w:pPr>
      <w:r>
        <w:t xml:space="preserve">Перечень и краткое описание проверок по данным справочника номенклатуры приведён в таблице №23. Критерий качества записи рассчитывается по формуле: «корректность записи» = (1- количество успешных проверок по таблице №21/ количество этих проверок) *100%. </w:t>
      </w:r>
    </w:p>
    <w:p w14:paraId="549E1FD4">
      <w:pPr>
        <w:ind w:firstLine="709"/>
        <w:jc w:val="right"/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</w:pPr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>Таблица № 23. Проверки значений справочников.</w:t>
      </w:r>
    </w:p>
    <w:tbl>
      <w:tblPr>
        <w:tblStyle w:val="32"/>
        <w:tblW w:w="99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214"/>
      </w:tblGrid>
      <w:tr w14:paraId="745A7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5" w:color="auto" w:fill="auto"/>
            <w:vAlign w:val="center"/>
          </w:tcPr>
          <w:p w14:paraId="5137EC58">
            <w:pPr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№ п.п.</w:t>
            </w:r>
          </w:p>
        </w:tc>
        <w:tc>
          <w:tcPr>
            <w:tcW w:w="9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5" w:color="auto" w:fill="auto"/>
            <w:vAlign w:val="center"/>
          </w:tcPr>
          <w:p w14:paraId="6972CE1F">
            <w:pPr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Наименование проверки</w:t>
            </w:r>
          </w:p>
        </w:tc>
      </w:tr>
      <w:tr w14:paraId="4DBB7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49944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89727">
            <w:pPr>
              <w:rPr>
                <w:sz w:val="20"/>
              </w:rPr>
            </w:pPr>
            <w:r>
              <w:rPr>
                <w:sz w:val="20"/>
              </w:rPr>
              <w:t xml:space="preserve">Пробел в начале строки </w:t>
            </w:r>
          </w:p>
        </w:tc>
      </w:tr>
      <w:tr w14:paraId="05B14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EA1C42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9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4ADA9B">
            <w:pPr>
              <w:rPr>
                <w:sz w:val="20"/>
              </w:rPr>
            </w:pPr>
            <w:r>
              <w:rPr>
                <w:sz w:val="20"/>
              </w:rPr>
              <w:t xml:space="preserve">Два и более пробелов подряд </w:t>
            </w:r>
          </w:p>
        </w:tc>
      </w:tr>
      <w:tr w14:paraId="79A58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E772A">
            <w:pPr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9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0E7B85">
            <w:pPr>
              <w:rPr>
                <w:sz w:val="20"/>
              </w:rPr>
            </w:pPr>
            <w:r>
              <w:rPr>
                <w:sz w:val="20"/>
              </w:rPr>
              <w:t>Разные раскладки клавиатуры в пределах одного значения</w:t>
            </w:r>
          </w:p>
        </w:tc>
      </w:tr>
      <w:tr w14:paraId="589B0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65B95B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9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4B832">
            <w:pPr>
              <w:rPr>
                <w:sz w:val="20"/>
              </w:rPr>
            </w:pPr>
            <w:r>
              <w:rPr>
                <w:sz w:val="20"/>
              </w:rPr>
              <w:t>В начале строки не кириллический символ</w:t>
            </w:r>
          </w:p>
        </w:tc>
      </w:tr>
      <w:tr w14:paraId="1EC3C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0FC746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9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5CB620">
            <w:pPr>
              <w:rPr>
                <w:sz w:val="20"/>
              </w:rPr>
            </w:pPr>
            <w:r>
              <w:rPr>
                <w:sz w:val="20"/>
              </w:rPr>
              <w:t>Непарные скобки или кавычки</w:t>
            </w:r>
          </w:p>
        </w:tc>
      </w:tr>
      <w:tr w14:paraId="0BDD7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BB8313">
            <w:pPr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9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A054AE">
            <w:pPr>
              <w:rPr>
                <w:sz w:val="20"/>
              </w:rPr>
            </w:pPr>
            <w:r>
              <w:rPr>
                <w:sz w:val="20"/>
              </w:rPr>
              <w:t>Возможно сократить ед. изм (упак., шт.)</w:t>
            </w:r>
          </w:p>
        </w:tc>
      </w:tr>
      <w:tr w14:paraId="6156C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0A1D17">
            <w:pPr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9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AD9EA">
            <w:pPr>
              <w:rPr>
                <w:sz w:val="20"/>
              </w:rPr>
            </w:pPr>
            <w:r>
              <w:rPr>
                <w:sz w:val="20"/>
              </w:rPr>
              <w:t>Есть пробел между числом и ед. изм, например: 2 метра</w:t>
            </w:r>
          </w:p>
        </w:tc>
      </w:tr>
      <w:tr w14:paraId="7FEC1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1A8367">
            <w:pPr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9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2FDADE">
            <w:pPr>
              <w:rPr>
                <w:sz w:val="20"/>
              </w:rPr>
            </w:pPr>
            <w:r>
              <w:rPr>
                <w:sz w:val="20"/>
              </w:rPr>
              <w:t>Единица измерения в наименовании</w:t>
            </w:r>
          </w:p>
        </w:tc>
      </w:tr>
      <w:tr w14:paraId="23AB3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6C9292">
            <w:pPr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9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3F9E5F">
            <w:pPr>
              <w:rPr>
                <w:sz w:val="20"/>
              </w:rPr>
            </w:pPr>
            <w:r>
              <w:rPr>
                <w:sz w:val="20"/>
              </w:rPr>
              <w:t>В реквизите «Наименование» – одно слово и атрибут Артикул не заполнено</w:t>
            </w:r>
          </w:p>
        </w:tc>
      </w:tr>
      <w:tr w14:paraId="48171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EAE69F">
            <w:pPr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9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50B7E2">
            <w:pPr>
              <w:rPr>
                <w:sz w:val="20"/>
              </w:rPr>
            </w:pPr>
            <w:r>
              <w:rPr>
                <w:sz w:val="20"/>
              </w:rPr>
              <w:t>В номенклатуре присутствует недопустимый символ:</w:t>
            </w:r>
          </w:p>
          <w:p w14:paraId="5B8642D0">
            <w:pPr>
              <w:rPr>
                <w:sz w:val="20"/>
              </w:rPr>
            </w:pPr>
          </w:p>
          <w:p w14:paraId="2C1A5E87">
            <w:pPr>
              <w:rPr>
                <w:sz w:val="20"/>
              </w:rPr>
            </w:pPr>
            <w:r>
              <w:rPr>
                <w:sz w:val="20"/>
              </w:rPr>
              <w:t>'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–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!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#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&amp;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;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?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@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{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|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}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~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″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&lt;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&gt;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«</w:t>
            </w:r>
          </w:p>
          <w:p w14:paraId="0465425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»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×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®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¶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…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•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½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²</w:t>
            </w:r>
            <w:r>
              <w:rPr>
                <w:sz w:val="20"/>
              </w:rPr>
              <w:tab/>
            </w:r>
            <w:r>
              <w:rPr>
                <w:rFonts w:eastAsia="MS Mincho" w:cs="MS Mincho"/>
                <w:sz w:val="20"/>
              </w:rPr>
              <w:t>㎡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Ø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™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Ѕ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і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Ј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һ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 xml:space="preserve">Ѵ 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ё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Ё</w:t>
            </w:r>
          </w:p>
          <w:p w14:paraId="79DFC492">
            <w:pPr>
              <w:rPr>
                <w:sz w:val="20"/>
              </w:rPr>
            </w:pPr>
          </w:p>
          <w:p w14:paraId="429E25A6">
            <w:pPr>
              <w:rPr>
                <w:sz w:val="20"/>
              </w:rPr>
            </w:pPr>
          </w:p>
        </w:tc>
      </w:tr>
      <w:tr w14:paraId="47A76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60D8D3">
            <w:pPr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9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6AEA32">
            <w:pPr>
              <w:rPr>
                <w:sz w:val="20"/>
              </w:rPr>
            </w:pPr>
            <w:r>
              <w:rPr>
                <w:sz w:val="20"/>
              </w:rPr>
              <w:t>Первое слово – не существительное (в соответствии с правилами русского языка, за исключением устоявшихся в отрасли словосочетаний)</w:t>
            </w:r>
          </w:p>
        </w:tc>
      </w:tr>
      <w:tr w14:paraId="5DDC0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199060">
            <w:pPr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9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C4757C">
            <w:pPr>
              <w:rPr>
                <w:sz w:val="20"/>
              </w:rPr>
            </w:pPr>
            <w:r>
              <w:rPr>
                <w:sz w:val="20"/>
              </w:rPr>
              <w:t>Наименование номенклатурной позиции начинается со строчной (маленькой) буквы</w:t>
            </w:r>
          </w:p>
        </w:tc>
      </w:tr>
      <w:tr w14:paraId="2A42C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B2DCD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9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D01F04">
            <w:pPr>
              <w:rPr>
                <w:sz w:val="20"/>
              </w:rPr>
            </w:pPr>
            <w:r>
              <w:rPr>
                <w:sz w:val="20"/>
              </w:rPr>
              <w:t>Наименование номенклатурной позиции в верхнем регистре (все значения)</w:t>
            </w:r>
          </w:p>
        </w:tc>
      </w:tr>
    </w:tbl>
    <w:p w14:paraId="520F2D83"/>
    <w:p w14:paraId="2B51D794">
      <w:pPr>
        <w:pStyle w:val="67"/>
      </w:pPr>
      <w:bookmarkStart w:id="79" w:name="_Toc210295630"/>
      <w:bookmarkStart w:id="80" w:name="_Toc211008690"/>
      <w:bookmarkStart w:id="81" w:name="_Toc209201943"/>
      <w:r>
        <w:t>9.2.3. Ключи уникальности</w:t>
      </w:r>
      <w:bookmarkEnd w:id="79"/>
      <w:bookmarkEnd w:id="80"/>
      <w:bookmarkEnd w:id="81"/>
    </w:p>
    <w:p w14:paraId="7DC80C33">
      <w:pPr>
        <w:spacing w:after="240"/>
        <w:ind w:firstLine="709"/>
        <w:jc w:val="both"/>
      </w:pPr>
      <w:r>
        <w:t>Уникальные ключи для справочника номенклатуры, а также для связанных вспомогательных справочников, приведены в Таблице №24.</w:t>
      </w:r>
    </w:p>
    <w:p w14:paraId="7E88ECA5">
      <w:pPr>
        <w:jc w:val="right"/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</w:pPr>
      <w:bookmarkStart w:id="82" w:name="_Toc209201945"/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>Таблица № 24. Ключи уникальности для справочников</w:t>
      </w:r>
      <w:bookmarkEnd w:id="82"/>
      <w:r>
        <w:rPr>
          <w:rFonts w:eastAsiaTheme="minorHAnsi"/>
          <w:i/>
          <w:iCs/>
          <w:color w:val="44546A" w:themeColor="text2"/>
          <w:sz w:val="18"/>
          <w:szCs w:val="18"/>
          <w:lang w:eastAsia="en-US"/>
          <w14:textFill>
            <w14:solidFill>
              <w14:schemeClr w14:val="tx2"/>
            </w14:solidFill>
          </w14:textFill>
        </w:rPr>
        <w:t>.</w:t>
      </w:r>
    </w:p>
    <w:tbl>
      <w:tblPr>
        <w:tblStyle w:val="7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6"/>
        <w:gridCol w:w="3039"/>
        <w:gridCol w:w="3159"/>
        <w:gridCol w:w="3333"/>
      </w:tblGrid>
      <w:tr w14:paraId="57B41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5" w:color="auto" w:fill="auto"/>
            <w:vAlign w:val="center"/>
          </w:tcPr>
          <w:p w14:paraId="65EB7A56">
            <w:pPr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14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5" w:color="auto" w:fill="auto"/>
            <w:vAlign w:val="center"/>
          </w:tcPr>
          <w:p w14:paraId="15C133F3">
            <w:pPr>
              <w:jc w:val="center"/>
              <w:rPr>
                <w:b/>
              </w:rPr>
            </w:pPr>
            <w:r>
              <w:rPr>
                <w:b/>
              </w:rPr>
              <w:t>Наименование справочника</w:t>
            </w:r>
          </w:p>
        </w:tc>
        <w:tc>
          <w:tcPr>
            <w:tcW w:w="1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5" w:color="auto" w:fill="auto"/>
            <w:vAlign w:val="center"/>
          </w:tcPr>
          <w:p w14:paraId="2FF2AAAC">
            <w:pPr>
              <w:jc w:val="center"/>
              <w:rPr>
                <w:b/>
              </w:rPr>
            </w:pPr>
            <w:r>
              <w:rPr>
                <w:b/>
              </w:rPr>
              <w:t>Описание ключа уникальности</w:t>
            </w:r>
          </w:p>
        </w:tc>
        <w:tc>
          <w:tcPr>
            <w:tcW w:w="1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pct15" w:color="auto" w:fill="auto"/>
            <w:vAlign w:val="center"/>
          </w:tcPr>
          <w:p w14:paraId="0B8A6792">
            <w:pPr>
              <w:jc w:val="center"/>
              <w:rPr>
                <w:b/>
              </w:rPr>
            </w:pPr>
            <w:r>
              <w:rPr>
                <w:b/>
              </w:rPr>
              <w:t>Примечание</w:t>
            </w:r>
          </w:p>
        </w:tc>
      </w:tr>
      <w:tr w14:paraId="1D05B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40FB64">
            <w:r>
              <w:t>1</w:t>
            </w:r>
          </w:p>
        </w:tc>
        <w:tc>
          <w:tcPr>
            <w:tcW w:w="14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F8ED6B">
            <w:r>
              <w:t>Номенклатура</w:t>
            </w:r>
          </w:p>
        </w:tc>
        <w:tc>
          <w:tcPr>
            <w:tcW w:w="1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8DD4A">
            <w:r>
              <w:t xml:space="preserve">Наименование </w:t>
            </w:r>
          </w:p>
        </w:tc>
        <w:tc>
          <w:tcPr>
            <w:tcW w:w="1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0E3B4C"/>
        </w:tc>
      </w:tr>
      <w:tr w14:paraId="708FF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DD9C20"/>
        </w:tc>
        <w:tc>
          <w:tcPr>
            <w:tcW w:w="14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BB74E8">
            <w:r>
              <w:t>Номенклатура</w:t>
            </w:r>
          </w:p>
        </w:tc>
        <w:tc>
          <w:tcPr>
            <w:tcW w:w="1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80B6BC">
            <w:r>
              <w:t>Поставщик+Артикул</w:t>
            </w:r>
          </w:p>
        </w:tc>
        <w:tc>
          <w:tcPr>
            <w:tcW w:w="1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F0497">
            <w:r>
              <w:t>Только если оба значения заполнены</w:t>
            </w:r>
          </w:p>
        </w:tc>
      </w:tr>
      <w:tr w14:paraId="0598F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69F62">
            <w:r>
              <w:t>2</w:t>
            </w:r>
          </w:p>
        </w:tc>
        <w:tc>
          <w:tcPr>
            <w:tcW w:w="14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6D62EB">
            <w:r>
              <w:t>Группа аналитического учета</w:t>
            </w:r>
          </w:p>
        </w:tc>
        <w:tc>
          <w:tcPr>
            <w:tcW w:w="1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78B5ED">
            <w:r>
              <w:t xml:space="preserve">Наименование </w:t>
            </w:r>
          </w:p>
        </w:tc>
        <w:tc>
          <w:tcPr>
            <w:tcW w:w="1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E815CB"/>
        </w:tc>
      </w:tr>
      <w:tr w14:paraId="6D6D7A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D90A6">
            <w:r>
              <w:t>3</w:t>
            </w:r>
          </w:p>
        </w:tc>
        <w:tc>
          <w:tcPr>
            <w:tcW w:w="14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531D8C">
            <w:r>
              <w:t>Единицы измерения</w:t>
            </w:r>
          </w:p>
        </w:tc>
        <w:tc>
          <w:tcPr>
            <w:tcW w:w="1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17D9F">
            <w:pPr>
              <w:rPr>
                <w:lang w:val="en-US"/>
              </w:rPr>
            </w:pPr>
            <w:r>
              <w:t>Наименование</w:t>
            </w:r>
          </w:p>
        </w:tc>
        <w:tc>
          <w:tcPr>
            <w:tcW w:w="1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5CF69B">
            <w:pPr>
              <w:rPr>
                <w:lang w:val="en-US"/>
              </w:rPr>
            </w:pPr>
          </w:p>
        </w:tc>
      </w:tr>
      <w:tr w14:paraId="1C4B3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0E5E7A">
            <w:r>
              <w:t>4</w:t>
            </w:r>
          </w:p>
        </w:tc>
        <w:tc>
          <w:tcPr>
            <w:tcW w:w="14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4B362D">
            <w:r>
              <w:t>Производитель</w:t>
            </w:r>
          </w:p>
        </w:tc>
        <w:tc>
          <w:tcPr>
            <w:tcW w:w="1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6A3D9B">
            <w:pPr>
              <w:rPr>
                <w:lang w:val="en-US"/>
              </w:rPr>
            </w:pPr>
            <w:r>
              <w:t>Наименование</w:t>
            </w:r>
          </w:p>
        </w:tc>
        <w:tc>
          <w:tcPr>
            <w:tcW w:w="1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CA3475"/>
        </w:tc>
      </w:tr>
      <w:tr w14:paraId="7C98C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35A265">
            <w:r>
              <w:t>5</w:t>
            </w:r>
          </w:p>
        </w:tc>
        <w:tc>
          <w:tcPr>
            <w:tcW w:w="14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A3C5D2">
            <w:r>
              <w:t>ОКПД 2</w:t>
            </w:r>
          </w:p>
        </w:tc>
        <w:tc>
          <w:tcPr>
            <w:tcW w:w="1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8EDEA">
            <w:pPr>
              <w:rPr>
                <w:lang w:val="en-US"/>
              </w:rPr>
            </w:pPr>
            <w:r>
              <w:t>Код</w:t>
            </w:r>
          </w:p>
        </w:tc>
        <w:tc>
          <w:tcPr>
            <w:tcW w:w="1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C2809"/>
        </w:tc>
      </w:tr>
      <w:tr w14:paraId="7E2CF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515043">
            <w:r>
              <w:t>6</w:t>
            </w:r>
          </w:p>
        </w:tc>
        <w:tc>
          <w:tcPr>
            <w:tcW w:w="14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80DC81">
            <w:r>
              <w:t>Страны мира</w:t>
            </w:r>
          </w:p>
        </w:tc>
        <w:tc>
          <w:tcPr>
            <w:tcW w:w="1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80341">
            <w:r>
              <w:t>Наименование</w:t>
            </w:r>
          </w:p>
        </w:tc>
        <w:tc>
          <w:tcPr>
            <w:tcW w:w="16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1858B"/>
        </w:tc>
      </w:tr>
    </w:tbl>
    <w:p w14:paraId="4E680CAE">
      <w:pPr>
        <w:pStyle w:val="64"/>
      </w:pPr>
      <w:bookmarkStart w:id="83" w:name="_Toc211008691"/>
      <w:r>
        <w:t>10. ПОРЯДОК КОНТРОЛЯ И ПРИЕМКИ</w:t>
      </w:r>
      <w:bookmarkEnd w:id="83"/>
    </w:p>
    <w:p w14:paraId="7981374E">
      <w:pPr>
        <w:pStyle w:val="66"/>
      </w:pPr>
      <w:bookmarkStart w:id="84" w:name="_Toc211008692"/>
      <w:r>
        <w:t>10.1. Описание порядка контроля и приемки</w:t>
      </w:r>
      <w:bookmarkEnd w:id="84"/>
    </w:p>
    <w:p w14:paraId="6D33992E">
      <w:pPr>
        <w:pStyle w:val="38"/>
        <w:numPr>
          <w:ilvl w:val="2"/>
          <w:numId w:val="47"/>
        </w:numPr>
        <w:spacing w:after="240"/>
        <w:jc w:val="both"/>
        <w:rPr>
          <w:lang w:eastAsia="en-US"/>
        </w:rPr>
      </w:pPr>
      <w:r>
        <w:rPr>
          <w:lang w:eastAsia="en-US"/>
        </w:rPr>
        <w:t>Исполнитель проводит собственную проверку результатов нормализации. Проверка осуществляется по всему массиву или по согласованной с Заказчиком части нормализованных записей. В ходе внутренней проверки Исполнителем контролируется, что запланированные мероприятия по нормализации справочника номенклатуры и вспомогательных справочников (см. п. 8 данной методики) выполнены, обработаны все исходные записи, достигнуты положительные результаты по качеству нормализации справочника номенклатуры (см. п. 9 данной методики). Результаты нормализации отражаются в «Паспорте данных». Форма «Паспорта данных» приведена в Приложении 2 к данной Методике.</w:t>
      </w:r>
    </w:p>
    <w:p w14:paraId="6F885EA3">
      <w:pPr>
        <w:pStyle w:val="38"/>
        <w:numPr>
          <w:ilvl w:val="2"/>
          <w:numId w:val="47"/>
        </w:numPr>
        <w:spacing w:after="240"/>
        <w:jc w:val="both"/>
        <w:rPr>
          <w:lang w:eastAsia="en-US"/>
        </w:rPr>
      </w:pPr>
      <w:r>
        <w:rPr>
          <w:lang w:eastAsia="en-US"/>
        </w:rPr>
        <w:t xml:space="preserve">В случае если недостатков не выявлено результаты нормализации (см. п. 10.2 данной методики) предъявляются Заказчику. </w:t>
      </w:r>
    </w:p>
    <w:p w14:paraId="5DA386D4">
      <w:pPr>
        <w:pStyle w:val="38"/>
        <w:numPr>
          <w:ilvl w:val="2"/>
          <w:numId w:val="47"/>
        </w:numPr>
        <w:spacing w:after="240"/>
        <w:jc w:val="both"/>
        <w:rPr>
          <w:lang w:eastAsia="en-US"/>
        </w:rPr>
      </w:pPr>
      <w:r>
        <w:rPr>
          <w:lang w:eastAsia="en-US"/>
        </w:rPr>
        <w:t xml:space="preserve">Заказчик и Исполнитель выполняют контроль переданных Исполнителем материалов по результатам нормализации.  За организацию контроля результатов нормализации отвечает Руководитель проекта от Надзора. Контроль выполняется с использованием данной методики нормализации, а также Стандарта Классификации. </w:t>
      </w:r>
    </w:p>
    <w:p w14:paraId="65785758">
      <w:pPr>
        <w:pStyle w:val="38"/>
        <w:numPr>
          <w:ilvl w:val="2"/>
          <w:numId w:val="47"/>
        </w:numPr>
        <w:spacing w:after="240"/>
        <w:jc w:val="both"/>
        <w:rPr>
          <w:lang w:eastAsia="en-US"/>
        </w:rPr>
      </w:pPr>
      <w:r>
        <w:rPr>
          <w:lang w:eastAsia="en-US"/>
        </w:rPr>
        <w:t xml:space="preserve">По результатам контроля оформляется Паспорт данных, в котором фиксируются: </w:t>
      </w:r>
    </w:p>
    <w:p w14:paraId="54BBAD20">
      <w:pPr>
        <w:pStyle w:val="38"/>
        <w:numPr>
          <w:ilvl w:val="0"/>
          <w:numId w:val="48"/>
        </w:numPr>
        <w:spacing w:after="240"/>
        <w:rPr>
          <w:rFonts w:eastAsiaTheme="minorEastAsia"/>
        </w:rPr>
      </w:pPr>
      <w:r>
        <w:rPr>
          <w:rFonts w:eastAsiaTheme="minorEastAsia"/>
        </w:rPr>
        <w:t xml:space="preserve">полнота переданных материалов (см. п. 10.2 данной методики); </w:t>
      </w:r>
    </w:p>
    <w:p w14:paraId="3EED7C84">
      <w:pPr>
        <w:pStyle w:val="38"/>
        <w:numPr>
          <w:ilvl w:val="0"/>
          <w:numId w:val="48"/>
        </w:numPr>
        <w:spacing w:after="240"/>
        <w:rPr>
          <w:rFonts w:eastAsiaTheme="minorEastAsia"/>
        </w:rPr>
      </w:pPr>
      <w:r>
        <w:rPr>
          <w:rFonts w:eastAsiaTheme="minorEastAsia"/>
        </w:rPr>
        <w:t>качество выполненной нормализации;</w:t>
      </w:r>
    </w:p>
    <w:p w14:paraId="37CEB044">
      <w:pPr>
        <w:pStyle w:val="38"/>
        <w:numPr>
          <w:ilvl w:val="0"/>
          <w:numId w:val="48"/>
        </w:numPr>
        <w:spacing w:after="240"/>
        <w:rPr>
          <w:rFonts w:eastAsiaTheme="minorEastAsia"/>
        </w:rPr>
      </w:pPr>
      <w:r>
        <w:rPr>
          <w:rFonts w:eastAsiaTheme="minorEastAsia"/>
        </w:rPr>
        <w:t>замечания к результатам нормализации.</w:t>
      </w:r>
    </w:p>
    <w:p w14:paraId="0C5543E8">
      <w:pPr>
        <w:pStyle w:val="38"/>
        <w:numPr>
          <w:ilvl w:val="2"/>
          <w:numId w:val="47"/>
        </w:numPr>
        <w:spacing w:after="240"/>
        <w:jc w:val="both"/>
        <w:rPr>
          <w:lang w:eastAsia="en-US"/>
        </w:rPr>
      </w:pPr>
      <w:r>
        <w:rPr>
          <w:lang w:eastAsia="en-US"/>
        </w:rPr>
        <w:t xml:space="preserve">Все зафиксированные в протоколе замечания анализируются Исполнителем, принимается решение об их устранении. </w:t>
      </w:r>
    </w:p>
    <w:p w14:paraId="5998A19B">
      <w:pPr>
        <w:pStyle w:val="38"/>
        <w:numPr>
          <w:ilvl w:val="2"/>
          <w:numId w:val="47"/>
        </w:numPr>
        <w:spacing w:after="240"/>
        <w:jc w:val="both"/>
        <w:rPr>
          <w:lang w:eastAsia="en-US"/>
        </w:rPr>
      </w:pPr>
      <w:r>
        <w:rPr>
          <w:lang w:eastAsia="en-US"/>
        </w:rPr>
        <w:t>В том случае, если замечаний к нормализации нет или замечания устранены и приняты Заказчиком, выполненная нормализация признается успешной. Результаты по итогу нормализации оформляются документально и согласовываются Заказчиком в установленном порядке, описание которого приведено в п. 5.6 Устава проекта.</w:t>
      </w:r>
    </w:p>
    <w:p w14:paraId="4F7C8DDA">
      <w:pPr>
        <w:pStyle w:val="66"/>
      </w:pPr>
      <w:bookmarkStart w:id="85" w:name="_Toc211008693"/>
      <w:r>
        <w:t>10.2. Итоговый состав передаваемых материалов по итогам нормализации</w:t>
      </w:r>
      <w:bookmarkEnd w:id="85"/>
    </w:p>
    <w:p w14:paraId="785AB62A">
      <w:pPr>
        <w:spacing w:after="240"/>
        <w:ind w:firstLine="709"/>
        <w:rPr>
          <w:lang w:eastAsia="en-US"/>
        </w:rPr>
      </w:pPr>
      <w:r>
        <w:rPr>
          <w:lang w:eastAsia="en-US"/>
        </w:rPr>
        <w:t>Результатами нормализации являются следующие материалы:</w:t>
      </w:r>
    </w:p>
    <w:p w14:paraId="4B0B5E85">
      <w:pPr>
        <w:pStyle w:val="38"/>
        <w:numPr>
          <w:ilvl w:val="0"/>
          <w:numId w:val="49"/>
        </w:numPr>
        <w:ind w:left="1276"/>
        <w:rPr>
          <w:lang w:eastAsia="en-US"/>
        </w:rPr>
      </w:pPr>
      <w:r>
        <w:rPr>
          <w:lang w:eastAsia="en-US"/>
        </w:rPr>
        <w:t>Реестр нормализованных данных номенклатуры.</w:t>
      </w:r>
    </w:p>
    <w:p w14:paraId="0E35F880">
      <w:pPr>
        <w:pStyle w:val="38"/>
        <w:numPr>
          <w:ilvl w:val="0"/>
          <w:numId w:val="49"/>
        </w:numPr>
        <w:ind w:left="1276"/>
        <w:rPr>
          <w:lang w:eastAsia="en-US"/>
        </w:rPr>
      </w:pPr>
      <w:r>
        <w:rPr>
          <w:lang w:eastAsia="en-US"/>
        </w:rPr>
        <w:t>Паспорт данных.</w:t>
      </w:r>
    </w:p>
    <w:p w14:paraId="478AF45B">
      <w:pPr>
        <w:pStyle w:val="38"/>
        <w:numPr>
          <w:ilvl w:val="0"/>
          <w:numId w:val="49"/>
        </w:numPr>
        <w:ind w:left="1276"/>
        <w:rPr>
          <w:lang w:eastAsia="en-US"/>
        </w:rPr>
      </w:pPr>
      <w:r>
        <w:rPr>
          <w:lang w:eastAsia="en-US"/>
        </w:rPr>
        <w:t xml:space="preserve">Отчет о дублирующихся записях содержащий кросс-таблицу между эталонными и дублирующимися номенклатурными позициями. </w:t>
      </w:r>
    </w:p>
    <w:p w14:paraId="38CD2731">
      <w:pPr>
        <w:pStyle w:val="38"/>
        <w:numPr>
          <w:ilvl w:val="0"/>
          <w:numId w:val="49"/>
        </w:numPr>
        <w:spacing w:after="240"/>
        <w:ind w:left="1276"/>
        <w:rPr>
          <w:lang w:eastAsia="en-US"/>
        </w:rPr>
      </w:pPr>
      <w:r>
        <w:rPr>
          <w:lang w:eastAsia="en-US"/>
        </w:rPr>
        <w:t>Правила слияния атрибутов для формирования полного и краткого наименования номенклатурных позиций.</w:t>
      </w:r>
    </w:p>
    <w:p w14:paraId="18E1EE47">
      <w:pPr>
        <w:pStyle w:val="66"/>
      </w:pPr>
      <w:bookmarkStart w:id="86" w:name="_Toc211008694"/>
      <w:r>
        <w:t>10.3. Периодичность проведения контроля и приемки</w:t>
      </w:r>
      <w:bookmarkEnd w:id="86"/>
    </w:p>
    <w:p w14:paraId="2E7EE120">
      <w:pPr>
        <w:spacing w:after="240"/>
        <w:ind w:firstLine="709"/>
      </w:pPr>
      <w:r>
        <w:t>Контроль и приемка результатов нормализации выполняется:</w:t>
      </w:r>
    </w:p>
    <w:p w14:paraId="548F5F77">
      <w:pPr>
        <w:pStyle w:val="38"/>
        <w:numPr>
          <w:ilvl w:val="0"/>
          <w:numId w:val="50"/>
        </w:numPr>
        <w:ind w:left="1276"/>
        <w:jc w:val="both"/>
        <w:rPr>
          <w:rFonts w:eastAsiaTheme="minorEastAsia"/>
        </w:rPr>
      </w:pPr>
      <w:r>
        <w:rPr>
          <w:rFonts w:eastAsiaTheme="minorEastAsia"/>
        </w:rPr>
        <w:t>После выполнения нормализации (в полном объёме);</w:t>
      </w:r>
    </w:p>
    <w:p w14:paraId="1B4E4614">
      <w:pPr>
        <w:pStyle w:val="38"/>
        <w:numPr>
          <w:ilvl w:val="0"/>
          <w:numId w:val="50"/>
        </w:numPr>
        <w:ind w:left="1276"/>
        <w:jc w:val="both"/>
        <w:rPr>
          <w:rFonts w:eastAsiaTheme="minorEastAsia"/>
        </w:rPr>
      </w:pPr>
      <w:r>
        <w:rPr>
          <w:rFonts w:eastAsiaTheme="minorEastAsia"/>
        </w:rPr>
        <w:t xml:space="preserve">После устранения замечаний Заказчика к результатам нормализации (в объёме устраненных замечаний).  </w:t>
      </w:r>
    </w:p>
    <w:p w14:paraId="24E32BAF">
      <w:pPr>
        <w:ind w:left="1800"/>
        <w:jc w:val="both"/>
        <w:rPr>
          <w:rFonts w:eastAsiaTheme="minorEastAsia"/>
        </w:rPr>
      </w:pPr>
    </w:p>
    <w:p w14:paraId="3A0F97D0">
      <w:pPr>
        <w:pStyle w:val="66"/>
      </w:pPr>
      <w:bookmarkStart w:id="87" w:name="_Toc211008695"/>
      <w:r>
        <w:t>10.4. Ответственные за проведение контроля и приемки</w:t>
      </w:r>
      <w:bookmarkEnd w:id="87"/>
    </w:p>
    <w:p w14:paraId="033FEC18">
      <w:pPr>
        <w:spacing w:after="240"/>
        <w:ind w:firstLine="709"/>
      </w:pPr>
      <w:r>
        <w:t xml:space="preserve">Ответственными за проведение контроля и приемки результатов нормализации являются:  </w:t>
      </w:r>
    </w:p>
    <w:p w14:paraId="143BA4B4">
      <w:pPr>
        <w:pStyle w:val="38"/>
        <w:numPr>
          <w:ilvl w:val="0"/>
          <w:numId w:val="50"/>
        </w:numPr>
        <w:ind w:left="1276"/>
        <w:jc w:val="both"/>
        <w:rPr>
          <w:rFonts w:eastAsiaTheme="minorEastAsia"/>
        </w:rPr>
      </w:pPr>
      <w:r>
        <w:rPr>
          <w:rFonts w:eastAsiaTheme="minorEastAsia"/>
        </w:rPr>
        <w:t>От Заказчика – в порядке, установленном в Уставе проекта.</w:t>
      </w:r>
    </w:p>
    <w:p w14:paraId="3CF92632">
      <w:pPr>
        <w:pStyle w:val="38"/>
        <w:numPr>
          <w:ilvl w:val="0"/>
          <w:numId w:val="50"/>
        </w:numPr>
        <w:ind w:left="1276"/>
        <w:jc w:val="both"/>
        <w:rPr>
          <w:rFonts w:eastAsiaTheme="minorEastAsia"/>
        </w:rPr>
      </w:pPr>
      <w:r>
        <w:rPr>
          <w:rFonts w:eastAsiaTheme="minorEastAsia"/>
        </w:rPr>
        <w:t>От Исполнителя – руководитель проекта/заместитель руководителя проекта;</w:t>
      </w:r>
    </w:p>
    <w:p w14:paraId="62AD3F22">
      <w:pPr>
        <w:spacing w:after="160" w:line="259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151B73E4">
      <w:pPr>
        <w:pStyle w:val="64"/>
      </w:pPr>
      <w:bookmarkStart w:id="88" w:name="_Toc211008696"/>
      <w:r>
        <w:t>11. ПРИЛОЖЕНИЯ</w:t>
      </w:r>
      <w:bookmarkEnd w:id="88"/>
    </w:p>
    <w:p w14:paraId="48A3BF0F">
      <w:pPr>
        <w:pStyle w:val="64"/>
      </w:pPr>
      <w:bookmarkStart w:id="89" w:name="_Toc211008697"/>
      <w:r>
        <w:t>Приложение 1: Реестр нормализованных данных номенклатуры (пример)</w:t>
      </w:r>
      <w:bookmarkEnd w:id="89"/>
      <w:r>
        <w:t xml:space="preserve"> 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5"/>
        <w:gridCol w:w="4956"/>
      </w:tblGrid>
      <w:tr w14:paraId="44268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4955" w:type="dxa"/>
            <w:shd w:val="pct15" w:color="auto" w:fill="auto"/>
            <w:vAlign w:val="center"/>
          </w:tcPr>
          <w:p w14:paraId="14C8BC60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Файл</w:t>
            </w:r>
          </w:p>
        </w:tc>
        <w:tc>
          <w:tcPr>
            <w:tcW w:w="4956" w:type="dxa"/>
            <w:shd w:val="pct15" w:color="auto" w:fill="auto"/>
            <w:vAlign w:val="center"/>
          </w:tcPr>
          <w:p w14:paraId="73EF7348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Описание</w:t>
            </w:r>
          </w:p>
        </w:tc>
      </w:tr>
      <w:tr w14:paraId="5993F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4" w:hRule="atLeast"/>
        </w:trPr>
        <w:tc>
          <w:tcPr>
            <w:tcW w:w="4955" w:type="dxa"/>
            <w:vAlign w:val="center"/>
          </w:tcPr>
          <w:p w14:paraId="15B4B2D5">
            <w:pPr>
              <w:jc w:val="center"/>
              <w:rPr>
                <w:sz w:val="20"/>
                <w:lang w:eastAsia="en-US"/>
              </w:rPr>
            </w:pPr>
            <w:r>
              <w:rPr>
                <w:sz w:val="22"/>
                <w:lang w:eastAsia="en-US"/>
              </w:rPr>
              <w:object>
                <v:shape id="_x0000_i1026" o:spt="75" type="#_x0000_t75" style="height:49.8pt;width:75.6pt;" o:ole="t" filled="f" o:preferrelative="t" stroked="f" coordsize="21600,21600">
                  <v:path/>
                  <v:fill on="f" focussize="0,0"/>
                  <v:stroke on="f" joinstyle="miter"/>
                  <v:imagedata r:id="rId16" o:title=""/>
                  <o:lock v:ext="edit" aspectratio="t"/>
                  <w10:wrap type="none"/>
                  <w10:anchorlock/>
                </v:shape>
                <o:OLEObject Type="Embed" ProgID="Excel.Sheet.12" ShapeID="_x0000_i1026" DrawAspect="Icon" ObjectID="_1468075726" r:id="rId15">
                  <o:LockedField>false</o:LockedField>
                </o:OLEObject>
              </w:object>
            </w:r>
          </w:p>
        </w:tc>
        <w:tc>
          <w:tcPr>
            <w:tcW w:w="4956" w:type="dxa"/>
            <w:vAlign w:val="center"/>
          </w:tcPr>
          <w:p w14:paraId="503D452F">
            <w:pPr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Пример реестра нормализованных данных номенклатуры</w:t>
            </w:r>
          </w:p>
        </w:tc>
      </w:tr>
    </w:tbl>
    <w:p w14:paraId="0C5B15E1"/>
    <w:p w14:paraId="6850CF5F">
      <w:pPr>
        <w:pStyle w:val="64"/>
      </w:pPr>
      <w:bookmarkStart w:id="90" w:name="_Toc211008698"/>
      <w:r>
        <w:t>Приложение 2: Паспорт данных (форма)</w:t>
      </w:r>
      <w:bookmarkEnd w:id="90"/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5"/>
        <w:gridCol w:w="4956"/>
      </w:tblGrid>
      <w:tr w14:paraId="7FBCF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7" w:hRule="atLeast"/>
        </w:trPr>
        <w:tc>
          <w:tcPr>
            <w:tcW w:w="4955" w:type="dxa"/>
            <w:shd w:val="pct15" w:color="auto" w:fill="auto"/>
            <w:vAlign w:val="center"/>
          </w:tcPr>
          <w:p w14:paraId="7F306299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Файл</w:t>
            </w:r>
          </w:p>
        </w:tc>
        <w:tc>
          <w:tcPr>
            <w:tcW w:w="4956" w:type="dxa"/>
            <w:shd w:val="pct15" w:color="auto" w:fill="auto"/>
            <w:vAlign w:val="center"/>
          </w:tcPr>
          <w:p w14:paraId="7E4387C8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Описание</w:t>
            </w:r>
          </w:p>
        </w:tc>
      </w:tr>
      <w:tr w14:paraId="084DA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4" w:hRule="atLeast"/>
        </w:trPr>
        <w:tc>
          <w:tcPr>
            <w:tcW w:w="4955" w:type="dxa"/>
            <w:vAlign w:val="center"/>
          </w:tcPr>
          <w:p w14:paraId="10136EA4">
            <w:pPr>
              <w:jc w:val="center"/>
              <w:rPr>
                <w:sz w:val="20"/>
                <w:lang w:eastAsia="en-US"/>
              </w:rPr>
            </w:pPr>
            <w:bookmarkStart w:id="91" w:name="_MON_1821450125"/>
            <w:bookmarkEnd w:id="91"/>
            <w:r>
              <w:rPr>
                <w:sz w:val="22"/>
                <w:lang w:eastAsia="en-US"/>
              </w:rPr>
              <w:object>
                <v:shape id="_x0000_i1027" o:spt="75" type="#_x0000_t75" style="height:36.6pt;width:58.2pt;" o:ole="t" filled="f" o:preferrelative="t" stroked="f" coordsize="21600,21600">
                  <v:path/>
                  <v:fill on="f" focussize="0,0"/>
                  <v:stroke on="f" joinstyle="miter"/>
                  <v:imagedata r:id="rId18" o:title=""/>
                  <o:lock v:ext="edit" aspectratio="t"/>
                  <w10:wrap type="none"/>
                  <w10:anchorlock/>
                </v:shape>
                <o:OLEObject Type="Embed" ProgID="Excel.Sheet.12" ShapeID="_x0000_i1027" DrawAspect="Icon" ObjectID="_1468075727" r:id="rId17">
                  <o:LockedField>false</o:LockedField>
                </o:OLEObject>
              </w:object>
            </w:r>
          </w:p>
        </w:tc>
        <w:tc>
          <w:tcPr>
            <w:tcW w:w="4956" w:type="dxa"/>
            <w:vAlign w:val="center"/>
          </w:tcPr>
          <w:p w14:paraId="5488345C">
            <w:pPr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Форма паспорта данных </w:t>
            </w:r>
          </w:p>
        </w:tc>
      </w:tr>
    </w:tbl>
    <w:p w14:paraId="2569D78D">
      <w:pPr>
        <w:rPr>
          <w:lang w:val="en-US" w:eastAsia="en-US"/>
        </w:rPr>
      </w:pPr>
    </w:p>
    <w:p w14:paraId="134835DB">
      <w:pPr>
        <w:pStyle w:val="64"/>
      </w:pPr>
      <w:bookmarkStart w:id="92" w:name="_Toc211008699"/>
      <w:r>
        <w:t>Приложение 3: Отчет о дублирующихся записях (пример)</w:t>
      </w:r>
      <w:bookmarkEnd w:id="92"/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5"/>
        <w:gridCol w:w="4956"/>
      </w:tblGrid>
      <w:tr w14:paraId="2472A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4955" w:type="dxa"/>
            <w:shd w:val="pct15" w:color="auto" w:fill="auto"/>
            <w:vAlign w:val="center"/>
          </w:tcPr>
          <w:p w14:paraId="53BCAEDC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Файл</w:t>
            </w:r>
          </w:p>
        </w:tc>
        <w:tc>
          <w:tcPr>
            <w:tcW w:w="4956" w:type="dxa"/>
            <w:shd w:val="pct15" w:color="auto" w:fill="auto"/>
            <w:vAlign w:val="center"/>
          </w:tcPr>
          <w:p w14:paraId="088D012C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Описание</w:t>
            </w:r>
          </w:p>
        </w:tc>
      </w:tr>
      <w:tr w14:paraId="29DB5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4" w:hRule="atLeast"/>
        </w:trPr>
        <w:tc>
          <w:tcPr>
            <w:tcW w:w="4955" w:type="dxa"/>
            <w:vAlign w:val="center"/>
          </w:tcPr>
          <w:p w14:paraId="1EC82566">
            <w:pPr>
              <w:jc w:val="center"/>
              <w:rPr>
                <w:sz w:val="20"/>
                <w:lang w:eastAsia="en-US"/>
              </w:rPr>
            </w:pPr>
            <w:r>
              <w:rPr>
                <w:sz w:val="22"/>
                <w:lang w:eastAsia="en-US"/>
              </w:rPr>
              <w:object>
                <v:shape id="_x0000_i1028" o:spt="75" type="#_x0000_t75" style="height:49.8pt;width:75.6pt;" o:ole="t" filled="f" o:preferrelative="t" stroked="f" coordsize="21600,21600">
                  <v:path/>
                  <v:fill on="f" focussize="0,0"/>
                  <v:stroke on="f" joinstyle="miter"/>
                  <v:imagedata r:id="rId20" o:title=""/>
                  <o:lock v:ext="edit" aspectratio="t"/>
                  <w10:wrap type="none"/>
                  <w10:anchorlock/>
                </v:shape>
                <o:OLEObject Type="Embed" ProgID="Excel.Sheet.12" ShapeID="_x0000_i1028" DrawAspect="Icon" ObjectID="_1468075728" r:id="rId19">
                  <o:LockedField>false</o:LockedField>
                </o:OLEObject>
              </w:object>
            </w:r>
          </w:p>
        </w:tc>
        <w:tc>
          <w:tcPr>
            <w:tcW w:w="4956" w:type="dxa"/>
            <w:vAlign w:val="center"/>
          </w:tcPr>
          <w:p w14:paraId="7F4F8CD9">
            <w:pPr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Пример отчета о дублирующихся записях</w:t>
            </w:r>
          </w:p>
        </w:tc>
      </w:tr>
    </w:tbl>
    <w:p w14:paraId="5FBAC776">
      <w:pPr>
        <w:pStyle w:val="64"/>
      </w:pPr>
      <w:bookmarkStart w:id="93" w:name="_Toc211008700"/>
      <w:r>
        <w:t>Приложение 4: Правила слияния атрибутов для номенклатуры (образец)</w:t>
      </w:r>
      <w:bookmarkEnd w:id="93"/>
    </w:p>
    <w:p w14:paraId="1806AAE3">
      <w:pPr>
        <w:spacing w:after="240"/>
        <w:jc w:val="center"/>
        <w:rPr>
          <w:b/>
          <w:bCs/>
        </w:rPr>
      </w:pPr>
      <w:r>
        <w:rPr>
          <w:b/>
          <w:bCs/>
        </w:rPr>
        <w:t>Пример документа</w:t>
      </w:r>
    </w:p>
    <w:p w14:paraId="52D67B23">
      <w:pPr>
        <w:spacing w:after="240"/>
        <w:jc w:val="center"/>
      </w:pPr>
      <w:r>
        <w:t>«Правила слияния атрибутов для номенклатуры "Диск жесткий HDD"</w:t>
      </w:r>
    </w:p>
    <w:p w14:paraId="66095784">
      <w:pPr>
        <w:spacing w:after="240"/>
        <w:rPr>
          <w:b/>
          <w:bCs/>
        </w:rPr>
      </w:pPr>
      <w:r>
        <w:rPr>
          <w:b/>
          <w:bCs/>
        </w:rPr>
        <w:t>Общие положения</w:t>
      </w:r>
    </w:p>
    <w:p w14:paraId="4C76D659">
      <w:pPr>
        <w:ind w:firstLine="709"/>
        <w:jc w:val="both"/>
      </w:pPr>
      <w:r>
        <w:t>Настоящие правила регламентируют порядок формирования наименования номенклатурной позиции "Диск жесткий HDD".</w:t>
      </w:r>
    </w:p>
    <w:p w14:paraId="3D1F5F84"/>
    <w:p w14:paraId="0609E88E">
      <w:pPr>
        <w:spacing w:after="240"/>
        <w:rPr>
          <w:b/>
          <w:bCs/>
        </w:rPr>
      </w:pPr>
      <w:r>
        <w:rPr>
          <w:b/>
          <w:bCs/>
        </w:rPr>
        <w:t>Последовательность атрибутов строго фиксирована</w:t>
      </w:r>
    </w:p>
    <w:p w14:paraId="0DA8A1C9">
      <w:pPr>
        <w:spacing w:after="240"/>
        <w:jc w:val="both"/>
      </w:pPr>
      <w:r>
        <w:rPr>
          <w:color w:val="5B9BD5" w:themeColor="accent1"/>
          <w14:textFill>
            <w14:solidFill>
              <w14:schemeClr w14:val="accent1"/>
            </w14:solidFill>
          </w14:textFill>
        </w:rPr>
        <w:t xml:space="preserve">Тип диска </w:t>
      </w:r>
      <w:r>
        <w:t xml:space="preserve">→ </w:t>
      </w:r>
      <w:r>
        <w:rPr>
          <w:color w:val="5B9BD5" w:themeColor="accent1"/>
          <w14:textFill>
            <w14:solidFill>
              <w14:schemeClr w14:val="accent1"/>
            </w14:solidFill>
          </w14:textFill>
        </w:rPr>
        <w:t xml:space="preserve">Торговая марка (бренд) </w:t>
      </w:r>
      <w:r>
        <w:t xml:space="preserve">→ </w:t>
      </w:r>
      <w:r>
        <w:rPr>
          <w:color w:val="5B9BD5" w:themeColor="accent1"/>
          <w14:textFill>
            <w14:solidFill>
              <w14:schemeClr w14:val="accent1"/>
            </w14:solidFill>
          </w14:textFill>
        </w:rPr>
        <w:t xml:space="preserve">Форм-фактор </w:t>
      </w:r>
      <w:r>
        <w:t xml:space="preserve">→ </w:t>
      </w:r>
      <w:r>
        <w:rPr>
          <w:color w:val="5B9BD5" w:themeColor="accent1"/>
          <w14:textFill>
            <w14:solidFill>
              <w14:schemeClr w14:val="accent1"/>
            </w14:solidFill>
          </w14:textFill>
        </w:rPr>
        <w:t xml:space="preserve">Объем памяти </w:t>
      </w:r>
      <w:r>
        <w:t xml:space="preserve">→ </w:t>
      </w:r>
      <w:r>
        <w:rPr>
          <w:color w:val="5B9BD5" w:themeColor="accent1"/>
          <w14:textFill>
            <w14:solidFill>
              <w14:schemeClr w14:val="accent1"/>
            </w14:solidFill>
          </w14:textFill>
        </w:rPr>
        <w:t>Интерфейс</w:t>
      </w:r>
      <w:r>
        <w:t xml:space="preserve"> → </w:t>
      </w:r>
      <w:r>
        <w:rPr>
          <w:color w:val="C55A11" w:themeColor="accent2" w:themeShade="BF"/>
        </w:rPr>
        <w:t xml:space="preserve">Пропускная способность интерфейса </w:t>
      </w:r>
      <w:r>
        <w:t xml:space="preserve">→ </w:t>
      </w:r>
      <w:r>
        <w:rPr>
          <w:color w:val="C55A11" w:themeColor="accent2" w:themeShade="BF"/>
        </w:rPr>
        <w:t xml:space="preserve">Скорость вращения шпинделя </w:t>
      </w:r>
      <w:r>
        <w:t xml:space="preserve">→ </w:t>
      </w:r>
      <w:r>
        <w:rPr>
          <w:color w:val="5B9BD5" w:themeColor="accent1"/>
          <w14:textFill>
            <w14:solidFill>
              <w14:schemeClr w14:val="accent1"/>
            </w14:solidFill>
          </w14:textFill>
        </w:rPr>
        <w:t>Артикул</w:t>
      </w:r>
      <w:r>
        <w:t>.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5"/>
        <w:gridCol w:w="4956"/>
      </w:tblGrid>
      <w:tr w14:paraId="7272A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4955" w:type="dxa"/>
            <w:shd w:val="pct15" w:color="auto" w:fill="auto"/>
            <w:vAlign w:val="center"/>
          </w:tcPr>
          <w:p w14:paraId="4394AE88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Общий алгоритм слияния для</w:t>
            </w:r>
          </w:p>
          <w:p w14:paraId="7AB9BDCC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наименования</w:t>
            </w:r>
          </w:p>
        </w:tc>
        <w:tc>
          <w:tcPr>
            <w:tcW w:w="4956" w:type="dxa"/>
            <w:shd w:val="pct15" w:color="auto" w:fill="auto"/>
            <w:vAlign w:val="center"/>
          </w:tcPr>
          <w:p w14:paraId="1BA4E8D5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Общий алгоритм слияния для</w:t>
            </w:r>
          </w:p>
          <w:p w14:paraId="42B34534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наименования полного</w:t>
            </w:r>
          </w:p>
        </w:tc>
      </w:tr>
      <w:tr w14:paraId="31C60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5" w:type="dxa"/>
          </w:tcPr>
          <w:p w14:paraId="6FAE5044">
            <w:pPr>
              <w:spacing w:before="240" w:after="240"/>
              <w:rPr>
                <w:sz w:val="20"/>
              </w:rPr>
            </w:pPr>
            <w:r>
              <w:rPr>
                <w:sz w:val="20"/>
              </w:rPr>
              <w:t>1) Проверить наличие всех обязательных атрибутов:</w:t>
            </w:r>
          </w:p>
          <w:p w14:paraId="3459A820">
            <w:pPr>
              <w:spacing w:after="240"/>
              <w:rPr>
                <w:sz w:val="20"/>
              </w:rPr>
            </w:pPr>
            <w:r>
              <w:rPr>
                <w:color w:val="5B9BD5" w:themeColor="accent1"/>
                <w:sz w:val="20"/>
                <w14:textFill>
                  <w14:solidFill>
                    <w14:schemeClr w14:val="accent1"/>
                  </w14:solidFill>
                </w14:textFill>
              </w:rPr>
              <w:t>Тип диска, Торговая марка (бренд), Форм-фактор, Объем памяти, Интерфейс, Артикул</w:t>
            </w:r>
          </w:p>
        </w:tc>
        <w:tc>
          <w:tcPr>
            <w:tcW w:w="4956" w:type="dxa"/>
          </w:tcPr>
          <w:p w14:paraId="64FD40A5">
            <w:pPr>
              <w:spacing w:before="240" w:after="240"/>
              <w:rPr>
                <w:sz w:val="20"/>
              </w:rPr>
            </w:pPr>
            <w:r>
              <w:rPr>
                <w:sz w:val="20"/>
              </w:rPr>
              <w:t>1) Проверить наличие всех обязательных и дополнительных атрибутов:</w:t>
            </w:r>
          </w:p>
          <w:p w14:paraId="6E93A8F7">
            <w:pPr>
              <w:spacing w:after="240"/>
              <w:rPr>
                <w:b/>
                <w:bCs/>
                <w:sz w:val="20"/>
              </w:rPr>
            </w:pPr>
            <w:r>
              <w:rPr>
                <w:color w:val="5B9BD5" w:themeColor="accent1"/>
                <w:sz w:val="20"/>
                <w14:textFill>
                  <w14:solidFill>
                    <w14:schemeClr w14:val="accent1"/>
                  </w14:solidFill>
                </w14:textFill>
              </w:rPr>
              <w:t xml:space="preserve">Тип диска, Торговая марка (бренд), Форм-фактор, Объем памяти, Интерфейс, </w:t>
            </w:r>
            <w:r>
              <w:rPr>
                <w:color w:val="C55A11" w:themeColor="accent2" w:themeShade="BF"/>
                <w:sz w:val="20"/>
              </w:rPr>
              <w:t xml:space="preserve">Пропускная способность интерфейса, Скорость вращения шпинделя, </w:t>
            </w:r>
            <w:r>
              <w:rPr>
                <w:color w:val="5B9BD5" w:themeColor="accent1"/>
                <w:sz w:val="20"/>
                <w14:textFill>
                  <w14:solidFill>
                    <w14:schemeClr w14:val="accent1"/>
                  </w14:solidFill>
                </w14:textFill>
              </w:rPr>
              <w:t>Артикул</w:t>
            </w:r>
          </w:p>
        </w:tc>
      </w:tr>
      <w:tr w14:paraId="32EA2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5" w:type="dxa"/>
          </w:tcPr>
          <w:p w14:paraId="4AA1217C">
            <w:pPr>
              <w:spacing w:before="240" w:after="240"/>
              <w:rPr>
                <w:sz w:val="20"/>
              </w:rPr>
            </w:pPr>
            <w:r>
              <w:rPr>
                <w:sz w:val="20"/>
              </w:rPr>
              <w:t xml:space="preserve">2) Объединить атрибуты в строгой последовательности через пробел: </w:t>
            </w:r>
          </w:p>
          <w:p w14:paraId="1520C905">
            <w:pPr>
              <w:spacing w:after="240"/>
              <w:rPr>
                <w:sz w:val="20"/>
              </w:rPr>
            </w:pPr>
            <w:r>
              <w:rPr>
                <w:sz w:val="20"/>
              </w:rPr>
              <w:t>[Тип диска] [Торговая марка (бренд)] [Форм-фактор] [Объем памяти (Тб)] [Артикул]</w:t>
            </w:r>
          </w:p>
        </w:tc>
        <w:tc>
          <w:tcPr>
            <w:tcW w:w="4956" w:type="dxa"/>
          </w:tcPr>
          <w:p w14:paraId="13189F06">
            <w:pPr>
              <w:spacing w:before="240" w:after="240"/>
              <w:rPr>
                <w:sz w:val="20"/>
              </w:rPr>
            </w:pPr>
            <w:r>
              <w:rPr>
                <w:sz w:val="20"/>
              </w:rPr>
              <w:t xml:space="preserve">2) Объединить атрибуты в строгой последовательности через пробел: </w:t>
            </w:r>
          </w:p>
          <w:p w14:paraId="25CC8A80">
            <w:pPr>
              <w:spacing w:after="240"/>
              <w:rPr>
                <w:color w:val="C55A11" w:themeColor="accent2" w:themeShade="BF"/>
                <w:sz w:val="20"/>
              </w:rPr>
            </w:pPr>
            <w:r>
              <w:rPr>
                <w:sz w:val="20"/>
              </w:rPr>
              <w:t>[Тип диска] [Торговая марка (бренд)] [Форм-фактор] [Объем памяти (Тб)] [Пропускная способность интерфейса (Гб/с)] [Скорость вращения шпинделя (об/мин)] [Артикул]</w:t>
            </w:r>
          </w:p>
        </w:tc>
      </w:tr>
      <w:tr w14:paraId="42351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5" w:type="dxa"/>
          </w:tcPr>
          <w:p w14:paraId="20470969">
            <w:pPr>
              <w:tabs>
                <w:tab w:val="left" w:pos="993"/>
              </w:tabs>
              <w:spacing w:before="240" w:after="160" w:line="278" w:lineRule="auto"/>
              <w:rPr>
                <w:sz w:val="20"/>
              </w:rPr>
            </w:pPr>
            <w:r>
              <w:rPr>
                <w:sz w:val="20"/>
              </w:rPr>
              <w:t>3) На основе входных данных формируется строка:</w:t>
            </w:r>
          </w:p>
          <w:p w14:paraId="5BF9E231">
            <w:pPr>
              <w:tabs>
                <w:tab w:val="left" w:pos="993"/>
              </w:tabs>
              <w:spacing w:before="240" w:after="160" w:line="278" w:lineRule="auto"/>
              <w:rPr>
                <w:i/>
                <w:iCs/>
                <w:sz w:val="20"/>
                <w:lang w:val="en-US"/>
              </w:rPr>
            </w:pPr>
            <w:r>
              <w:rPr>
                <w:i/>
                <w:iCs/>
                <w:sz w:val="20"/>
              </w:rPr>
              <w:t>Диск</w:t>
            </w:r>
            <w:r>
              <w:rPr>
                <w:i/>
                <w:iCs/>
                <w:sz w:val="20"/>
                <w:lang w:val="en-US"/>
              </w:rPr>
              <w:t xml:space="preserve"> </w:t>
            </w:r>
            <w:r>
              <w:rPr>
                <w:i/>
                <w:iCs/>
                <w:sz w:val="20"/>
              </w:rPr>
              <w:t>жесткий</w:t>
            </w:r>
            <w:r>
              <w:rPr>
                <w:i/>
                <w:iCs/>
                <w:sz w:val="20"/>
                <w:lang w:val="en-US"/>
              </w:rPr>
              <w:t xml:space="preserve"> HDD Western Digital 2,5" 4</w:t>
            </w:r>
            <w:r>
              <w:rPr>
                <w:i/>
                <w:iCs/>
                <w:sz w:val="20"/>
              </w:rPr>
              <w:t>Тб</w:t>
            </w:r>
            <w:r>
              <w:rPr>
                <w:i/>
                <w:iCs/>
                <w:sz w:val="20"/>
                <w:lang w:val="en-US"/>
              </w:rPr>
              <w:t xml:space="preserve"> SATAIII ST4000LM024</w:t>
            </w:r>
          </w:p>
        </w:tc>
        <w:tc>
          <w:tcPr>
            <w:tcW w:w="4956" w:type="dxa"/>
          </w:tcPr>
          <w:p w14:paraId="41AC7D62">
            <w:pPr>
              <w:tabs>
                <w:tab w:val="left" w:pos="993"/>
              </w:tabs>
              <w:spacing w:before="240" w:after="160" w:line="278" w:lineRule="auto"/>
              <w:rPr>
                <w:sz w:val="20"/>
              </w:rPr>
            </w:pPr>
            <w:r>
              <w:rPr>
                <w:sz w:val="20"/>
              </w:rPr>
              <w:t>3) На основе входных данных формируется строка:</w:t>
            </w:r>
          </w:p>
          <w:p w14:paraId="1C674E57">
            <w:pPr>
              <w:spacing w:after="240"/>
              <w:rPr>
                <w:b/>
                <w:bCs/>
                <w:sz w:val="20"/>
              </w:rPr>
            </w:pPr>
            <w:r>
              <w:rPr>
                <w:i/>
                <w:iCs/>
                <w:sz w:val="20"/>
              </w:rPr>
              <w:t xml:space="preserve">Диск жесткий </w:t>
            </w:r>
            <w:r>
              <w:rPr>
                <w:i/>
                <w:iCs/>
                <w:sz w:val="20"/>
                <w:lang w:val="en-US"/>
              </w:rPr>
              <w:t>HDD</w:t>
            </w:r>
            <w:r>
              <w:rPr>
                <w:i/>
                <w:iCs/>
                <w:sz w:val="20"/>
              </w:rPr>
              <w:t xml:space="preserve"> </w:t>
            </w:r>
            <w:r>
              <w:rPr>
                <w:i/>
                <w:iCs/>
                <w:sz w:val="20"/>
                <w:lang w:val="en-US"/>
              </w:rPr>
              <w:t>Western</w:t>
            </w:r>
            <w:r>
              <w:rPr>
                <w:i/>
                <w:iCs/>
                <w:sz w:val="20"/>
              </w:rPr>
              <w:t xml:space="preserve"> </w:t>
            </w:r>
            <w:r>
              <w:rPr>
                <w:i/>
                <w:iCs/>
                <w:sz w:val="20"/>
                <w:lang w:val="en-US"/>
              </w:rPr>
              <w:t>Digital</w:t>
            </w:r>
            <w:r>
              <w:rPr>
                <w:i/>
                <w:iCs/>
                <w:sz w:val="20"/>
              </w:rPr>
              <w:t xml:space="preserve"> 2,5" 4Тб </w:t>
            </w:r>
            <w:r>
              <w:rPr>
                <w:i/>
                <w:iCs/>
                <w:sz w:val="20"/>
                <w:lang w:val="en-US"/>
              </w:rPr>
              <w:t>SATAIII</w:t>
            </w:r>
            <w:r>
              <w:rPr>
                <w:i/>
                <w:iCs/>
                <w:sz w:val="20"/>
              </w:rPr>
              <w:t xml:space="preserve"> 6Гб/с 5400об/мин </w:t>
            </w:r>
            <w:r>
              <w:rPr>
                <w:i/>
                <w:iCs/>
                <w:sz w:val="20"/>
                <w:lang w:val="en-US"/>
              </w:rPr>
              <w:t>ST</w:t>
            </w:r>
            <w:r>
              <w:rPr>
                <w:i/>
                <w:iCs/>
                <w:sz w:val="20"/>
              </w:rPr>
              <w:t>4000</w:t>
            </w:r>
            <w:r>
              <w:rPr>
                <w:i/>
                <w:iCs/>
                <w:sz w:val="20"/>
                <w:lang w:val="en-US"/>
              </w:rPr>
              <w:t>LM</w:t>
            </w:r>
            <w:r>
              <w:rPr>
                <w:i/>
                <w:iCs/>
                <w:sz w:val="20"/>
              </w:rPr>
              <w:t>024</w:t>
            </w:r>
          </w:p>
        </w:tc>
      </w:tr>
    </w:tbl>
    <w:p w14:paraId="3F072A75">
      <w:pPr>
        <w:pStyle w:val="64"/>
      </w:pPr>
      <w:bookmarkStart w:id="94" w:name="_Toc211008701"/>
      <w:r>
        <w:t>Приложение 5: Шаблон класса (пример)</w:t>
      </w:r>
      <w:bookmarkEnd w:id="94"/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5"/>
        <w:gridCol w:w="4956"/>
      </w:tblGrid>
      <w:tr w14:paraId="694F5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4955" w:type="dxa"/>
            <w:shd w:val="pct15" w:color="auto" w:fill="auto"/>
            <w:vAlign w:val="center"/>
          </w:tcPr>
          <w:p w14:paraId="10F4B189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Файл</w:t>
            </w:r>
          </w:p>
        </w:tc>
        <w:tc>
          <w:tcPr>
            <w:tcW w:w="4956" w:type="dxa"/>
            <w:shd w:val="pct15" w:color="auto" w:fill="auto"/>
            <w:vAlign w:val="center"/>
          </w:tcPr>
          <w:p w14:paraId="164B7EE2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Описание</w:t>
            </w:r>
          </w:p>
        </w:tc>
      </w:tr>
      <w:tr w14:paraId="0AA6B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4" w:hRule="atLeast"/>
        </w:trPr>
        <w:tc>
          <w:tcPr>
            <w:tcW w:w="4955" w:type="dxa"/>
            <w:vAlign w:val="center"/>
          </w:tcPr>
          <w:p w14:paraId="24585502">
            <w:pPr>
              <w:jc w:val="center"/>
              <w:rPr>
                <w:sz w:val="20"/>
                <w:lang w:eastAsia="en-US"/>
              </w:rPr>
            </w:pPr>
            <w:bookmarkStart w:id="95" w:name="_MON_1821450011"/>
            <w:bookmarkEnd w:id="95"/>
            <w:r>
              <w:rPr>
                <w:sz w:val="22"/>
                <w:lang w:eastAsia="en-US"/>
              </w:rPr>
              <w:object>
                <v:shape id="_x0000_i1029" o:spt="75" type="#_x0000_t75" style="height:36.6pt;width:58.2pt;" o:ole="t" filled="f" o:preferrelative="t" stroked="f" coordsize="21600,21600">
                  <v:path/>
                  <v:fill on="f" focussize="0,0"/>
                  <v:stroke on="f" joinstyle="miter"/>
                  <v:imagedata r:id="rId22" o:title=""/>
                  <o:lock v:ext="edit" aspectratio="t"/>
                  <w10:wrap type="none"/>
                  <w10:anchorlock/>
                </v:shape>
                <o:OLEObject Type="Embed" ProgID="Excel.Sheet.12" ShapeID="_x0000_i1029" DrawAspect="Icon" ObjectID="_1468075729" r:id="rId21">
                  <o:LockedField>false</o:LockedField>
                </o:OLEObject>
              </w:object>
            </w:r>
          </w:p>
        </w:tc>
        <w:tc>
          <w:tcPr>
            <w:tcW w:w="4956" w:type="dxa"/>
            <w:vAlign w:val="center"/>
          </w:tcPr>
          <w:p w14:paraId="6BC1F37C">
            <w:pPr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Пример шаблона класса</w:t>
            </w:r>
          </w:p>
        </w:tc>
      </w:tr>
    </w:tbl>
    <w:p w14:paraId="1F80A512">
      <w:pPr>
        <w:pStyle w:val="64"/>
      </w:pPr>
      <w:bookmarkStart w:id="96" w:name="_Toc211008702"/>
      <w:r>
        <w:t>Приложение 6: Перечень групп материалов</w:t>
      </w:r>
      <w:bookmarkEnd w:id="96"/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5"/>
        <w:gridCol w:w="4956"/>
      </w:tblGrid>
      <w:tr w14:paraId="7C27E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4955" w:type="dxa"/>
            <w:shd w:val="pct15" w:color="auto" w:fill="auto"/>
            <w:vAlign w:val="center"/>
          </w:tcPr>
          <w:p w14:paraId="25496D7F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Файл</w:t>
            </w:r>
          </w:p>
        </w:tc>
        <w:tc>
          <w:tcPr>
            <w:tcW w:w="4956" w:type="dxa"/>
            <w:shd w:val="pct15" w:color="auto" w:fill="auto"/>
            <w:vAlign w:val="center"/>
          </w:tcPr>
          <w:p w14:paraId="0CFA5F55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Описание</w:t>
            </w:r>
          </w:p>
        </w:tc>
      </w:tr>
      <w:tr w14:paraId="3EB6D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4" w:hRule="atLeast"/>
        </w:trPr>
        <w:tc>
          <w:tcPr>
            <w:tcW w:w="4955" w:type="dxa"/>
            <w:vAlign w:val="center"/>
          </w:tcPr>
          <w:p w14:paraId="22510B83">
            <w:pPr>
              <w:jc w:val="center"/>
              <w:rPr>
                <w:sz w:val="20"/>
                <w:lang w:eastAsia="en-US"/>
              </w:rPr>
            </w:pPr>
            <w:bookmarkStart w:id="97" w:name="_MON_1821509741"/>
            <w:bookmarkEnd w:id="97"/>
            <w:r>
              <w:rPr>
                <w:sz w:val="22"/>
                <w:lang w:eastAsia="en-US"/>
              </w:rPr>
              <w:object>
                <v:shape id="_x0000_i1030" o:spt="75" type="#_x0000_t75" style="height:49.8pt;width:75.6pt;" o:ole="t" filled="f" o:preferrelative="t" stroked="f" coordsize="21600,21600">
                  <v:path/>
                  <v:fill on="f" focussize="0,0"/>
                  <v:stroke on="f" joinstyle="miter"/>
                  <v:imagedata r:id="rId24" o:title=""/>
                  <o:lock v:ext="edit" aspectratio="t"/>
                  <w10:wrap type="none"/>
                  <w10:anchorlock/>
                </v:shape>
                <o:OLEObject Type="Embed" ProgID="Word.Document.12" ShapeID="_x0000_i1030" DrawAspect="Icon" ObjectID="_1468075730" r:id="rId23">
                  <o:LockedField>false</o:LockedField>
                </o:OLEObject>
              </w:object>
            </w:r>
          </w:p>
        </w:tc>
        <w:tc>
          <w:tcPr>
            <w:tcW w:w="4956" w:type="dxa"/>
            <w:vAlign w:val="center"/>
          </w:tcPr>
          <w:p w14:paraId="662DA778">
            <w:pPr>
              <w:rPr>
                <w:sz w:val="20"/>
              </w:rPr>
            </w:pPr>
            <w:r>
              <w:rPr>
                <w:sz w:val="20"/>
              </w:rPr>
              <w:t>Перечень групп материалов, в наименованиях которых не указывается торговая марка (бренд), модель, версия, серия, артикул и производитель.</w:t>
            </w:r>
          </w:p>
          <w:p w14:paraId="1A3357AA">
            <w:pPr>
              <w:rPr>
                <w:sz w:val="20"/>
              </w:rPr>
            </w:pPr>
            <w:r>
              <w:rPr>
                <w:sz w:val="20"/>
              </w:rPr>
              <w:t>Приведенный перечень может быть расширен в процессе нормализации и ведения справочника номенклатуры.</w:t>
            </w:r>
          </w:p>
        </w:tc>
      </w:tr>
    </w:tbl>
    <w:p w14:paraId="0814F5FA">
      <w:pPr>
        <w:rPr>
          <w:lang w:eastAsia="en-US"/>
        </w:rPr>
      </w:pPr>
    </w:p>
    <w:p w14:paraId="221196CA">
      <w:pPr>
        <w:pStyle w:val="64"/>
      </w:pPr>
      <w:bookmarkStart w:id="98" w:name="_Toc211008703"/>
      <w:r>
        <w:t>Приложение 7: Общепринятые обозначения единиц измерения</w:t>
      </w:r>
      <w:bookmarkEnd w:id="98"/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5"/>
        <w:gridCol w:w="4956"/>
      </w:tblGrid>
      <w:tr w14:paraId="53E15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4955" w:type="dxa"/>
            <w:shd w:val="pct15" w:color="auto" w:fill="auto"/>
            <w:vAlign w:val="center"/>
          </w:tcPr>
          <w:p w14:paraId="17D2858C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Файл</w:t>
            </w:r>
          </w:p>
        </w:tc>
        <w:tc>
          <w:tcPr>
            <w:tcW w:w="4956" w:type="dxa"/>
            <w:shd w:val="pct15" w:color="auto" w:fill="auto"/>
            <w:vAlign w:val="center"/>
          </w:tcPr>
          <w:p w14:paraId="025A0E40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Описание</w:t>
            </w:r>
          </w:p>
        </w:tc>
      </w:tr>
      <w:tr w14:paraId="11C34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4" w:hRule="atLeast"/>
        </w:trPr>
        <w:tc>
          <w:tcPr>
            <w:tcW w:w="4955" w:type="dxa"/>
            <w:vAlign w:val="center"/>
          </w:tcPr>
          <w:p w14:paraId="07E6D5A5">
            <w:pPr>
              <w:jc w:val="center"/>
              <w:rPr>
                <w:sz w:val="20"/>
                <w:lang w:eastAsia="en-US"/>
              </w:rPr>
            </w:pPr>
            <w:bookmarkStart w:id="99" w:name="_MON_1821509764"/>
            <w:bookmarkEnd w:id="99"/>
            <w:r>
              <w:rPr>
                <w:sz w:val="22"/>
                <w:lang w:eastAsia="en-US"/>
              </w:rPr>
              <w:object>
                <v:shape id="_x0000_i1031" o:spt="75" type="#_x0000_t75" style="height:49.8pt;width:75.6pt;" o:ole="t" filled="f" o:preferrelative="t" stroked="f" coordsize="21600,21600">
                  <v:path/>
                  <v:fill on="f" focussize="0,0"/>
                  <v:stroke on="f" joinstyle="miter"/>
                  <v:imagedata r:id="rId26" o:title=""/>
                  <o:lock v:ext="edit" aspectratio="t"/>
                  <w10:wrap type="none"/>
                  <w10:anchorlock/>
                </v:shape>
                <o:OLEObject Type="Embed" ProgID="Word.Document.12" ShapeID="_x0000_i1031" DrawAspect="Icon" ObjectID="_1468075731" r:id="rId25">
                  <o:LockedField>false</o:LockedField>
                </o:OLEObject>
              </w:object>
            </w:r>
          </w:p>
        </w:tc>
        <w:tc>
          <w:tcPr>
            <w:tcW w:w="4956" w:type="dxa"/>
            <w:vAlign w:val="center"/>
          </w:tcPr>
          <w:p w14:paraId="1CFC5A8B">
            <w:pPr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Перечень общепринятых обозначений единиц измерения для использования в наименованиях номенклатурных позиций.</w:t>
            </w:r>
          </w:p>
          <w:p w14:paraId="3D9ED7A2">
            <w:pPr>
              <w:rPr>
                <w:sz w:val="20"/>
                <w:lang w:eastAsia="en-US"/>
              </w:rPr>
            </w:pPr>
            <w:r>
              <w:rPr>
                <w:sz w:val="20"/>
              </w:rPr>
              <w:t>Приведенный перечень может быть расширен в процессе нормализации и ведения справочника номенклатуры.</w:t>
            </w:r>
          </w:p>
        </w:tc>
      </w:tr>
    </w:tbl>
    <w:p w14:paraId="0A937E71">
      <w:pPr>
        <w:rPr>
          <w:lang w:eastAsia="en-US"/>
        </w:rPr>
      </w:pPr>
    </w:p>
    <w:p w14:paraId="2C6631BB">
      <w:pPr>
        <w:pStyle w:val="64"/>
      </w:pPr>
      <w:bookmarkStart w:id="100" w:name="_Toc211008704"/>
      <w:r>
        <w:t>Приложение 8: Общероссийский классификатор единиц измерения</w:t>
      </w:r>
      <w:bookmarkEnd w:id="100"/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5"/>
        <w:gridCol w:w="4956"/>
      </w:tblGrid>
      <w:tr w14:paraId="586A7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4955" w:type="dxa"/>
            <w:shd w:val="pct15" w:color="auto" w:fill="auto"/>
            <w:vAlign w:val="center"/>
          </w:tcPr>
          <w:p w14:paraId="678E92B2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Файл</w:t>
            </w:r>
          </w:p>
        </w:tc>
        <w:tc>
          <w:tcPr>
            <w:tcW w:w="4956" w:type="dxa"/>
            <w:shd w:val="pct15" w:color="auto" w:fill="auto"/>
            <w:vAlign w:val="center"/>
          </w:tcPr>
          <w:p w14:paraId="639EA69B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Описание</w:t>
            </w:r>
          </w:p>
        </w:tc>
      </w:tr>
      <w:tr w14:paraId="4CE4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4" w:hRule="atLeast"/>
        </w:trPr>
        <w:tc>
          <w:tcPr>
            <w:tcW w:w="4955" w:type="dxa"/>
            <w:vAlign w:val="center"/>
          </w:tcPr>
          <w:p w14:paraId="066644E9">
            <w:pPr>
              <w:jc w:val="center"/>
              <w:rPr>
                <w:sz w:val="20"/>
                <w:lang w:eastAsia="en-US"/>
              </w:rPr>
            </w:pPr>
            <w:r>
              <w:rPr>
                <w:sz w:val="22"/>
                <w:lang w:eastAsia="en-US"/>
              </w:rPr>
              <w:object>
                <v:shape id="_x0000_i1032" o:spt="75" type="#_x0000_t75" style="height:49.8pt;width:75.6pt;" o:ole="t" filled="f" o:preferrelative="t" stroked="f" coordsize="21600,21600">
                  <v:path/>
                  <v:fill on="f" focussize="0,0"/>
                  <v:stroke on="f" joinstyle="miter"/>
                  <v:imagedata r:id="rId28" o:title=""/>
                  <o:lock v:ext="edit" aspectratio="t"/>
                  <w10:wrap type="none"/>
                  <w10:anchorlock/>
                </v:shape>
                <o:OLEObject Type="Embed" ProgID="Excel.Sheet.12" ShapeID="_x0000_i1032" DrawAspect="Icon" ObjectID="_1468075732" r:id="rId27">
                  <o:LockedField>false</o:LockedField>
                </o:OLEObject>
              </w:object>
            </w:r>
          </w:p>
        </w:tc>
        <w:tc>
          <w:tcPr>
            <w:tcW w:w="4956" w:type="dxa"/>
            <w:vAlign w:val="center"/>
          </w:tcPr>
          <w:p w14:paraId="1C6E41F0">
            <w:pPr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Общероссийский классификатор единиц измерения</w:t>
            </w:r>
          </w:p>
        </w:tc>
      </w:tr>
    </w:tbl>
    <w:p w14:paraId="6FCB91D4">
      <w:pPr>
        <w:rPr>
          <w:lang w:eastAsia="en-US"/>
        </w:rPr>
      </w:pPr>
    </w:p>
    <w:p w14:paraId="393AB02D">
      <w:pPr>
        <w:rPr>
          <w:lang w:eastAsia="en-US"/>
        </w:rPr>
      </w:pPr>
    </w:p>
    <w:p w14:paraId="7A62E564">
      <w:pPr>
        <w:spacing w:after="240"/>
        <w:rPr>
          <w:b/>
          <w:bCs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851" w:bottom="1701" w:left="1134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CC"/>
    <w:family w:val="roman"/>
    <w:pitch w:val="default"/>
    <w:sig w:usb0="00000287" w:usb1="000000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66809"/>
  <w:tbl>
    <w:tblPr>
      <w:tblStyle w:val="7"/>
      <w:tblW w:w="5000" w:type="pct"/>
      <w:tblInd w:w="-5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481"/>
      <w:gridCol w:w="1062"/>
      <w:gridCol w:w="2108"/>
      <w:gridCol w:w="3486"/>
    </w:tblGrid>
    <w:tr w14:paraId="214D666F">
      <w:tc>
        <w:tcPr>
          <w:tcW w:w="2241" w:type="pct"/>
          <w:gridSpan w:val="2"/>
        </w:tcPr>
        <w:p w14:paraId="1B621E67">
          <w:pPr>
            <w:rPr>
              <w:rFonts w:ascii="Arial" w:hAnsi="Arial" w:cs="Arial" w:eastAsiaTheme="minorHAnsi"/>
              <w:color w:val="14324B"/>
              <w:szCs w:val="22"/>
              <w:lang w:eastAsia="en-US"/>
            </w:rPr>
          </w:pPr>
          <w:r>
            <w:rPr>
              <w:rFonts w:ascii="Arial" w:hAnsi="Arial" w:cs="Arial" w:eastAsiaTheme="minorHAnsi"/>
              <w:color w:val="14324B"/>
              <w:szCs w:val="22"/>
              <w:lang w:eastAsia="en-US"/>
            </w:rPr>
            <w:t xml:space="preserve">                         ООО Градум</w:t>
          </w:r>
          <w:r>
            <w:rPr>
              <w:rFonts w:ascii="Arial" w:hAnsi="Arial" w:cs="Arial" w:eastAsiaTheme="minorHAnsi"/>
              <w:color w:val="FFFFFF" w:themeColor="background1"/>
              <w:szCs w:val="22"/>
              <w:lang w:eastAsia="en-US"/>
              <w14:textFill>
                <w14:solidFill>
                  <w14:schemeClr w14:val="bg1"/>
                </w14:solidFill>
              </w14:textFill>
            </w:rPr>
            <w:t>»</w:t>
          </w:r>
        </w:p>
      </w:tc>
      <w:tc>
        <w:tcPr>
          <w:tcW w:w="1040" w:type="pct"/>
        </w:tcPr>
        <w:p w14:paraId="1E351615">
          <w:pPr>
            <w:ind w:firstLine="567"/>
            <w:jc w:val="center"/>
            <w:rPr>
              <w:rFonts w:ascii="Arial" w:hAnsi="Arial" w:cs="Arial" w:eastAsiaTheme="minorHAnsi"/>
              <w:szCs w:val="22"/>
              <w:lang w:eastAsia="en-US"/>
            </w:rPr>
          </w:pPr>
        </w:p>
      </w:tc>
      <w:tc>
        <w:tcPr>
          <w:tcW w:w="1719" w:type="pct"/>
        </w:tcPr>
        <w:p w14:paraId="759CF419">
          <w:pPr>
            <w:ind w:firstLine="567"/>
            <w:jc w:val="right"/>
            <w:rPr>
              <w:rFonts w:ascii="Arial" w:hAnsi="Arial" w:cs="Arial" w:eastAsiaTheme="minorHAnsi"/>
              <w:color w:val="14324B"/>
              <w:szCs w:val="22"/>
              <w:lang w:eastAsia="en-US"/>
            </w:rPr>
          </w:pPr>
          <w:r>
            <w:rPr>
              <w:rFonts w:ascii="Arial" w:hAnsi="Arial" w:cs="Arial" w:eastAsiaTheme="minorHAnsi"/>
              <w:color w:val="14324B"/>
              <w:szCs w:val="22"/>
              <w:lang w:eastAsia="en-US"/>
            </w:rPr>
            <w:t xml:space="preserve">Страница </w:t>
          </w:r>
        </w:p>
      </w:tc>
    </w:tr>
    <w:tr w14:paraId="72C461FE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717" w:type="pct"/>
        </w:tcPr>
        <w:p w14:paraId="315F73D6">
          <w:pPr>
            <w:rPr>
              <w:rFonts w:ascii="Arial" w:hAnsi="Arial" w:cs="Arial" w:eastAsiaTheme="minorHAnsi"/>
              <w:color w:val="14324B"/>
              <w:szCs w:val="22"/>
              <w:lang w:eastAsia="en-US"/>
            </w:rPr>
          </w:pPr>
          <w:r>
            <w:rPr>
              <w:rFonts w:ascii="Arial" w:hAnsi="Arial" w:cs="Arial" w:eastAsiaTheme="minorHAnsi"/>
              <w:color w:val="14324B"/>
              <w:szCs w:val="22"/>
              <w:lang w:eastAsia="en-US"/>
            </w:rPr>
            <w:t xml:space="preserve">                           29.08.2025</w:t>
          </w:r>
        </w:p>
      </w:tc>
      <w:tc>
        <w:tcPr>
          <w:tcW w:w="1564" w:type="pct"/>
          <w:gridSpan w:val="2"/>
        </w:tcPr>
        <w:p w14:paraId="35EBA578">
          <w:pPr>
            <w:ind w:firstLine="567"/>
            <w:jc w:val="center"/>
            <w:rPr>
              <w:rFonts w:ascii="Arial" w:hAnsi="Arial" w:cs="Arial" w:eastAsiaTheme="minorHAnsi"/>
              <w:color w:val="14324B"/>
              <w:szCs w:val="22"/>
              <w:lang w:eastAsia="en-US"/>
            </w:rPr>
          </w:pPr>
        </w:p>
      </w:tc>
      <w:tc>
        <w:tcPr>
          <w:tcW w:w="1719" w:type="pct"/>
        </w:tcPr>
        <w:p w14:paraId="2C37C66F">
          <w:pPr>
            <w:ind w:firstLine="567"/>
            <w:jc w:val="right"/>
            <w:rPr>
              <w:rFonts w:ascii="Arial" w:hAnsi="Arial" w:cs="Arial" w:eastAsiaTheme="minorHAnsi"/>
              <w:color w:val="14324B"/>
              <w:szCs w:val="22"/>
              <w:lang w:eastAsia="en-US"/>
            </w:rPr>
          </w:pPr>
          <w:r>
            <w:rPr>
              <w:rFonts w:ascii="Arial" w:hAnsi="Arial" w:cs="Arial" w:eastAsiaTheme="minorHAnsi"/>
              <w:color w:val="14324B"/>
              <w:szCs w:val="22"/>
              <w:lang w:eastAsia="en-US"/>
            </w:rPr>
            <w:fldChar w:fldCharType="begin"/>
          </w:r>
          <w:r>
            <w:rPr>
              <w:rFonts w:ascii="Arial" w:hAnsi="Arial" w:cs="Arial" w:eastAsiaTheme="minorHAnsi"/>
              <w:color w:val="14324B"/>
              <w:szCs w:val="22"/>
              <w:lang w:eastAsia="en-US"/>
            </w:rPr>
            <w:instrText xml:space="preserve"> PAGE </w:instrText>
          </w:r>
          <w:r>
            <w:rPr>
              <w:rFonts w:ascii="Arial" w:hAnsi="Arial" w:cs="Arial" w:eastAsiaTheme="minorHAnsi"/>
              <w:color w:val="14324B"/>
              <w:szCs w:val="22"/>
              <w:lang w:eastAsia="en-US"/>
            </w:rPr>
            <w:fldChar w:fldCharType="separate"/>
          </w:r>
          <w:r>
            <w:rPr>
              <w:rFonts w:ascii="Arial" w:hAnsi="Arial" w:cs="Arial" w:eastAsiaTheme="minorHAnsi"/>
              <w:color w:val="14324B"/>
              <w:szCs w:val="22"/>
              <w:lang w:eastAsia="en-US"/>
            </w:rPr>
            <w:t>58</w:t>
          </w:r>
          <w:r>
            <w:rPr>
              <w:rFonts w:ascii="Arial" w:hAnsi="Arial" w:cs="Arial" w:eastAsiaTheme="minorHAnsi"/>
              <w:color w:val="14324B"/>
              <w:szCs w:val="22"/>
              <w:lang w:eastAsia="en-US"/>
            </w:rPr>
            <w:fldChar w:fldCharType="end"/>
          </w:r>
          <w:r>
            <w:rPr>
              <w:rFonts w:ascii="Arial" w:hAnsi="Arial" w:cs="Arial" w:eastAsiaTheme="minorHAnsi"/>
              <w:caps/>
              <w:color w:val="14324B"/>
              <w:szCs w:val="22"/>
              <w:lang w:eastAsia="en-US"/>
            </w:rPr>
            <w:t xml:space="preserve"> </w:t>
          </w:r>
          <w:r>
            <w:rPr>
              <w:rFonts w:ascii="Arial" w:hAnsi="Arial" w:cs="Arial" w:eastAsiaTheme="minorHAnsi"/>
              <w:color w:val="14324B"/>
              <w:szCs w:val="22"/>
              <w:lang w:eastAsia="en-US"/>
            </w:rPr>
            <w:t xml:space="preserve">из </w:t>
          </w:r>
          <w:r>
            <w:rPr>
              <w:rFonts w:ascii="Arial" w:hAnsi="Arial" w:cs="Arial" w:eastAsiaTheme="minorHAnsi"/>
              <w:color w:val="14324B"/>
              <w:szCs w:val="22"/>
              <w:lang w:eastAsia="en-US"/>
            </w:rPr>
            <w:fldChar w:fldCharType="begin"/>
          </w:r>
          <w:r>
            <w:rPr>
              <w:rFonts w:ascii="Arial" w:hAnsi="Arial" w:cs="Arial" w:eastAsiaTheme="minorHAnsi"/>
              <w:color w:val="14324B"/>
              <w:szCs w:val="22"/>
              <w:lang w:eastAsia="en-US"/>
            </w:rPr>
            <w:instrText xml:space="preserve"> NUMPAGES </w:instrText>
          </w:r>
          <w:r>
            <w:rPr>
              <w:rFonts w:ascii="Arial" w:hAnsi="Arial" w:cs="Arial" w:eastAsiaTheme="minorHAnsi"/>
              <w:color w:val="14324B"/>
              <w:szCs w:val="22"/>
              <w:lang w:eastAsia="en-US"/>
            </w:rPr>
            <w:fldChar w:fldCharType="separate"/>
          </w:r>
          <w:r>
            <w:rPr>
              <w:rFonts w:ascii="Arial" w:hAnsi="Arial" w:cs="Arial" w:eastAsiaTheme="minorHAnsi"/>
              <w:color w:val="14324B"/>
              <w:szCs w:val="22"/>
              <w:lang w:eastAsia="en-US"/>
            </w:rPr>
            <w:t>59</w:t>
          </w:r>
          <w:r>
            <w:rPr>
              <w:rFonts w:ascii="Arial" w:hAnsi="Arial" w:cs="Arial" w:eastAsiaTheme="minorHAnsi"/>
              <w:color w:val="14324B"/>
              <w:szCs w:val="22"/>
              <w:lang w:eastAsia="en-US"/>
            </w:rPr>
            <w:fldChar w:fldCharType="end"/>
          </w:r>
        </w:p>
      </w:tc>
    </w:tr>
  </w:tbl>
  <w:p w14:paraId="72F04D06">
    <w:r>
      <w:rPr>
        <w:rFonts w:ascii="Arial" w:hAnsi="Arial" w:cs="Arial"/>
        <w:color w:val="14324B"/>
        <w:szCs w:val="2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-1152525</wp:posOffset>
          </wp:positionH>
          <wp:positionV relativeFrom="paragraph">
            <wp:posOffset>365760</wp:posOffset>
          </wp:positionV>
          <wp:extent cx="10848340" cy="245745"/>
          <wp:effectExtent l="0" t="0" r="0" b="2540"/>
          <wp:wrapNone/>
          <wp:docPr id="606787596" name="Рисунок 6067875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787596" name="Рисунок 60678759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48368" cy="24549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2E65B">
    <w:pPr>
      <w:pStyle w:val="3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339F8">
    <w:pPr>
      <w:pStyle w:val="3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40" w:lineRule="auto"/>
      </w:pPr>
      <w:r>
        <w:separator/>
      </w:r>
    </w:p>
  </w:footnote>
  <w:footnote w:type="continuationSeparator" w:id="3">
    <w:p>
      <w:pPr>
        <w:spacing w:before="0" w:after="0" w:line="240" w:lineRule="auto"/>
      </w:pPr>
      <w:r>
        <w:continuationSeparator/>
      </w:r>
    </w:p>
  </w:footnote>
  <w:footnote w:id="0">
    <w:p w14:paraId="7CDC9BB5">
      <w:pPr>
        <w:pStyle w:val="18"/>
        <w:jc w:val="both"/>
      </w:pPr>
      <w:r>
        <w:rPr>
          <w:rStyle w:val="8"/>
        </w:rPr>
        <w:footnoteRef/>
      </w:r>
      <w:r>
        <w:t xml:space="preserve"> </w:t>
      </w:r>
      <w:r>
        <w:rPr>
          <w:sz w:val="18"/>
          <w:szCs w:val="18"/>
        </w:rPr>
        <w:t xml:space="preserve">В разделе 8.2.4. "Обработка текущих номенклатурных позиций" в процессе разработки Шаблона определяется обязательность для заполнения конкретных реквизитов и атрибутов, при этом автоматически генерируемые реквизиты в шаблон не включаются. 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090EB">
    <w:pPr>
      <w:pStyle w:val="57"/>
      <w:tabs>
        <w:tab w:val="left" w:pos="780"/>
        <w:tab w:val="center" w:pos="2437"/>
        <w:tab w:val="left" w:pos="3615"/>
        <w:tab w:val="right" w:pos="4874"/>
      </w:tabs>
      <w:ind w:left="3261" w:right="3117"/>
      <w:jc w:val="center"/>
      <w:rPr>
        <w:rStyle w:val="56"/>
        <w:sz w:val="16"/>
        <w:szCs w:val="16"/>
      </w:rPr>
    </w:pPr>
    <w:r>
      <w:rPr>
        <w:rFonts w:ascii="Cambria" w:hAnsi="Cambria" w:cs="Times New Roman"/>
        <w:szCs w:val="24"/>
        <w14:ligatures w14:val="standardContextual"/>
      </w:rPr>
      <w:pict>
        <v:shape id="WordPictureWatermark1575229071" o:spid="_x0000_s1060" o:spt="75" type="#_x0000_t75" style="position:absolute;left:0pt;height:842.15pt;width:595.4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Black &amp; Red Formal Modern Professional Letterhead (1)"/>
          <o:lock v:ext="edit" aspectratio="t"/>
        </v:shape>
      </w:pict>
    </w: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3175</wp:posOffset>
          </wp:positionH>
          <wp:positionV relativeFrom="paragraph">
            <wp:posOffset>-60325</wp:posOffset>
          </wp:positionV>
          <wp:extent cx="1944370" cy="415290"/>
          <wp:effectExtent l="0" t="0" r="0" b="4445"/>
          <wp:wrapNone/>
          <wp:docPr id="1902222298" name="Рисунок 19022222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2222298" name="Рисунок 190222229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4547" cy="41520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color w:val="14324B"/>
      </w:rPr>
      <w:t xml:space="preserve">                                                      </w:t>
    </w:r>
    <w:sdt>
      <w:sdtPr>
        <w:rPr>
          <w:rStyle w:val="56"/>
          <w:sz w:val="16"/>
          <w:szCs w:val="16"/>
        </w:rPr>
        <w:alias w:val="Тема"/>
        <w:id w:val="2067148755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>
        <w:rPr>
          <w:rStyle w:val="56"/>
          <w:sz w:val="16"/>
          <w:szCs w:val="16"/>
        </w:rPr>
      </w:sdtEndPr>
      <w:sdtContent>
        <w:r>
          <w:rPr>
            <w:rStyle w:val="56"/>
            <w:sz w:val="16"/>
            <w:szCs w:val="16"/>
          </w:rPr>
          <w:t>Методика нормализации справочника номенклатуры ООО «Горнорудный Майнинг»</w:t>
        </w:r>
      </w:sdtContent>
    </w:sdt>
  </w:p>
  <w:p w14:paraId="7FD48C5E">
    <w:pPr>
      <w:pStyle w:val="57"/>
      <w:tabs>
        <w:tab w:val="left" w:pos="780"/>
        <w:tab w:val="center" w:pos="2437"/>
        <w:tab w:val="left" w:pos="3615"/>
        <w:tab w:val="right" w:pos="4874"/>
      </w:tabs>
      <w:ind w:left="2977" w:right="3117"/>
      <w:jc w:val="center"/>
      <w:rPr>
        <w:rStyle w:val="56"/>
        <w:sz w:val="16"/>
        <w:szCs w:val="16"/>
      </w:rPr>
    </w:pPr>
    <w:sdt>
      <w:sdtPr>
        <w:rPr>
          <w:rStyle w:val="56"/>
          <w:sz w:val="16"/>
          <w:szCs w:val="16"/>
        </w:rPr>
        <w:alias w:val="Название"/>
        <w:id w:val="-275944782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Style w:val="56"/>
          <w:sz w:val="16"/>
          <w:szCs w:val="16"/>
        </w:rPr>
      </w:sdtEndPr>
      <w:sdtContent>
        <w:r>
          <w:rPr>
            <w:rStyle w:val="56"/>
            <w:sz w:val="16"/>
            <w:szCs w:val="16"/>
          </w:rPr>
          <w:t xml:space="preserve">     </w:t>
        </w:r>
      </w:sdtContent>
    </w:sdt>
  </w:p>
  <w:p w14:paraId="48ADE141">
    <w:pPr>
      <w:pStyle w:val="57"/>
      <w:tabs>
        <w:tab w:val="left" w:pos="780"/>
        <w:tab w:val="center" w:pos="2437"/>
        <w:tab w:val="left" w:pos="3615"/>
        <w:tab w:val="right" w:pos="4874"/>
      </w:tabs>
      <w:ind w:left="2977" w:right="3117"/>
      <w:jc w:val="center"/>
      <w:rPr>
        <w:rFonts w:ascii="Arial" w:hAnsi="Arial" w:cs="Arial"/>
        <w:color w:val="14324B"/>
      </w:rPr>
    </w:pPr>
    <w:r>
      <w:rPr>
        <w:rStyle w:val="56"/>
        <w:sz w:val="16"/>
        <w:szCs w:val="16"/>
      </w:rPr>
      <w:t xml:space="preserve">       версия </w:t>
    </w:r>
    <w:sdt>
      <w:sdtPr>
        <w:rPr>
          <w:rStyle w:val="56"/>
          <w:sz w:val="16"/>
          <w:szCs w:val="16"/>
        </w:rPr>
        <w:alias w:val="Ключевые слова"/>
        <w:id w:val="2007786898"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>
        <w:rPr>
          <w:rStyle w:val="56"/>
          <w:sz w:val="16"/>
          <w:szCs w:val="16"/>
        </w:rPr>
      </w:sdtEndPr>
      <w:sdtContent>
        <w:r>
          <w:rPr>
            <w:rStyle w:val="56"/>
            <w:sz w:val="16"/>
            <w:szCs w:val="16"/>
          </w:rPr>
          <w:t>1.0</w:t>
        </w:r>
      </w:sdtContent>
    </w:sdt>
    <w:r>
      <w:rPr>
        <w:rFonts w:ascii="Arial" w:hAnsi="Arial" w:cs="Arial"/>
        <w:color w:val="14324B"/>
      </w:rPr>
      <w:br w:type="textWrapping"/>
    </w:r>
  </w:p>
  <w:p w14:paraId="51A74A90">
    <w:pPr>
      <w:pStyle w:val="19"/>
      <w:jc w:val="right"/>
      <w:rPr>
        <w:rFonts w:ascii="Arial" w:hAnsi="Arial" w:cs="Arial"/>
        <w:szCs w:val="22"/>
      </w:rPr>
    </w:pPr>
    <w:r>
      <w:rPr>
        <w:rFonts w:ascii="Arial" w:hAnsi="Arial" w:cs="Arial"/>
        <w:color w:val="14324B"/>
        <w:szCs w:val="22"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-1920240</wp:posOffset>
              </wp:positionH>
              <wp:positionV relativeFrom="paragraph">
                <wp:posOffset>93980</wp:posOffset>
              </wp:positionV>
              <wp:extent cx="7148195" cy="0"/>
              <wp:effectExtent l="0" t="0" r="33655" b="19050"/>
              <wp:wrapNone/>
              <wp:docPr id="52" name="Прямая соединительная линия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48223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14324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Прямая соединительная линия 52" o:spid="_x0000_s1026" o:spt="20" style="position:absolute;left:0pt;margin-left:-151.2pt;margin-top:7.4pt;height:0pt;width:562.85pt;z-index:251660288;mso-width-relative:page;mso-height-relative:page;" filled="f" stroked="t" coordsize="21600,21600" o:gfxdata="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55FKk2AAAAAoBAAAPAAAAAAAAAAEAIAAAACIA&#10;AABkcnMvZG93bnJldi54bWxQSwECFAAUAAAACACHTuJArfONJAkCAADZAwAADgAAAAAAAAABACAA&#10;AAAnAQAAZHJzL2Uyb0RvYy54bWxQSwUGAAAAAAYABgBZAQAAogUAAAAA&#10;">
              <v:fill on="f" focussize="0,0"/>
              <v:stroke weight="1pt" color="#14324B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Arial" w:hAnsi="Arial" w:cs="Arial"/>
        <w:szCs w:val="22"/>
      </w:rPr>
      <w:t xml:space="preserve">                                                                                                                                               </w:t>
    </w:r>
  </w:p>
  <w:p w14:paraId="19E448E3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EF077">
    <w:pPr>
      <w:pStyle w:val="19"/>
    </w:pPr>
    <w:r>
      <w:rPr>
        <w14:ligatures w14:val="standardContextual"/>
      </w:rPr>
      <w:pict>
        <v:shape id="WordPictureWatermark1575229070" o:spid="_x0000_s1059" o:spt="75" type="#_x0000_t75" style="position:absolute;left:0pt;height:842.15pt;width:595.4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Black &amp; Red Formal Modern Professional Letterhead (1)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4906" w:type="pct"/>
      <w:jc w:val="center"/>
      <w:tblLayout w:type="autofit"/>
      <w:tblCellMar>
        <w:top w:w="0" w:type="dxa"/>
        <w:left w:w="107" w:type="dxa"/>
        <w:bottom w:w="0" w:type="dxa"/>
        <w:right w:w="107" w:type="dxa"/>
      </w:tblCellMar>
    </w:tblPr>
    <w:tblGrid>
      <w:gridCol w:w="3116"/>
      <w:gridCol w:w="4169"/>
      <w:gridCol w:w="2659"/>
    </w:tblGrid>
    <w:tr w14:paraId="3E05678B">
      <w:tblPrEx>
        <w:tblCellMar>
          <w:top w:w="0" w:type="dxa"/>
          <w:left w:w="107" w:type="dxa"/>
          <w:bottom w:w="0" w:type="dxa"/>
          <w:right w:w="107" w:type="dxa"/>
        </w:tblCellMar>
      </w:tblPrEx>
      <w:trPr>
        <w:trHeight w:val="346" w:hRule="atLeast"/>
        <w:jc w:val="center"/>
      </w:trPr>
      <w:tc>
        <w:tcPr>
          <w:tcW w:w="1567" w:type="pct"/>
          <w:vAlign w:val="center"/>
        </w:tcPr>
        <w:p w14:paraId="6478DF3A">
          <w:pPr>
            <w:jc w:val="center"/>
          </w:pPr>
          <w:r>
            <w:rPr>
              <w14:ligatures w14:val="standardContextual"/>
            </w:rPr>
            <w:drawing>
              <wp:inline distT="0" distB="0" distL="0" distR="0">
                <wp:extent cx="1401445" cy="412750"/>
                <wp:effectExtent l="0" t="0" r="0" b="0"/>
                <wp:docPr id="335058368" name="Рисунок 3350583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5058368" name="Рисунок 33505836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4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6476" cy="4615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96" w:type="pct"/>
          <w:vAlign w:val="center"/>
        </w:tcPr>
        <w:sdt>
          <w:sdtPr>
            <w:rPr>
              <w:rStyle w:val="56"/>
              <w:sz w:val="16"/>
              <w:szCs w:val="16"/>
            </w:rPr>
            <w:alias w:val="Тема"/>
            <w:id w:val="-1757664121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>
            <w:rPr>
              <w:rStyle w:val="56"/>
              <w:sz w:val="16"/>
              <w:szCs w:val="16"/>
            </w:rPr>
          </w:sdtEndPr>
          <w:sdtContent>
            <w:p w14:paraId="0C189A6D">
              <w:pPr>
                <w:pStyle w:val="57"/>
                <w:tabs>
                  <w:tab w:val="left" w:pos="780"/>
                  <w:tab w:val="center" w:pos="2437"/>
                  <w:tab w:val="left" w:pos="3615"/>
                  <w:tab w:val="right" w:pos="4874"/>
                </w:tabs>
                <w:jc w:val="center"/>
                <w:rPr>
                  <w:rStyle w:val="56"/>
                  <w:sz w:val="16"/>
                  <w:szCs w:val="16"/>
                </w:rPr>
              </w:pPr>
              <w:r>
                <w:rPr>
                  <w:rStyle w:val="56"/>
                  <w:sz w:val="16"/>
                  <w:szCs w:val="16"/>
                </w:rPr>
                <w:t>Методика нормализации справочника номенклатуры ООО «Горнорудный Майнинг»</w:t>
              </w:r>
            </w:p>
          </w:sdtContent>
        </w:sdt>
        <w:p w14:paraId="38D0F36F">
          <w:pPr>
            <w:pStyle w:val="57"/>
            <w:tabs>
              <w:tab w:val="left" w:pos="780"/>
              <w:tab w:val="center" w:pos="2437"/>
              <w:tab w:val="left" w:pos="3615"/>
              <w:tab w:val="right" w:pos="4874"/>
            </w:tabs>
            <w:jc w:val="center"/>
            <w:rPr>
              <w:rStyle w:val="56"/>
              <w:sz w:val="16"/>
              <w:szCs w:val="16"/>
            </w:rPr>
          </w:pPr>
          <w:sdt>
            <w:sdtPr>
              <w:rPr>
                <w:rStyle w:val="56"/>
                <w:sz w:val="16"/>
                <w:szCs w:val="16"/>
              </w:rPr>
              <w:alias w:val="Название"/>
              <w:id w:val="-1746179557"/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rStyle w:val="56"/>
                <w:sz w:val="16"/>
                <w:szCs w:val="16"/>
              </w:rPr>
            </w:sdtEndPr>
            <w:sdtContent>
              <w:r>
                <w:rPr>
                  <w:rStyle w:val="56"/>
                  <w:sz w:val="16"/>
                  <w:szCs w:val="16"/>
                </w:rPr>
                <w:t xml:space="preserve">     </w:t>
              </w:r>
            </w:sdtContent>
          </w:sdt>
        </w:p>
        <w:p w14:paraId="53A7118E">
          <w:pPr>
            <w:pStyle w:val="57"/>
            <w:tabs>
              <w:tab w:val="left" w:pos="780"/>
              <w:tab w:val="center" w:pos="2437"/>
              <w:tab w:val="left" w:pos="3615"/>
              <w:tab w:val="right" w:pos="4874"/>
            </w:tabs>
            <w:rPr>
              <w:rStyle w:val="56"/>
              <w:sz w:val="16"/>
              <w:szCs w:val="16"/>
            </w:rPr>
          </w:pPr>
          <w:r>
            <w:rPr>
              <w:rStyle w:val="56"/>
              <w:sz w:val="16"/>
              <w:szCs w:val="16"/>
            </w:rPr>
            <w:t xml:space="preserve">                                          версия </w:t>
          </w:r>
          <w:sdt>
            <w:sdtPr>
              <w:rPr>
                <w:rStyle w:val="56"/>
                <w:sz w:val="16"/>
                <w:szCs w:val="16"/>
              </w:rPr>
              <w:alias w:val="Ключевые слова"/>
              <w:id w:val="-645283776"/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>
              <w:rPr>
                <w:rStyle w:val="56"/>
                <w:sz w:val="16"/>
                <w:szCs w:val="16"/>
              </w:rPr>
            </w:sdtEndPr>
            <w:sdtContent>
              <w:r>
                <w:rPr>
                  <w:rStyle w:val="56"/>
                  <w:sz w:val="16"/>
                  <w:szCs w:val="16"/>
                </w:rPr>
                <w:t>1.0</w:t>
              </w:r>
            </w:sdtContent>
          </w:sdt>
        </w:p>
      </w:tc>
      <w:tc>
        <w:tcPr>
          <w:tcW w:w="1337" w:type="pct"/>
          <w:vAlign w:val="center"/>
        </w:tcPr>
        <w:p w14:paraId="4B595B03">
          <w:pPr>
            <w:pStyle w:val="29"/>
            <w:rPr>
              <w:rFonts w:asciiTheme="minorHAnsi" w:hAnsiTheme="minorHAnsi" w:cstheme="minorHAnsi"/>
              <w:sz w:val="28"/>
            </w:rPr>
          </w:pPr>
        </w:p>
      </w:tc>
    </w:tr>
  </w:tbl>
  <w:p w14:paraId="6950AF60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8210B"/>
    <w:multiLevelType w:val="multilevel"/>
    <w:tmpl w:val="01B8210B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046A029F"/>
    <w:multiLevelType w:val="multilevel"/>
    <w:tmpl w:val="046A029F"/>
    <w:lvl w:ilvl="0" w:tentative="0">
      <w:start w:val="1"/>
      <w:numFmt w:val="decimal"/>
      <w:lvlText w:val="%1."/>
      <w:lvlJc w:val="left"/>
      <w:pPr>
        <w:ind w:left="786" w:hanging="360"/>
      </w:pPr>
      <w:rPr>
        <w:rFonts w:hint="default" w:ascii="Cambria" w:hAnsi="Cambria" w:cs="Times New Roman"/>
        <w:b/>
        <w:bCs/>
        <w:i w:val="0"/>
        <w:iCs w:val="0"/>
        <w:caps w:val="0"/>
        <w:smallCaps w:val="0"/>
        <w:strike w:val="0"/>
        <w:dstrike w:val="0"/>
        <w:vanish w:val="0"/>
        <w:color w:val="000000" w:themeColor="text1"/>
        <w:spacing w:val="0"/>
        <w:kern w:val="0"/>
        <w:position w:val="0"/>
        <w:sz w:val="22"/>
        <w:szCs w:val="22"/>
        <w:u w:val="none"/>
        <w:vertAlign w:val="baseline"/>
        <w:lang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Fill>
          <w14:solidFill>
            <w14:schemeClr w14:val="tx1"/>
          </w14:solidFill>
        </w14:textFill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decimal"/>
      <w:suff w:val="space"/>
      <w:lvlText w:val="%1.%2."/>
      <w:lvlJc w:val="left"/>
      <w:pPr>
        <w:ind w:left="858" w:hanging="432"/>
      </w:pPr>
      <w:rPr>
        <w:rFonts w:hint="default" w:ascii="Cambria" w:hAnsi="Cambria" w:cs="Times New Roman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vertAlign w:val="baseline"/>
        <w:lang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930" w:hanging="504"/>
      </w:pPr>
      <w:rPr>
        <w:rFonts w:hint="default" w:ascii="Cambria" w:hAnsi="Cambria"/>
        <w:b/>
        <w:bCs/>
        <w:color w:val="auto"/>
      </w:rPr>
    </w:lvl>
    <w:lvl w:ilvl="3" w:tentative="0">
      <w:start w:val="1"/>
      <w:numFmt w:val="decimal"/>
      <w:suff w:val="space"/>
      <w:lvlText w:val="%1.%2.%3.%4."/>
      <w:lvlJc w:val="left"/>
      <w:pPr>
        <w:ind w:left="1074" w:hanging="648"/>
      </w:pPr>
      <w:rPr>
        <w:rFonts w:hint="default"/>
        <w:i w:val="0"/>
        <w:iCs w:val="0"/>
        <w:color w:val="auto"/>
      </w:rPr>
    </w:lvl>
    <w:lvl w:ilvl="4" w:tentative="0">
      <w:start w:val="1"/>
      <w:numFmt w:val="decimal"/>
      <w:suff w:val="space"/>
      <w:lvlText w:val="%1.%2.%3.%4.%5."/>
      <w:lvlJc w:val="left"/>
      <w:pPr>
        <w:ind w:left="1218" w:hanging="792"/>
      </w:pPr>
      <w:rPr>
        <w:rFonts w:hint="default"/>
        <w:color w:val="auto"/>
      </w:rPr>
    </w:lvl>
    <w:lvl w:ilvl="5" w:tentative="0">
      <w:start w:val="1"/>
      <w:numFmt w:val="decimal"/>
      <w:lvlText w:val="%1.%2.%3.%4.%5.%6."/>
      <w:lvlJc w:val="left"/>
      <w:pPr>
        <w:ind w:left="3162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66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170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746" w:hanging="1440"/>
      </w:pPr>
      <w:rPr>
        <w:rFonts w:hint="default"/>
      </w:rPr>
    </w:lvl>
  </w:abstractNum>
  <w:abstractNum w:abstractNumId="2">
    <w:nsid w:val="091D4EF2"/>
    <w:multiLevelType w:val="multilevel"/>
    <w:tmpl w:val="091D4EF2"/>
    <w:lvl w:ilvl="0" w:tentative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>
    <w:nsid w:val="0ADD7B8F"/>
    <w:multiLevelType w:val="multilevel"/>
    <w:tmpl w:val="0ADD7B8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236D59"/>
    <w:multiLevelType w:val="multilevel"/>
    <w:tmpl w:val="0F236D59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E04786"/>
    <w:multiLevelType w:val="multilevel"/>
    <w:tmpl w:val="12E04786"/>
    <w:lvl w:ilvl="0" w:tentative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6">
    <w:nsid w:val="135549B1"/>
    <w:multiLevelType w:val="multilevel"/>
    <w:tmpl w:val="135549B1"/>
    <w:lvl w:ilvl="0" w:tentative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7">
    <w:nsid w:val="18FB1BCD"/>
    <w:multiLevelType w:val="multilevel"/>
    <w:tmpl w:val="18FB1BCD"/>
    <w:lvl w:ilvl="0" w:tentative="0">
      <w:start w:val="1"/>
      <w:numFmt w:val="bullet"/>
      <w:lvlText w:val=""/>
      <w:lvlJc w:val="left"/>
      <w:pPr>
        <w:tabs>
          <w:tab w:val="left" w:pos="1068"/>
        </w:tabs>
        <w:ind w:left="1068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08"/>
        </w:tabs>
        <w:ind w:left="2508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28"/>
        </w:tabs>
        <w:ind w:left="3228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48"/>
        </w:tabs>
        <w:ind w:left="3948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68"/>
        </w:tabs>
        <w:ind w:left="4668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388"/>
        </w:tabs>
        <w:ind w:left="5388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08"/>
        </w:tabs>
        <w:ind w:left="6108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8">
    <w:nsid w:val="1B3A3E4C"/>
    <w:multiLevelType w:val="multilevel"/>
    <w:tmpl w:val="1B3A3E4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7C2178"/>
    <w:multiLevelType w:val="multilevel"/>
    <w:tmpl w:val="1B7C2178"/>
    <w:lvl w:ilvl="0" w:tentative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0">
    <w:nsid w:val="1BA130BD"/>
    <w:multiLevelType w:val="multilevel"/>
    <w:tmpl w:val="1BA130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2473D50"/>
    <w:multiLevelType w:val="multilevel"/>
    <w:tmpl w:val="22473D50"/>
    <w:lvl w:ilvl="0" w:tentative="0">
      <w:start w:val="5"/>
      <w:numFmt w:val="decimal"/>
      <w:lvlText w:val="%1"/>
      <w:lvlJc w:val="left"/>
      <w:pPr>
        <w:ind w:left="672" w:hanging="672"/>
      </w:pPr>
      <w:rPr>
        <w:rFonts w:hint="default"/>
      </w:rPr>
    </w:lvl>
    <w:lvl w:ilvl="1" w:tentative="0">
      <w:start w:val="3"/>
      <w:numFmt w:val="decimal"/>
      <w:lvlText w:val="%1.%2"/>
      <w:lvlJc w:val="left"/>
      <w:pPr>
        <w:ind w:left="912" w:hanging="672"/>
      </w:pPr>
      <w:rPr>
        <w:rFonts w:hint="default"/>
      </w:rPr>
    </w:lvl>
    <w:lvl w:ilvl="2" w:tentative="0">
      <w:start w:val="2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12">
    <w:nsid w:val="27081470"/>
    <w:multiLevelType w:val="multilevel"/>
    <w:tmpl w:val="2708147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2A97100F"/>
    <w:multiLevelType w:val="multilevel"/>
    <w:tmpl w:val="2A97100F"/>
    <w:lvl w:ilvl="0" w:tentative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14">
    <w:nsid w:val="2AC57EA7"/>
    <w:multiLevelType w:val="multilevel"/>
    <w:tmpl w:val="2AC57EA7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BE4E69"/>
    <w:multiLevelType w:val="multilevel"/>
    <w:tmpl w:val="2BBE4E69"/>
    <w:lvl w:ilvl="0" w:tentative="0">
      <w:start w:val="1"/>
      <w:numFmt w:val="bullet"/>
      <w:pStyle w:val="27"/>
      <w:lvlText w:val=""/>
      <w:lvlJc w:val="left"/>
      <w:pPr>
        <w:tabs>
          <w:tab w:val="left" w:pos="1492"/>
        </w:tabs>
        <w:ind w:left="1492" w:hanging="35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5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5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5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5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5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5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5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50"/>
      </w:pPr>
      <w:rPr>
        <w:rFonts w:hint="default" w:ascii="Wingdings" w:hAnsi="Wingdings" w:eastAsia="Wingdings" w:cs="Wingdings"/>
      </w:rPr>
    </w:lvl>
  </w:abstractNum>
  <w:abstractNum w:abstractNumId="16">
    <w:nsid w:val="2D1942E2"/>
    <w:multiLevelType w:val="multilevel"/>
    <w:tmpl w:val="2D1942E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2E4536E2"/>
    <w:multiLevelType w:val="multilevel"/>
    <w:tmpl w:val="2E4536E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2F574AAE"/>
    <w:multiLevelType w:val="multilevel"/>
    <w:tmpl w:val="2F574AA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30283C08"/>
    <w:multiLevelType w:val="multilevel"/>
    <w:tmpl w:val="30283C08"/>
    <w:lvl w:ilvl="0" w:tentative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0">
    <w:nsid w:val="31EF4912"/>
    <w:multiLevelType w:val="multilevel"/>
    <w:tmpl w:val="31EF4912"/>
    <w:lvl w:ilvl="0" w:tentative="0">
      <w:start w:val="1"/>
      <w:numFmt w:val="bullet"/>
      <w:lvlText w:val=""/>
      <w:lvlJc w:val="left"/>
      <w:pPr>
        <w:tabs>
          <w:tab w:val="left" w:pos="970"/>
        </w:tabs>
        <w:ind w:left="97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690"/>
        </w:tabs>
        <w:ind w:left="169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410"/>
        </w:tabs>
        <w:ind w:left="241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130"/>
        </w:tabs>
        <w:ind w:left="313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850"/>
        </w:tabs>
        <w:ind w:left="385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570"/>
        </w:tabs>
        <w:ind w:left="457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290"/>
        </w:tabs>
        <w:ind w:left="529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010"/>
        </w:tabs>
        <w:ind w:left="601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730"/>
        </w:tabs>
        <w:ind w:left="6730" w:hanging="360"/>
      </w:pPr>
      <w:rPr>
        <w:rFonts w:hint="default" w:ascii="Wingdings" w:hAnsi="Wingdings"/>
        <w:sz w:val="20"/>
      </w:rPr>
    </w:lvl>
  </w:abstractNum>
  <w:abstractNum w:abstractNumId="21">
    <w:nsid w:val="36673ED6"/>
    <w:multiLevelType w:val="multilevel"/>
    <w:tmpl w:val="36673ED6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2">
    <w:nsid w:val="37BF5D27"/>
    <w:multiLevelType w:val="multilevel"/>
    <w:tmpl w:val="37BF5D27"/>
    <w:lvl w:ilvl="0" w:tentative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23">
    <w:nsid w:val="3B2F44A9"/>
    <w:multiLevelType w:val="multilevel"/>
    <w:tmpl w:val="3B2F44A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>
    <w:nsid w:val="3B667664"/>
    <w:multiLevelType w:val="multilevel"/>
    <w:tmpl w:val="3B667664"/>
    <w:lvl w:ilvl="0" w:tentative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3DE94A22"/>
    <w:multiLevelType w:val="multilevel"/>
    <w:tmpl w:val="3DE94A22"/>
    <w:lvl w:ilvl="0" w:tentative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6">
    <w:nsid w:val="3F9D256D"/>
    <w:multiLevelType w:val="multilevel"/>
    <w:tmpl w:val="3F9D256D"/>
    <w:lvl w:ilvl="0" w:tentative="0">
      <w:start w:val="1"/>
      <w:numFmt w:val="bullet"/>
      <w:lvlText w:val=""/>
      <w:lvlJc w:val="left"/>
      <w:pPr>
        <w:tabs>
          <w:tab w:val="left" w:pos="1068"/>
        </w:tabs>
        <w:ind w:left="1068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08"/>
        </w:tabs>
        <w:ind w:left="2508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28"/>
        </w:tabs>
        <w:ind w:left="3228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48"/>
        </w:tabs>
        <w:ind w:left="3948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68"/>
        </w:tabs>
        <w:ind w:left="4668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388"/>
        </w:tabs>
        <w:ind w:left="5388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08"/>
        </w:tabs>
        <w:ind w:left="6108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27">
    <w:nsid w:val="4249256A"/>
    <w:multiLevelType w:val="multilevel"/>
    <w:tmpl w:val="4249256A"/>
    <w:lvl w:ilvl="0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28">
    <w:nsid w:val="44B938FD"/>
    <w:multiLevelType w:val="multilevel"/>
    <w:tmpl w:val="44B938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>
    <w:nsid w:val="49CA018F"/>
    <w:multiLevelType w:val="multilevel"/>
    <w:tmpl w:val="49CA01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4EB37160"/>
    <w:multiLevelType w:val="multilevel"/>
    <w:tmpl w:val="4EB37160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1">
    <w:nsid w:val="5109167A"/>
    <w:multiLevelType w:val="multilevel"/>
    <w:tmpl w:val="5109167A"/>
    <w:lvl w:ilvl="0" w:tentative="0">
      <w:start w:val="1"/>
      <w:numFmt w:val="bullet"/>
      <w:pStyle w:val="63"/>
      <w:lvlText w:val=""/>
      <w:lvlJc w:val="left"/>
      <w:pPr>
        <w:ind w:left="1077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o"/>
      <w:lvlJc w:val="left"/>
      <w:pPr>
        <w:ind w:left="179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1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3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5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7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9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1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37" w:hanging="360"/>
      </w:pPr>
      <w:rPr>
        <w:rFonts w:hint="default" w:ascii="Wingdings" w:hAnsi="Wingdings"/>
      </w:rPr>
    </w:lvl>
  </w:abstractNum>
  <w:abstractNum w:abstractNumId="32">
    <w:nsid w:val="529C7E1C"/>
    <w:multiLevelType w:val="multilevel"/>
    <w:tmpl w:val="529C7E1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>
    <w:nsid w:val="5AF64AC3"/>
    <w:multiLevelType w:val="multilevel"/>
    <w:tmpl w:val="5AF64AC3"/>
    <w:lvl w:ilvl="0" w:tentative="0">
      <w:start w:val="1"/>
      <w:numFmt w:val="bullet"/>
      <w:pStyle w:val="73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>
    <w:nsid w:val="5E5C4963"/>
    <w:multiLevelType w:val="multilevel"/>
    <w:tmpl w:val="5E5C4963"/>
    <w:lvl w:ilvl="0" w:tentative="0">
      <w:start w:val="1"/>
      <w:numFmt w:val="bullet"/>
      <w:lvlText w:val=""/>
      <w:lvlJc w:val="left"/>
      <w:pPr>
        <w:ind w:left="1713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433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15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87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593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1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03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753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473" w:hanging="360"/>
      </w:pPr>
      <w:rPr>
        <w:rFonts w:hint="default" w:ascii="Wingdings" w:hAnsi="Wingdings"/>
      </w:rPr>
    </w:lvl>
  </w:abstractNum>
  <w:abstractNum w:abstractNumId="35">
    <w:nsid w:val="5E92600D"/>
    <w:multiLevelType w:val="multilevel"/>
    <w:tmpl w:val="5E92600D"/>
    <w:lvl w:ilvl="0" w:tentative="0">
      <w:start w:val="1"/>
      <w:numFmt w:val="bullet"/>
      <w:lvlText w:val=""/>
      <w:lvlJc w:val="left"/>
      <w:pPr>
        <w:tabs>
          <w:tab w:val="left" w:pos="1068"/>
        </w:tabs>
        <w:ind w:left="1068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08"/>
        </w:tabs>
        <w:ind w:left="2508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28"/>
        </w:tabs>
        <w:ind w:left="3228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48"/>
        </w:tabs>
        <w:ind w:left="3948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68"/>
        </w:tabs>
        <w:ind w:left="4668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388"/>
        </w:tabs>
        <w:ind w:left="5388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08"/>
        </w:tabs>
        <w:ind w:left="6108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36">
    <w:nsid w:val="6034780D"/>
    <w:multiLevelType w:val="multilevel"/>
    <w:tmpl w:val="6034780D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7">
    <w:nsid w:val="61EF5B99"/>
    <w:multiLevelType w:val="multilevel"/>
    <w:tmpl w:val="61EF5B99"/>
    <w:lvl w:ilvl="0" w:tentative="0">
      <w:start w:val="1"/>
      <w:numFmt w:val="bullet"/>
      <w:lvlText w:val=""/>
      <w:lvlJc w:val="left"/>
      <w:pPr>
        <w:tabs>
          <w:tab w:val="left" w:pos="970"/>
        </w:tabs>
        <w:ind w:left="97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)"/>
      <w:lvlJc w:val="left"/>
      <w:pPr>
        <w:ind w:left="169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ind w:left="2410" w:hanging="360"/>
      </w:pPr>
      <w:rPr>
        <w:rFonts w:hint="default"/>
      </w:rPr>
    </w:lvl>
    <w:lvl w:ilvl="3" w:tentative="0">
      <w:start w:val="1"/>
      <w:numFmt w:val="bullet"/>
      <w:lvlText w:val=""/>
      <w:lvlJc w:val="left"/>
      <w:pPr>
        <w:tabs>
          <w:tab w:val="left" w:pos="3130"/>
        </w:tabs>
        <w:ind w:left="313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850"/>
        </w:tabs>
        <w:ind w:left="385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570"/>
        </w:tabs>
        <w:ind w:left="457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290"/>
        </w:tabs>
        <w:ind w:left="529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010"/>
        </w:tabs>
        <w:ind w:left="601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730"/>
        </w:tabs>
        <w:ind w:left="6730" w:hanging="360"/>
      </w:pPr>
      <w:rPr>
        <w:rFonts w:hint="default" w:ascii="Wingdings" w:hAnsi="Wingdings"/>
        <w:sz w:val="20"/>
      </w:rPr>
    </w:lvl>
  </w:abstractNum>
  <w:abstractNum w:abstractNumId="38">
    <w:nsid w:val="6500718D"/>
    <w:multiLevelType w:val="multilevel"/>
    <w:tmpl w:val="6500718D"/>
    <w:lvl w:ilvl="0" w:tentative="0">
      <w:start w:val="1"/>
      <w:numFmt w:val="bullet"/>
      <w:lvlText w:val=""/>
      <w:lvlJc w:val="left"/>
      <w:pPr>
        <w:tabs>
          <w:tab w:val="left" w:pos="1068"/>
        </w:tabs>
        <w:ind w:left="1068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08"/>
        </w:tabs>
        <w:ind w:left="2508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28"/>
        </w:tabs>
        <w:ind w:left="3228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48"/>
        </w:tabs>
        <w:ind w:left="3948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68"/>
        </w:tabs>
        <w:ind w:left="4668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388"/>
        </w:tabs>
        <w:ind w:left="5388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08"/>
        </w:tabs>
        <w:ind w:left="6108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39">
    <w:nsid w:val="678B16A1"/>
    <w:multiLevelType w:val="multilevel"/>
    <w:tmpl w:val="678B16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699D7874"/>
    <w:multiLevelType w:val="multilevel"/>
    <w:tmpl w:val="699D7874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1">
    <w:nsid w:val="6FB5527B"/>
    <w:multiLevelType w:val="multilevel"/>
    <w:tmpl w:val="6FB5527B"/>
    <w:lvl w:ilvl="0" w:tentative="0">
      <w:start w:val="1"/>
      <w:numFmt w:val="bullet"/>
      <w:lvlText w:val=""/>
      <w:lvlJc w:val="left"/>
      <w:pPr>
        <w:tabs>
          <w:tab w:val="left" w:pos="1068"/>
        </w:tabs>
        <w:ind w:left="1068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08"/>
        </w:tabs>
        <w:ind w:left="2508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28"/>
        </w:tabs>
        <w:ind w:left="3228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48"/>
        </w:tabs>
        <w:ind w:left="3948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68"/>
        </w:tabs>
        <w:ind w:left="4668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388"/>
        </w:tabs>
        <w:ind w:left="5388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08"/>
        </w:tabs>
        <w:ind w:left="6108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42">
    <w:nsid w:val="71017E05"/>
    <w:multiLevelType w:val="multilevel"/>
    <w:tmpl w:val="71017E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72550385"/>
    <w:multiLevelType w:val="multilevel"/>
    <w:tmpl w:val="72550385"/>
    <w:lvl w:ilvl="0" w:tentative="0">
      <w:start w:val="10"/>
      <w:numFmt w:val="decimal"/>
      <w:lvlText w:val="%1."/>
      <w:lvlJc w:val="left"/>
      <w:pPr>
        <w:ind w:left="624" w:hanging="624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4">
    <w:nsid w:val="73316571"/>
    <w:multiLevelType w:val="multilevel"/>
    <w:tmpl w:val="73316571"/>
    <w:lvl w:ilvl="0" w:tentative="0">
      <w:start w:val="1"/>
      <w:numFmt w:val="bullet"/>
      <w:lvlText w:val="o"/>
      <w:lvlJc w:val="left"/>
      <w:pPr>
        <w:ind w:left="1494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45">
    <w:nsid w:val="74646D52"/>
    <w:multiLevelType w:val="multilevel"/>
    <w:tmpl w:val="74646D5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AB8407B"/>
    <w:multiLevelType w:val="multilevel"/>
    <w:tmpl w:val="7AB8407B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7">
    <w:nsid w:val="7B3D3589"/>
    <w:multiLevelType w:val="multilevel"/>
    <w:tmpl w:val="7B3D3589"/>
    <w:lvl w:ilvl="0" w:tentative="0">
      <w:start w:val="1"/>
      <w:numFmt w:val="decimal"/>
      <w:pStyle w:val="54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48">
    <w:nsid w:val="7E9B5473"/>
    <w:multiLevelType w:val="multilevel"/>
    <w:tmpl w:val="7E9B54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9">
    <w:nsid w:val="7F1361AD"/>
    <w:multiLevelType w:val="multilevel"/>
    <w:tmpl w:val="7F1361AD"/>
    <w:lvl w:ilvl="0" w:tentative="0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eastAsiaTheme="minorHAnsi" w:cstheme="minorHAnsi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5"/>
  </w:num>
  <w:num w:numId="3">
    <w:abstractNumId w:val="47"/>
  </w:num>
  <w:num w:numId="4">
    <w:abstractNumId w:val="31"/>
  </w:num>
  <w:num w:numId="5">
    <w:abstractNumId w:val="33"/>
  </w:num>
  <w:num w:numId="6">
    <w:abstractNumId w:val="45"/>
  </w:num>
  <w:num w:numId="7">
    <w:abstractNumId w:val="36"/>
  </w:num>
  <w:num w:numId="8">
    <w:abstractNumId w:val="6"/>
  </w:num>
  <w:num w:numId="9">
    <w:abstractNumId w:val="13"/>
  </w:num>
  <w:num w:numId="10">
    <w:abstractNumId w:val="3"/>
  </w:num>
  <w:num w:numId="11">
    <w:abstractNumId w:val="35"/>
  </w:num>
  <w:num w:numId="12">
    <w:abstractNumId w:val="26"/>
  </w:num>
  <w:num w:numId="13">
    <w:abstractNumId w:val="38"/>
  </w:num>
  <w:num w:numId="14">
    <w:abstractNumId w:val="46"/>
  </w:num>
  <w:num w:numId="15">
    <w:abstractNumId w:val="2"/>
  </w:num>
  <w:num w:numId="16">
    <w:abstractNumId w:val="11"/>
  </w:num>
  <w:num w:numId="17">
    <w:abstractNumId w:val="48"/>
  </w:num>
  <w:num w:numId="18">
    <w:abstractNumId w:val="42"/>
  </w:num>
  <w:num w:numId="19">
    <w:abstractNumId w:val="17"/>
  </w:num>
  <w:num w:numId="20">
    <w:abstractNumId w:val="30"/>
  </w:num>
  <w:num w:numId="21">
    <w:abstractNumId w:val="5"/>
  </w:num>
  <w:num w:numId="22">
    <w:abstractNumId w:val="9"/>
  </w:num>
  <w:num w:numId="23">
    <w:abstractNumId w:val="16"/>
  </w:num>
  <w:num w:numId="24">
    <w:abstractNumId w:val="0"/>
  </w:num>
  <w:num w:numId="25">
    <w:abstractNumId w:val="44"/>
  </w:num>
  <w:num w:numId="26">
    <w:abstractNumId w:val="8"/>
  </w:num>
  <w:num w:numId="27">
    <w:abstractNumId w:val="4"/>
  </w:num>
  <w:num w:numId="28">
    <w:abstractNumId w:val="14"/>
  </w:num>
  <w:num w:numId="29">
    <w:abstractNumId w:val="20"/>
  </w:num>
  <w:num w:numId="30">
    <w:abstractNumId w:val="49"/>
  </w:num>
  <w:num w:numId="31">
    <w:abstractNumId w:val="28"/>
  </w:num>
  <w:num w:numId="32">
    <w:abstractNumId w:val="21"/>
  </w:num>
  <w:num w:numId="33">
    <w:abstractNumId w:val="32"/>
  </w:num>
  <w:num w:numId="34">
    <w:abstractNumId w:val="12"/>
  </w:num>
  <w:num w:numId="35">
    <w:abstractNumId w:val="40"/>
  </w:num>
  <w:num w:numId="36">
    <w:abstractNumId w:val="41"/>
  </w:num>
  <w:num w:numId="37">
    <w:abstractNumId w:val="7"/>
  </w:num>
  <w:num w:numId="38">
    <w:abstractNumId w:val="37"/>
  </w:num>
  <w:num w:numId="39">
    <w:abstractNumId w:val="24"/>
  </w:num>
  <w:num w:numId="40">
    <w:abstractNumId w:val="34"/>
  </w:num>
  <w:num w:numId="41">
    <w:abstractNumId w:val="22"/>
  </w:num>
  <w:num w:numId="42">
    <w:abstractNumId w:val="18"/>
  </w:num>
  <w:num w:numId="43">
    <w:abstractNumId w:val="10"/>
  </w:num>
  <w:num w:numId="44">
    <w:abstractNumId w:val="39"/>
  </w:num>
  <w:num w:numId="45">
    <w:abstractNumId w:val="29"/>
  </w:num>
  <w:num w:numId="46">
    <w:abstractNumId w:val="25"/>
  </w:num>
  <w:num w:numId="47">
    <w:abstractNumId w:val="43"/>
  </w:num>
  <w:num w:numId="48">
    <w:abstractNumId w:val="19"/>
  </w:num>
  <w:num w:numId="49">
    <w:abstractNumId w:val="23"/>
  </w:num>
  <w:num w:numId="5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dit="forms" w:enforcement="0"/>
  <w:defaultTabStop w:val="708"/>
  <w:characterSpacingControl w:val="doNotCompress"/>
  <w:hdrShapeDefaults>
    <o:shapelayout v:ext="edit">
      <o:idmap v:ext="edit" data="1"/>
    </o:shapelayout>
  </w:hdrShapeDefaults>
  <w:footnotePr>
    <w:footnote w:id="2"/>
    <w:footnote w:id="3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7C1"/>
    <w:rsid w:val="00000A50"/>
    <w:rsid w:val="0000197F"/>
    <w:rsid w:val="000020AF"/>
    <w:rsid w:val="00002381"/>
    <w:rsid w:val="000024C3"/>
    <w:rsid w:val="000031C7"/>
    <w:rsid w:val="00003568"/>
    <w:rsid w:val="00003D07"/>
    <w:rsid w:val="00004F8B"/>
    <w:rsid w:val="000052F5"/>
    <w:rsid w:val="000053B9"/>
    <w:rsid w:val="00006A80"/>
    <w:rsid w:val="000074E4"/>
    <w:rsid w:val="00007EB4"/>
    <w:rsid w:val="00007F4E"/>
    <w:rsid w:val="000101C2"/>
    <w:rsid w:val="0001069D"/>
    <w:rsid w:val="00010886"/>
    <w:rsid w:val="000112CD"/>
    <w:rsid w:val="0001226E"/>
    <w:rsid w:val="00012C28"/>
    <w:rsid w:val="00013CFE"/>
    <w:rsid w:val="00014564"/>
    <w:rsid w:val="00015287"/>
    <w:rsid w:val="000154F0"/>
    <w:rsid w:val="0001785A"/>
    <w:rsid w:val="000208F9"/>
    <w:rsid w:val="00022633"/>
    <w:rsid w:val="00023122"/>
    <w:rsid w:val="00024394"/>
    <w:rsid w:val="00024A2C"/>
    <w:rsid w:val="00024B80"/>
    <w:rsid w:val="00025A34"/>
    <w:rsid w:val="00026633"/>
    <w:rsid w:val="00030FAD"/>
    <w:rsid w:val="000310A4"/>
    <w:rsid w:val="000311CD"/>
    <w:rsid w:val="00031543"/>
    <w:rsid w:val="00033079"/>
    <w:rsid w:val="00033730"/>
    <w:rsid w:val="0003394D"/>
    <w:rsid w:val="00033CFB"/>
    <w:rsid w:val="00034730"/>
    <w:rsid w:val="00034A66"/>
    <w:rsid w:val="0003530D"/>
    <w:rsid w:val="00035630"/>
    <w:rsid w:val="000356C2"/>
    <w:rsid w:val="00036008"/>
    <w:rsid w:val="0003672C"/>
    <w:rsid w:val="000367DC"/>
    <w:rsid w:val="00036BC9"/>
    <w:rsid w:val="0003793A"/>
    <w:rsid w:val="00037AEF"/>
    <w:rsid w:val="00040035"/>
    <w:rsid w:val="00040321"/>
    <w:rsid w:val="00040F25"/>
    <w:rsid w:val="0004115B"/>
    <w:rsid w:val="000419A7"/>
    <w:rsid w:val="000439CD"/>
    <w:rsid w:val="0004445D"/>
    <w:rsid w:val="00044B77"/>
    <w:rsid w:val="00044ECD"/>
    <w:rsid w:val="000453B1"/>
    <w:rsid w:val="00045469"/>
    <w:rsid w:val="000456A6"/>
    <w:rsid w:val="00045735"/>
    <w:rsid w:val="0004586F"/>
    <w:rsid w:val="00046ABF"/>
    <w:rsid w:val="0004713F"/>
    <w:rsid w:val="00047230"/>
    <w:rsid w:val="00047285"/>
    <w:rsid w:val="00047DF0"/>
    <w:rsid w:val="000506FB"/>
    <w:rsid w:val="0005081F"/>
    <w:rsid w:val="00051900"/>
    <w:rsid w:val="00051A74"/>
    <w:rsid w:val="00051D18"/>
    <w:rsid w:val="000522BA"/>
    <w:rsid w:val="00052451"/>
    <w:rsid w:val="00052F3F"/>
    <w:rsid w:val="00054FBD"/>
    <w:rsid w:val="00056016"/>
    <w:rsid w:val="000564CE"/>
    <w:rsid w:val="00057795"/>
    <w:rsid w:val="000605ED"/>
    <w:rsid w:val="00060A7E"/>
    <w:rsid w:val="00061D2D"/>
    <w:rsid w:val="000627A5"/>
    <w:rsid w:val="00063564"/>
    <w:rsid w:val="00064143"/>
    <w:rsid w:val="000644E8"/>
    <w:rsid w:val="00064839"/>
    <w:rsid w:val="0006641C"/>
    <w:rsid w:val="000708E4"/>
    <w:rsid w:val="00071750"/>
    <w:rsid w:val="0007247A"/>
    <w:rsid w:val="00072D49"/>
    <w:rsid w:val="0007387C"/>
    <w:rsid w:val="00073F3D"/>
    <w:rsid w:val="0007477E"/>
    <w:rsid w:val="0007490C"/>
    <w:rsid w:val="00074953"/>
    <w:rsid w:val="00075D1B"/>
    <w:rsid w:val="00076229"/>
    <w:rsid w:val="000764B3"/>
    <w:rsid w:val="000771A3"/>
    <w:rsid w:val="00080C1B"/>
    <w:rsid w:val="00080EB6"/>
    <w:rsid w:val="00081ACE"/>
    <w:rsid w:val="00082038"/>
    <w:rsid w:val="000834E9"/>
    <w:rsid w:val="000838E7"/>
    <w:rsid w:val="00083ACC"/>
    <w:rsid w:val="00084783"/>
    <w:rsid w:val="00085489"/>
    <w:rsid w:val="00085571"/>
    <w:rsid w:val="000858C4"/>
    <w:rsid w:val="000859C1"/>
    <w:rsid w:val="00085EFE"/>
    <w:rsid w:val="00086933"/>
    <w:rsid w:val="00086A58"/>
    <w:rsid w:val="00086B78"/>
    <w:rsid w:val="0009054B"/>
    <w:rsid w:val="00091538"/>
    <w:rsid w:val="00091780"/>
    <w:rsid w:val="00091B50"/>
    <w:rsid w:val="00091CC1"/>
    <w:rsid w:val="00092896"/>
    <w:rsid w:val="00094D6D"/>
    <w:rsid w:val="00095447"/>
    <w:rsid w:val="0009751C"/>
    <w:rsid w:val="00097700"/>
    <w:rsid w:val="000A1C58"/>
    <w:rsid w:val="000A20E1"/>
    <w:rsid w:val="000A2988"/>
    <w:rsid w:val="000A3A5C"/>
    <w:rsid w:val="000A3B20"/>
    <w:rsid w:val="000A4590"/>
    <w:rsid w:val="000A4D34"/>
    <w:rsid w:val="000A552C"/>
    <w:rsid w:val="000A634C"/>
    <w:rsid w:val="000A6D83"/>
    <w:rsid w:val="000A7137"/>
    <w:rsid w:val="000A7287"/>
    <w:rsid w:val="000B060F"/>
    <w:rsid w:val="000B1EF3"/>
    <w:rsid w:val="000B227F"/>
    <w:rsid w:val="000B300D"/>
    <w:rsid w:val="000B4A59"/>
    <w:rsid w:val="000B6031"/>
    <w:rsid w:val="000B65A1"/>
    <w:rsid w:val="000B6F88"/>
    <w:rsid w:val="000B76E1"/>
    <w:rsid w:val="000C0DAD"/>
    <w:rsid w:val="000C1B7D"/>
    <w:rsid w:val="000C1CFF"/>
    <w:rsid w:val="000C335B"/>
    <w:rsid w:val="000C4549"/>
    <w:rsid w:val="000C4924"/>
    <w:rsid w:val="000C4B92"/>
    <w:rsid w:val="000C5703"/>
    <w:rsid w:val="000C5A51"/>
    <w:rsid w:val="000C5B3F"/>
    <w:rsid w:val="000C64AD"/>
    <w:rsid w:val="000C6705"/>
    <w:rsid w:val="000C7169"/>
    <w:rsid w:val="000C746F"/>
    <w:rsid w:val="000C750F"/>
    <w:rsid w:val="000D0281"/>
    <w:rsid w:val="000D10DB"/>
    <w:rsid w:val="000D14ED"/>
    <w:rsid w:val="000D192B"/>
    <w:rsid w:val="000D1E2F"/>
    <w:rsid w:val="000D1E6E"/>
    <w:rsid w:val="000D23C4"/>
    <w:rsid w:val="000D3B19"/>
    <w:rsid w:val="000D3F14"/>
    <w:rsid w:val="000D4936"/>
    <w:rsid w:val="000D5B16"/>
    <w:rsid w:val="000D61FD"/>
    <w:rsid w:val="000D6DB6"/>
    <w:rsid w:val="000D7D96"/>
    <w:rsid w:val="000E0E9D"/>
    <w:rsid w:val="000E0FF6"/>
    <w:rsid w:val="000E34BD"/>
    <w:rsid w:val="000E4B6A"/>
    <w:rsid w:val="000E57E3"/>
    <w:rsid w:val="000E6405"/>
    <w:rsid w:val="000E67BE"/>
    <w:rsid w:val="000E6FCC"/>
    <w:rsid w:val="000E72D1"/>
    <w:rsid w:val="000E7CDE"/>
    <w:rsid w:val="000E7F65"/>
    <w:rsid w:val="000F0F0F"/>
    <w:rsid w:val="000F1B08"/>
    <w:rsid w:val="000F2693"/>
    <w:rsid w:val="000F27C8"/>
    <w:rsid w:val="000F2BBE"/>
    <w:rsid w:val="000F36DF"/>
    <w:rsid w:val="000F3B83"/>
    <w:rsid w:val="000F43D4"/>
    <w:rsid w:val="000F4636"/>
    <w:rsid w:val="000F4AB2"/>
    <w:rsid w:val="000F4F29"/>
    <w:rsid w:val="000F5530"/>
    <w:rsid w:val="000F571E"/>
    <w:rsid w:val="000F61F9"/>
    <w:rsid w:val="000F6681"/>
    <w:rsid w:val="000F7015"/>
    <w:rsid w:val="000F760C"/>
    <w:rsid w:val="000F7725"/>
    <w:rsid w:val="0010069A"/>
    <w:rsid w:val="00100CBF"/>
    <w:rsid w:val="00100EA7"/>
    <w:rsid w:val="001013E1"/>
    <w:rsid w:val="00101D3A"/>
    <w:rsid w:val="00101D54"/>
    <w:rsid w:val="00101F27"/>
    <w:rsid w:val="001020B4"/>
    <w:rsid w:val="0010291C"/>
    <w:rsid w:val="00102BEB"/>
    <w:rsid w:val="00102C4D"/>
    <w:rsid w:val="00102CE1"/>
    <w:rsid w:val="001030D2"/>
    <w:rsid w:val="001049C6"/>
    <w:rsid w:val="00104B05"/>
    <w:rsid w:val="00104BD6"/>
    <w:rsid w:val="001051B7"/>
    <w:rsid w:val="001055B5"/>
    <w:rsid w:val="00106593"/>
    <w:rsid w:val="00106787"/>
    <w:rsid w:val="001069BF"/>
    <w:rsid w:val="001069FB"/>
    <w:rsid w:val="00106D37"/>
    <w:rsid w:val="00106E32"/>
    <w:rsid w:val="00107285"/>
    <w:rsid w:val="0010749D"/>
    <w:rsid w:val="0011108C"/>
    <w:rsid w:val="0011129F"/>
    <w:rsid w:val="00111CAF"/>
    <w:rsid w:val="00112012"/>
    <w:rsid w:val="0011284E"/>
    <w:rsid w:val="001129EA"/>
    <w:rsid w:val="00112C4D"/>
    <w:rsid w:val="00112DA2"/>
    <w:rsid w:val="00112E2C"/>
    <w:rsid w:val="001145F8"/>
    <w:rsid w:val="0011667C"/>
    <w:rsid w:val="00116A7D"/>
    <w:rsid w:val="00116C80"/>
    <w:rsid w:val="00116F70"/>
    <w:rsid w:val="00117831"/>
    <w:rsid w:val="0012122C"/>
    <w:rsid w:val="00121249"/>
    <w:rsid w:val="001216FD"/>
    <w:rsid w:val="00121A77"/>
    <w:rsid w:val="00121BB8"/>
    <w:rsid w:val="00121E64"/>
    <w:rsid w:val="001220CA"/>
    <w:rsid w:val="001222EE"/>
    <w:rsid w:val="0012298F"/>
    <w:rsid w:val="00123C84"/>
    <w:rsid w:val="0012422E"/>
    <w:rsid w:val="001242AB"/>
    <w:rsid w:val="0012469B"/>
    <w:rsid w:val="00124704"/>
    <w:rsid w:val="00125F03"/>
    <w:rsid w:val="00126031"/>
    <w:rsid w:val="00126220"/>
    <w:rsid w:val="00126344"/>
    <w:rsid w:val="00126D18"/>
    <w:rsid w:val="00127A24"/>
    <w:rsid w:val="00127D5D"/>
    <w:rsid w:val="00130036"/>
    <w:rsid w:val="0013103F"/>
    <w:rsid w:val="001314D5"/>
    <w:rsid w:val="001319B1"/>
    <w:rsid w:val="0013205C"/>
    <w:rsid w:val="001323D3"/>
    <w:rsid w:val="001327E2"/>
    <w:rsid w:val="00132C64"/>
    <w:rsid w:val="0013304F"/>
    <w:rsid w:val="00133689"/>
    <w:rsid w:val="00133AED"/>
    <w:rsid w:val="00134A67"/>
    <w:rsid w:val="00134CB9"/>
    <w:rsid w:val="00136BE6"/>
    <w:rsid w:val="00136CB0"/>
    <w:rsid w:val="001370F7"/>
    <w:rsid w:val="0013770F"/>
    <w:rsid w:val="00137D3F"/>
    <w:rsid w:val="00140389"/>
    <w:rsid w:val="001409AE"/>
    <w:rsid w:val="00140D8E"/>
    <w:rsid w:val="00141782"/>
    <w:rsid w:val="00141ED7"/>
    <w:rsid w:val="00141F85"/>
    <w:rsid w:val="00142F61"/>
    <w:rsid w:val="001431C4"/>
    <w:rsid w:val="001449E3"/>
    <w:rsid w:val="00144C06"/>
    <w:rsid w:val="00144FA1"/>
    <w:rsid w:val="00145289"/>
    <w:rsid w:val="00147184"/>
    <w:rsid w:val="001471A3"/>
    <w:rsid w:val="00147227"/>
    <w:rsid w:val="0015142D"/>
    <w:rsid w:val="00151E7B"/>
    <w:rsid w:val="0015297B"/>
    <w:rsid w:val="00152C0C"/>
    <w:rsid w:val="001534B6"/>
    <w:rsid w:val="00153851"/>
    <w:rsid w:val="00154B75"/>
    <w:rsid w:val="00155754"/>
    <w:rsid w:val="001560FE"/>
    <w:rsid w:val="0015619A"/>
    <w:rsid w:val="00156627"/>
    <w:rsid w:val="0015670E"/>
    <w:rsid w:val="00156AEB"/>
    <w:rsid w:val="001573D2"/>
    <w:rsid w:val="001574B5"/>
    <w:rsid w:val="00157797"/>
    <w:rsid w:val="001578F2"/>
    <w:rsid w:val="001600E1"/>
    <w:rsid w:val="00160B3D"/>
    <w:rsid w:val="00161162"/>
    <w:rsid w:val="001618F9"/>
    <w:rsid w:val="00162BE4"/>
    <w:rsid w:val="00164729"/>
    <w:rsid w:val="00164F74"/>
    <w:rsid w:val="00165395"/>
    <w:rsid w:val="0016540A"/>
    <w:rsid w:val="001655C4"/>
    <w:rsid w:val="00167086"/>
    <w:rsid w:val="001670BF"/>
    <w:rsid w:val="00167176"/>
    <w:rsid w:val="00167364"/>
    <w:rsid w:val="001679E9"/>
    <w:rsid w:val="00170356"/>
    <w:rsid w:val="0017103E"/>
    <w:rsid w:val="0017130C"/>
    <w:rsid w:val="0017134B"/>
    <w:rsid w:val="0017135A"/>
    <w:rsid w:val="0017153D"/>
    <w:rsid w:val="00171821"/>
    <w:rsid w:val="001727FA"/>
    <w:rsid w:val="001728A5"/>
    <w:rsid w:val="00172E85"/>
    <w:rsid w:val="001738E7"/>
    <w:rsid w:val="001739D6"/>
    <w:rsid w:val="00174DBE"/>
    <w:rsid w:val="00175ABC"/>
    <w:rsid w:val="001766E8"/>
    <w:rsid w:val="0018092C"/>
    <w:rsid w:val="00180F47"/>
    <w:rsid w:val="001817C1"/>
    <w:rsid w:val="00181B52"/>
    <w:rsid w:val="00182073"/>
    <w:rsid w:val="001826A2"/>
    <w:rsid w:val="001833BB"/>
    <w:rsid w:val="00183401"/>
    <w:rsid w:val="00183A43"/>
    <w:rsid w:val="00183AAB"/>
    <w:rsid w:val="00183C79"/>
    <w:rsid w:val="00183D36"/>
    <w:rsid w:val="0018415F"/>
    <w:rsid w:val="0018445C"/>
    <w:rsid w:val="00184E59"/>
    <w:rsid w:val="0018708B"/>
    <w:rsid w:val="00191188"/>
    <w:rsid w:val="00191953"/>
    <w:rsid w:val="00191D02"/>
    <w:rsid w:val="00192805"/>
    <w:rsid w:val="00192870"/>
    <w:rsid w:val="00194491"/>
    <w:rsid w:val="00194832"/>
    <w:rsid w:val="00195F89"/>
    <w:rsid w:val="001978CF"/>
    <w:rsid w:val="00197CF1"/>
    <w:rsid w:val="001A0248"/>
    <w:rsid w:val="001A075B"/>
    <w:rsid w:val="001A082B"/>
    <w:rsid w:val="001A0F74"/>
    <w:rsid w:val="001A17B8"/>
    <w:rsid w:val="001A243E"/>
    <w:rsid w:val="001A2D6E"/>
    <w:rsid w:val="001A2DED"/>
    <w:rsid w:val="001A2F86"/>
    <w:rsid w:val="001A3225"/>
    <w:rsid w:val="001A323E"/>
    <w:rsid w:val="001A4DB9"/>
    <w:rsid w:val="001A5258"/>
    <w:rsid w:val="001A5D87"/>
    <w:rsid w:val="001A6F3E"/>
    <w:rsid w:val="001A76F9"/>
    <w:rsid w:val="001B0ADF"/>
    <w:rsid w:val="001B0CB6"/>
    <w:rsid w:val="001B1017"/>
    <w:rsid w:val="001B1186"/>
    <w:rsid w:val="001B2D28"/>
    <w:rsid w:val="001B3422"/>
    <w:rsid w:val="001B358F"/>
    <w:rsid w:val="001B36BB"/>
    <w:rsid w:val="001B3F65"/>
    <w:rsid w:val="001B4554"/>
    <w:rsid w:val="001B46A9"/>
    <w:rsid w:val="001B48E7"/>
    <w:rsid w:val="001B49FB"/>
    <w:rsid w:val="001B4FC4"/>
    <w:rsid w:val="001B588C"/>
    <w:rsid w:val="001B58FA"/>
    <w:rsid w:val="001B5CB8"/>
    <w:rsid w:val="001B7A98"/>
    <w:rsid w:val="001C05F1"/>
    <w:rsid w:val="001C0997"/>
    <w:rsid w:val="001C0E53"/>
    <w:rsid w:val="001C12DB"/>
    <w:rsid w:val="001C19C1"/>
    <w:rsid w:val="001C27C9"/>
    <w:rsid w:val="001C3BC0"/>
    <w:rsid w:val="001C488E"/>
    <w:rsid w:val="001C5760"/>
    <w:rsid w:val="001C6112"/>
    <w:rsid w:val="001C6245"/>
    <w:rsid w:val="001C6BDE"/>
    <w:rsid w:val="001C7365"/>
    <w:rsid w:val="001C7976"/>
    <w:rsid w:val="001C79CD"/>
    <w:rsid w:val="001D0F58"/>
    <w:rsid w:val="001D14AD"/>
    <w:rsid w:val="001D1845"/>
    <w:rsid w:val="001D2069"/>
    <w:rsid w:val="001D283A"/>
    <w:rsid w:val="001D342B"/>
    <w:rsid w:val="001D3E00"/>
    <w:rsid w:val="001D5A36"/>
    <w:rsid w:val="001D5E1E"/>
    <w:rsid w:val="001D6150"/>
    <w:rsid w:val="001D6357"/>
    <w:rsid w:val="001D66BA"/>
    <w:rsid w:val="001D6828"/>
    <w:rsid w:val="001D773D"/>
    <w:rsid w:val="001D7B7F"/>
    <w:rsid w:val="001E04B3"/>
    <w:rsid w:val="001E1260"/>
    <w:rsid w:val="001E21AA"/>
    <w:rsid w:val="001E2C91"/>
    <w:rsid w:val="001E2E80"/>
    <w:rsid w:val="001E300B"/>
    <w:rsid w:val="001E3017"/>
    <w:rsid w:val="001E3020"/>
    <w:rsid w:val="001E3365"/>
    <w:rsid w:val="001E345C"/>
    <w:rsid w:val="001E3D2F"/>
    <w:rsid w:val="001E3E47"/>
    <w:rsid w:val="001E426E"/>
    <w:rsid w:val="001E4B53"/>
    <w:rsid w:val="001E5107"/>
    <w:rsid w:val="001E5295"/>
    <w:rsid w:val="001E58F1"/>
    <w:rsid w:val="001E59D4"/>
    <w:rsid w:val="001F07D2"/>
    <w:rsid w:val="001F08E7"/>
    <w:rsid w:val="001F10BA"/>
    <w:rsid w:val="001F142D"/>
    <w:rsid w:val="001F29E2"/>
    <w:rsid w:val="001F3000"/>
    <w:rsid w:val="001F332A"/>
    <w:rsid w:val="001F3390"/>
    <w:rsid w:val="001F3ADF"/>
    <w:rsid w:val="001F60D9"/>
    <w:rsid w:val="001F735F"/>
    <w:rsid w:val="001F7B82"/>
    <w:rsid w:val="001F7EEC"/>
    <w:rsid w:val="00200049"/>
    <w:rsid w:val="002005D0"/>
    <w:rsid w:val="00200CEF"/>
    <w:rsid w:val="002012A1"/>
    <w:rsid w:val="00201775"/>
    <w:rsid w:val="00201FA4"/>
    <w:rsid w:val="0020291F"/>
    <w:rsid w:val="00202FF9"/>
    <w:rsid w:val="00204217"/>
    <w:rsid w:val="0020458D"/>
    <w:rsid w:val="002050C4"/>
    <w:rsid w:val="00205291"/>
    <w:rsid w:val="00205734"/>
    <w:rsid w:val="00205ABE"/>
    <w:rsid w:val="00206A38"/>
    <w:rsid w:val="00206B05"/>
    <w:rsid w:val="00206D18"/>
    <w:rsid w:val="002073EF"/>
    <w:rsid w:val="0020795F"/>
    <w:rsid w:val="00207E34"/>
    <w:rsid w:val="00210668"/>
    <w:rsid w:val="002106DF"/>
    <w:rsid w:val="002111FC"/>
    <w:rsid w:val="00211893"/>
    <w:rsid w:val="0021197A"/>
    <w:rsid w:val="00212DC8"/>
    <w:rsid w:val="00212E85"/>
    <w:rsid w:val="0021368F"/>
    <w:rsid w:val="00214C38"/>
    <w:rsid w:val="0021515C"/>
    <w:rsid w:val="00215967"/>
    <w:rsid w:val="002161A3"/>
    <w:rsid w:val="00216363"/>
    <w:rsid w:val="0021774C"/>
    <w:rsid w:val="002177A0"/>
    <w:rsid w:val="00220180"/>
    <w:rsid w:val="00220198"/>
    <w:rsid w:val="00220357"/>
    <w:rsid w:val="002213DF"/>
    <w:rsid w:val="00221EA5"/>
    <w:rsid w:val="00222135"/>
    <w:rsid w:val="002234FB"/>
    <w:rsid w:val="002238A4"/>
    <w:rsid w:val="00224AF0"/>
    <w:rsid w:val="00224CF4"/>
    <w:rsid w:val="00227CC8"/>
    <w:rsid w:val="00230E83"/>
    <w:rsid w:val="002315BB"/>
    <w:rsid w:val="0023183C"/>
    <w:rsid w:val="00231EDF"/>
    <w:rsid w:val="002334FE"/>
    <w:rsid w:val="0023393B"/>
    <w:rsid w:val="00233990"/>
    <w:rsid w:val="00233D4B"/>
    <w:rsid w:val="00234432"/>
    <w:rsid w:val="0023605D"/>
    <w:rsid w:val="00236266"/>
    <w:rsid w:val="002366D3"/>
    <w:rsid w:val="00236734"/>
    <w:rsid w:val="00236822"/>
    <w:rsid w:val="002371E6"/>
    <w:rsid w:val="002374A1"/>
    <w:rsid w:val="002376DE"/>
    <w:rsid w:val="00237900"/>
    <w:rsid w:val="00240D17"/>
    <w:rsid w:val="00240DA3"/>
    <w:rsid w:val="00241774"/>
    <w:rsid w:val="002423D0"/>
    <w:rsid w:val="00243350"/>
    <w:rsid w:val="00244661"/>
    <w:rsid w:val="00244CBF"/>
    <w:rsid w:val="002453FA"/>
    <w:rsid w:val="00245D3D"/>
    <w:rsid w:val="00246079"/>
    <w:rsid w:val="002465FD"/>
    <w:rsid w:val="00246647"/>
    <w:rsid w:val="00246E5D"/>
    <w:rsid w:val="0024703F"/>
    <w:rsid w:val="00247508"/>
    <w:rsid w:val="00247AB6"/>
    <w:rsid w:val="00247C3D"/>
    <w:rsid w:val="0025278B"/>
    <w:rsid w:val="00252A4B"/>
    <w:rsid w:val="00252C76"/>
    <w:rsid w:val="00253687"/>
    <w:rsid w:val="002539BE"/>
    <w:rsid w:val="00254A22"/>
    <w:rsid w:val="00254B03"/>
    <w:rsid w:val="0025518B"/>
    <w:rsid w:val="00255A67"/>
    <w:rsid w:val="00255E6F"/>
    <w:rsid w:val="00255E79"/>
    <w:rsid w:val="002562D0"/>
    <w:rsid w:val="00256517"/>
    <w:rsid w:val="0025655F"/>
    <w:rsid w:val="00256E08"/>
    <w:rsid w:val="0025778F"/>
    <w:rsid w:val="00257999"/>
    <w:rsid w:val="00260490"/>
    <w:rsid w:val="002618E3"/>
    <w:rsid w:val="002623DA"/>
    <w:rsid w:val="00262EA6"/>
    <w:rsid w:val="00263140"/>
    <w:rsid w:val="0026335E"/>
    <w:rsid w:val="002633B5"/>
    <w:rsid w:val="00264489"/>
    <w:rsid w:val="00264492"/>
    <w:rsid w:val="0026450D"/>
    <w:rsid w:val="002648CC"/>
    <w:rsid w:val="00264B2A"/>
    <w:rsid w:val="00265068"/>
    <w:rsid w:val="002650A2"/>
    <w:rsid w:val="00265364"/>
    <w:rsid w:val="00266262"/>
    <w:rsid w:val="00267F83"/>
    <w:rsid w:val="00270C33"/>
    <w:rsid w:val="00270D66"/>
    <w:rsid w:val="00270F88"/>
    <w:rsid w:val="0027132C"/>
    <w:rsid w:val="00271A34"/>
    <w:rsid w:val="00271FE7"/>
    <w:rsid w:val="002724DF"/>
    <w:rsid w:val="0027264D"/>
    <w:rsid w:val="00272786"/>
    <w:rsid w:val="00272980"/>
    <w:rsid w:val="00272AEC"/>
    <w:rsid w:val="002732F1"/>
    <w:rsid w:val="002736DD"/>
    <w:rsid w:val="002743F3"/>
    <w:rsid w:val="00274733"/>
    <w:rsid w:val="00274D0A"/>
    <w:rsid w:val="0027501B"/>
    <w:rsid w:val="00276AE4"/>
    <w:rsid w:val="00277029"/>
    <w:rsid w:val="002779C9"/>
    <w:rsid w:val="0028023C"/>
    <w:rsid w:val="002806E2"/>
    <w:rsid w:val="00281648"/>
    <w:rsid w:val="00281766"/>
    <w:rsid w:val="0028179D"/>
    <w:rsid w:val="00281B24"/>
    <w:rsid w:val="00282121"/>
    <w:rsid w:val="00282444"/>
    <w:rsid w:val="00282D9F"/>
    <w:rsid w:val="002832BC"/>
    <w:rsid w:val="0028363C"/>
    <w:rsid w:val="002846B2"/>
    <w:rsid w:val="002853FB"/>
    <w:rsid w:val="00285C1F"/>
    <w:rsid w:val="00285D0F"/>
    <w:rsid w:val="002866BE"/>
    <w:rsid w:val="00287298"/>
    <w:rsid w:val="0028730C"/>
    <w:rsid w:val="002873C7"/>
    <w:rsid w:val="002879C6"/>
    <w:rsid w:val="00290E2C"/>
    <w:rsid w:val="00290FA3"/>
    <w:rsid w:val="00291C25"/>
    <w:rsid w:val="002920D1"/>
    <w:rsid w:val="002926C4"/>
    <w:rsid w:val="00293375"/>
    <w:rsid w:val="00294CDC"/>
    <w:rsid w:val="00294D0A"/>
    <w:rsid w:val="00295A12"/>
    <w:rsid w:val="00296764"/>
    <w:rsid w:val="00297114"/>
    <w:rsid w:val="00297247"/>
    <w:rsid w:val="002978D4"/>
    <w:rsid w:val="00297AB6"/>
    <w:rsid w:val="00297C8B"/>
    <w:rsid w:val="00297DD5"/>
    <w:rsid w:val="002A1D2D"/>
    <w:rsid w:val="002A2710"/>
    <w:rsid w:val="002A2A69"/>
    <w:rsid w:val="002A329E"/>
    <w:rsid w:val="002A386B"/>
    <w:rsid w:val="002A3C8C"/>
    <w:rsid w:val="002A4477"/>
    <w:rsid w:val="002A55A6"/>
    <w:rsid w:val="002A5A32"/>
    <w:rsid w:val="002A5E42"/>
    <w:rsid w:val="002A7AEC"/>
    <w:rsid w:val="002A7CA9"/>
    <w:rsid w:val="002A7F8A"/>
    <w:rsid w:val="002B059D"/>
    <w:rsid w:val="002B1C65"/>
    <w:rsid w:val="002B1E9C"/>
    <w:rsid w:val="002B3D1B"/>
    <w:rsid w:val="002B450E"/>
    <w:rsid w:val="002B48E8"/>
    <w:rsid w:val="002B4B7A"/>
    <w:rsid w:val="002B5069"/>
    <w:rsid w:val="002B53BF"/>
    <w:rsid w:val="002B5A44"/>
    <w:rsid w:val="002B6A57"/>
    <w:rsid w:val="002B79AB"/>
    <w:rsid w:val="002B7E7E"/>
    <w:rsid w:val="002B7F0E"/>
    <w:rsid w:val="002C0ACB"/>
    <w:rsid w:val="002C0C82"/>
    <w:rsid w:val="002C0DEB"/>
    <w:rsid w:val="002C3A19"/>
    <w:rsid w:val="002C3CD2"/>
    <w:rsid w:val="002C435F"/>
    <w:rsid w:val="002C6078"/>
    <w:rsid w:val="002C60C5"/>
    <w:rsid w:val="002C62F5"/>
    <w:rsid w:val="002C7022"/>
    <w:rsid w:val="002D012B"/>
    <w:rsid w:val="002D0985"/>
    <w:rsid w:val="002D183B"/>
    <w:rsid w:val="002D1CA3"/>
    <w:rsid w:val="002D2E3C"/>
    <w:rsid w:val="002D2EEE"/>
    <w:rsid w:val="002D3704"/>
    <w:rsid w:val="002D47CB"/>
    <w:rsid w:val="002D4B5E"/>
    <w:rsid w:val="002D522E"/>
    <w:rsid w:val="002D52DA"/>
    <w:rsid w:val="002D55A5"/>
    <w:rsid w:val="002D601A"/>
    <w:rsid w:val="002D6327"/>
    <w:rsid w:val="002D6CCF"/>
    <w:rsid w:val="002D6D58"/>
    <w:rsid w:val="002D729C"/>
    <w:rsid w:val="002D7CFE"/>
    <w:rsid w:val="002E01E3"/>
    <w:rsid w:val="002E0314"/>
    <w:rsid w:val="002E043E"/>
    <w:rsid w:val="002E1F6B"/>
    <w:rsid w:val="002E23A3"/>
    <w:rsid w:val="002E2685"/>
    <w:rsid w:val="002E5284"/>
    <w:rsid w:val="002E5B5C"/>
    <w:rsid w:val="002E69C6"/>
    <w:rsid w:val="002E6D71"/>
    <w:rsid w:val="002E6DCC"/>
    <w:rsid w:val="002F083B"/>
    <w:rsid w:val="002F0B44"/>
    <w:rsid w:val="002F0D6F"/>
    <w:rsid w:val="002F1379"/>
    <w:rsid w:val="002F33B2"/>
    <w:rsid w:val="002F3B0E"/>
    <w:rsid w:val="002F3F7E"/>
    <w:rsid w:val="002F427E"/>
    <w:rsid w:val="002F4ABE"/>
    <w:rsid w:val="002F5222"/>
    <w:rsid w:val="002F64B0"/>
    <w:rsid w:val="002F6581"/>
    <w:rsid w:val="002F7822"/>
    <w:rsid w:val="003001D7"/>
    <w:rsid w:val="003003F3"/>
    <w:rsid w:val="00300921"/>
    <w:rsid w:val="00301C86"/>
    <w:rsid w:val="00303956"/>
    <w:rsid w:val="00304C98"/>
    <w:rsid w:val="00306863"/>
    <w:rsid w:val="00307A77"/>
    <w:rsid w:val="003101DB"/>
    <w:rsid w:val="0031092B"/>
    <w:rsid w:val="0031115E"/>
    <w:rsid w:val="00311270"/>
    <w:rsid w:val="00311410"/>
    <w:rsid w:val="003130A9"/>
    <w:rsid w:val="0031323A"/>
    <w:rsid w:val="00314291"/>
    <w:rsid w:val="003153F3"/>
    <w:rsid w:val="003158A3"/>
    <w:rsid w:val="00315B67"/>
    <w:rsid w:val="00316C54"/>
    <w:rsid w:val="00317128"/>
    <w:rsid w:val="003176CF"/>
    <w:rsid w:val="00321F8C"/>
    <w:rsid w:val="00322956"/>
    <w:rsid w:val="00322A84"/>
    <w:rsid w:val="00323256"/>
    <w:rsid w:val="00323503"/>
    <w:rsid w:val="00324196"/>
    <w:rsid w:val="003243B0"/>
    <w:rsid w:val="00326185"/>
    <w:rsid w:val="003261E3"/>
    <w:rsid w:val="00326388"/>
    <w:rsid w:val="003267B2"/>
    <w:rsid w:val="0032718A"/>
    <w:rsid w:val="00330514"/>
    <w:rsid w:val="003308A3"/>
    <w:rsid w:val="00331076"/>
    <w:rsid w:val="00331378"/>
    <w:rsid w:val="0033147F"/>
    <w:rsid w:val="0033276D"/>
    <w:rsid w:val="00332C29"/>
    <w:rsid w:val="00333F04"/>
    <w:rsid w:val="00334E9D"/>
    <w:rsid w:val="00334FE7"/>
    <w:rsid w:val="003354C0"/>
    <w:rsid w:val="00335675"/>
    <w:rsid w:val="00335712"/>
    <w:rsid w:val="0033574D"/>
    <w:rsid w:val="00335DB1"/>
    <w:rsid w:val="003362BB"/>
    <w:rsid w:val="0033685B"/>
    <w:rsid w:val="00336F02"/>
    <w:rsid w:val="00337824"/>
    <w:rsid w:val="00337D75"/>
    <w:rsid w:val="00337E8A"/>
    <w:rsid w:val="00340202"/>
    <w:rsid w:val="0034075D"/>
    <w:rsid w:val="003416F9"/>
    <w:rsid w:val="003421CA"/>
    <w:rsid w:val="00342A2A"/>
    <w:rsid w:val="0034399B"/>
    <w:rsid w:val="00344572"/>
    <w:rsid w:val="00345FD2"/>
    <w:rsid w:val="00346382"/>
    <w:rsid w:val="003463A7"/>
    <w:rsid w:val="003506EA"/>
    <w:rsid w:val="00351853"/>
    <w:rsid w:val="0035239C"/>
    <w:rsid w:val="003523A5"/>
    <w:rsid w:val="00352499"/>
    <w:rsid w:val="00352555"/>
    <w:rsid w:val="00352699"/>
    <w:rsid w:val="00352902"/>
    <w:rsid w:val="00352A82"/>
    <w:rsid w:val="00353586"/>
    <w:rsid w:val="003545A6"/>
    <w:rsid w:val="003545B6"/>
    <w:rsid w:val="0035463C"/>
    <w:rsid w:val="003562FC"/>
    <w:rsid w:val="003578F0"/>
    <w:rsid w:val="00357996"/>
    <w:rsid w:val="00357CD9"/>
    <w:rsid w:val="00360B66"/>
    <w:rsid w:val="00361373"/>
    <w:rsid w:val="00362AC6"/>
    <w:rsid w:val="0036324D"/>
    <w:rsid w:val="003632CF"/>
    <w:rsid w:val="00363EC6"/>
    <w:rsid w:val="0036509E"/>
    <w:rsid w:val="00365891"/>
    <w:rsid w:val="00365B1B"/>
    <w:rsid w:val="00365B97"/>
    <w:rsid w:val="00365C7A"/>
    <w:rsid w:val="00366591"/>
    <w:rsid w:val="003669D1"/>
    <w:rsid w:val="003672CA"/>
    <w:rsid w:val="00367AE9"/>
    <w:rsid w:val="00367CF1"/>
    <w:rsid w:val="00370CDD"/>
    <w:rsid w:val="00370D04"/>
    <w:rsid w:val="00370FA0"/>
    <w:rsid w:val="00371CAB"/>
    <w:rsid w:val="003724E6"/>
    <w:rsid w:val="00372C6B"/>
    <w:rsid w:val="00372EFB"/>
    <w:rsid w:val="00373F1D"/>
    <w:rsid w:val="00374E07"/>
    <w:rsid w:val="00375436"/>
    <w:rsid w:val="00375780"/>
    <w:rsid w:val="00375CCE"/>
    <w:rsid w:val="00375CEE"/>
    <w:rsid w:val="00375ECE"/>
    <w:rsid w:val="0037622D"/>
    <w:rsid w:val="003762B3"/>
    <w:rsid w:val="00376EA4"/>
    <w:rsid w:val="00377C6A"/>
    <w:rsid w:val="00380359"/>
    <w:rsid w:val="00380C2F"/>
    <w:rsid w:val="0038137F"/>
    <w:rsid w:val="003819AB"/>
    <w:rsid w:val="003823FA"/>
    <w:rsid w:val="00382C2C"/>
    <w:rsid w:val="00382D5E"/>
    <w:rsid w:val="00383125"/>
    <w:rsid w:val="00383143"/>
    <w:rsid w:val="00383596"/>
    <w:rsid w:val="003844EA"/>
    <w:rsid w:val="003847AF"/>
    <w:rsid w:val="003853F8"/>
    <w:rsid w:val="00385504"/>
    <w:rsid w:val="00385D61"/>
    <w:rsid w:val="00387365"/>
    <w:rsid w:val="00390AAB"/>
    <w:rsid w:val="00391897"/>
    <w:rsid w:val="00393026"/>
    <w:rsid w:val="00393643"/>
    <w:rsid w:val="00393D3E"/>
    <w:rsid w:val="00395B0B"/>
    <w:rsid w:val="00396858"/>
    <w:rsid w:val="00396F9A"/>
    <w:rsid w:val="00397560"/>
    <w:rsid w:val="00397B23"/>
    <w:rsid w:val="00397B8E"/>
    <w:rsid w:val="003A00C3"/>
    <w:rsid w:val="003A0583"/>
    <w:rsid w:val="003A0D40"/>
    <w:rsid w:val="003A132B"/>
    <w:rsid w:val="003A18A7"/>
    <w:rsid w:val="003A2B9F"/>
    <w:rsid w:val="003A33BE"/>
    <w:rsid w:val="003A3BE6"/>
    <w:rsid w:val="003A4270"/>
    <w:rsid w:val="003A4B1B"/>
    <w:rsid w:val="003A570F"/>
    <w:rsid w:val="003A613A"/>
    <w:rsid w:val="003A6FE4"/>
    <w:rsid w:val="003A72BA"/>
    <w:rsid w:val="003A7864"/>
    <w:rsid w:val="003A7872"/>
    <w:rsid w:val="003A78DC"/>
    <w:rsid w:val="003A7F8B"/>
    <w:rsid w:val="003B000D"/>
    <w:rsid w:val="003B0099"/>
    <w:rsid w:val="003B0278"/>
    <w:rsid w:val="003B08D2"/>
    <w:rsid w:val="003B0D1B"/>
    <w:rsid w:val="003B124C"/>
    <w:rsid w:val="003B1753"/>
    <w:rsid w:val="003B1FB2"/>
    <w:rsid w:val="003B21A7"/>
    <w:rsid w:val="003B2AB6"/>
    <w:rsid w:val="003B2ACB"/>
    <w:rsid w:val="003B2BB2"/>
    <w:rsid w:val="003B327A"/>
    <w:rsid w:val="003B3F53"/>
    <w:rsid w:val="003B3FDF"/>
    <w:rsid w:val="003B4409"/>
    <w:rsid w:val="003B497D"/>
    <w:rsid w:val="003B4AD3"/>
    <w:rsid w:val="003B4DD1"/>
    <w:rsid w:val="003B5121"/>
    <w:rsid w:val="003B5355"/>
    <w:rsid w:val="003B6EE9"/>
    <w:rsid w:val="003B74DA"/>
    <w:rsid w:val="003B788F"/>
    <w:rsid w:val="003B7932"/>
    <w:rsid w:val="003C0019"/>
    <w:rsid w:val="003C160E"/>
    <w:rsid w:val="003C217E"/>
    <w:rsid w:val="003C291C"/>
    <w:rsid w:val="003C29FE"/>
    <w:rsid w:val="003C2DDB"/>
    <w:rsid w:val="003C2FBC"/>
    <w:rsid w:val="003C3A77"/>
    <w:rsid w:val="003C3C60"/>
    <w:rsid w:val="003C3DC8"/>
    <w:rsid w:val="003C3FEF"/>
    <w:rsid w:val="003C4630"/>
    <w:rsid w:val="003C4775"/>
    <w:rsid w:val="003C5A68"/>
    <w:rsid w:val="003C6868"/>
    <w:rsid w:val="003C6C72"/>
    <w:rsid w:val="003C6FD0"/>
    <w:rsid w:val="003C7C2A"/>
    <w:rsid w:val="003D0C87"/>
    <w:rsid w:val="003D0D36"/>
    <w:rsid w:val="003D20DF"/>
    <w:rsid w:val="003D3644"/>
    <w:rsid w:val="003D37C3"/>
    <w:rsid w:val="003D37D7"/>
    <w:rsid w:val="003D580B"/>
    <w:rsid w:val="003D7F69"/>
    <w:rsid w:val="003D7FD9"/>
    <w:rsid w:val="003E1E7B"/>
    <w:rsid w:val="003E230C"/>
    <w:rsid w:val="003E24C1"/>
    <w:rsid w:val="003E3272"/>
    <w:rsid w:val="003E34E2"/>
    <w:rsid w:val="003E3AD7"/>
    <w:rsid w:val="003E44AF"/>
    <w:rsid w:val="003E44B3"/>
    <w:rsid w:val="003E451B"/>
    <w:rsid w:val="003E4972"/>
    <w:rsid w:val="003E60F1"/>
    <w:rsid w:val="003E6430"/>
    <w:rsid w:val="003E7102"/>
    <w:rsid w:val="003E7372"/>
    <w:rsid w:val="003E76A7"/>
    <w:rsid w:val="003F054F"/>
    <w:rsid w:val="003F0CDC"/>
    <w:rsid w:val="003F243A"/>
    <w:rsid w:val="003F2DBE"/>
    <w:rsid w:val="003F3771"/>
    <w:rsid w:val="003F4815"/>
    <w:rsid w:val="003F49E6"/>
    <w:rsid w:val="003F4FA0"/>
    <w:rsid w:val="003F5845"/>
    <w:rsid w:val="003F5955"/>
    <w:rsid w:val="003F596B"/>
    <w:rsid w:val="003F7CA6"/>
    <w:rsid w:val="004003E4"/>
    <w:rsid w:val="00401137"/>
    <w:rsid w:val="004015A7"/>
    <w:rsid w:val="00401960"/>
    <w:rsid w:val="0040216A"/>
    <w:rsid w:val="004023A6"/>
    <w:rsid w:val="00402968"/>
    <w:rsid w:val="00402A5E"/>
    <w:rsid w:val="00402EAD"/>
    <w:rsid w:val="00403497"/>
    <w:rsid w:val="0040370B"/>
    <w:rsid w:val="004038C5"/>
    <w:rsid w:val="004047AD"/>
    <w:rsid w:val="00404D0E"/>
    <w:rsid w:val="00405A3B"/>
    <w:rsid w:val="00406186"/>
    <w:rsid w:val="00406477"/>
    <w:rsid w:val="00406619"/>
    <w:rsid w:val="00407701"/>
    <w:rsid w:val="004108AB"/>
    <w:rsid w:val="00411FA4"/>
    <w:rsid w:val="00412095"/>
    <w:rsid w:val="00412D83"/>
    <w:rsid w:val="00412DAA"/>
    <w:rsid w:val="00413C4F"/>
    <w:rsid w:val="00414025"/>
    <w:rsid w:val="00414C8D"/>
    <w:rsid w:val="0041552B"/>
    <w:rsid w:val="004159A5"/>
    <w:rsid w:val="00415B35"/>
    <w:rsid w:val="0041755D"/>
    <w:rsid w:val="00420804"/>
    <w:rsid w:val="00420F1C"/>
    <w:rsid w:val="0042267E"/>
    <w:rsid w:val="00422F8C"/>
    <w:rsid w:val="00423631"/>
    <w:rsid w:val="0042382D"/>
    <w:rsid w:val="0042561A"/>
    <w:rsid w:val="00426E03"/>
    <w:rsid w:val="00426E46"/>
    <w:rsid w:val="004271CA"/>
    <w:rsid w:val="00427795"/>
    <w:rsid w:val="00427CC8"/>
    <w:rsid w:val="004301BF"/>
    <w:rsid w:val="004305E8"/>
    <w:rsid w:val="00430DD0"/>
    <w:rsid w:val="004311D8"/>
    <w:rsid w:val="004313EE"/>
    <w:rsid w:val="004320F8"/>
    <w:rsid w:val="00433492"/>
    <w:rsid w:val="004336E1"/>
    <w:rsid w:val="00433F5E"/>
    <w:rsid w:val="0043544F"/>
    <w:rsid w:val="004360C1"/>
    <w:rsid w:val="00436D19"/>
    <w:rsid w:val="0044013F"/>
    <w:rsid w:val="004404EE"/>
    <w:rsid w:val="0044054D"/>
    <w:rsid w:val="00440834"/>
    <w:rsid w:val="00440CD8"/>
    <w:rsid w:val="00440E2F"/>
    <w:rsid w:val="00440EAF"/>
    <w:rsid w:val="00441C86"/>
    <w:rsid w:val="00443740"/>
    <w:rsid w:val="00444648"/>
    <w:rsid w:val="00444B86"/>
    <w:rsid w:val="004452FA"/>
    <w:rsid w:val="00445583"/>
    <w:rsid w:val="004465FB"/>
    <w:rsid w:val="00446999"/>
    <w:rsid w:val="00446FEA"/>
    <w:rsid w:val="00447208"/>
    <w:rsid w:val="00450851"/>
    <w:rsid w:val="00450ED7"/>
    <w:rsid w:val="00451620"/>
    <w:rsid w:val="00451A34"/>
    <w:rsid w:val="004527C8"/>
    <w:rsid w:val="00452DE1"/>
    <w:rsid w:val="00454080"/>
    <w:rsid w:val="00454468"/>
    <w:rsid w:val="00454BB4"/>
    <w:rsid w:val="004564CD"/>
    <w:rsid w:val="004573AD"/>
    <w:rsid w:val="00457406"/>
    <w:rsid w:val="004600CE"/>
    <w:rsid w:val="004602AC"/>
    <w:rsid w:val="00460DE4"/>
    <w:rsid w:val="00461593"/>
    <w:rsid w:val="00462143"/>
    <w:rsid w:val="00462A73"/>
    <w:rsid w:val="00463B15"/>
    <w:rsid w:val="00463BEB"/>
    <w:rsid w:val="00464AB9"/>
    <w:rsid w:val="00464CE8"/>
    <w:rsid w:val="0046516C"/>
    <w:rsid w:val="00466AAA"/>
    <w:rsid w:val="00467219"/>
    <w:rsid w:val="00467C5B"/>
    <w:rsid w:val="00470256"/>
    <w:rsid w:val="0047031A"/>
    <w:rsid w:val="00470423"/>
    <w:rsid w:val="0047150D"/>
    <w:rsid w:val="00471BF6"/>
    <w:rsid w:val="004721C3"/>
    <w:rsid w:val="0047238A"/>
    <w:rsid w:val="00472E86"/>
    <w:rsid w:val="00472F19"/>
    <w:rsid w:val="0047336D"/>
    <w:rsid w:val="00474EBA"/>
    <w:rsid w:val="00475231"/>
    <w:rsid w:val="00476347"/>
    <w:rsid w:val="004764B6"/>
    <w:rsid w:val="004768CE"/>
    <w:rsid w:val="00476B0B"/>
    <w:rsid w:val="00477718"/>
    <w:rsid w:val="00477E92"/>
    <w:rsid w:val="00477F88"/>
    <w:rsid w:val="00480C67"/>
    <w:rsid w:val="00481154"/>
    <w:rsid w:val="00481FD1"/>
    <w:rsid w:val="00485013"/>
    <w:rsid w:val="00485F97"/>
    <w:rsid w:val="00486EC6"/>
    <w:rsid w:val="00490ADC"/>
    <w:rsid w:val="00490CFC"/>
    <w:rsid w:val="00491229"/>
    <w:rsid w:val="00491403"/>
    <w:rsid w:val="004914F2"/>
    <w:rsid w:val="00491747"/>
    <w:rsid w:val="00493D99"/>
    <w:rsid w:val="00494C3F"/>
    <w:rsid w:val="00495BEE"/>
    <w:rsid w:val="0049618A"/>
    <w:rsid w:val="00496849"/>
    <w:rsid w:val="0049742E"/>
    <w:rsid w:val="004978CC"/>
    <w:rsid w:val="004A0C6C"/>
    <w:rsid w:val="004A135C"/>
    <w:rsid w:val="004A1B38"/>
    <w:rsid w:val="004A1C6D"/>
    <w:rsid w:val="004A3BCD"/>
    <w:rsid w:val="004A5895"/>
    <w:rsid w:val="004A6041"/>
    <w:rsid w:val="004A60B6"/>
    <w:rsid w:val="004A61AB"/>
    <w:rsid w:val="004A6C40"/>
    <w:rsid w:val="004A6D5A"/>
    <w:rsid w:val="004A6FC3"/>
    <w:rsid w:val="004B0C1D"/>
    <w:rsid w:val="004B21C4"/>
    <w:rsid w:val="004B32AC"/>
    <w:rsid w:val="004B3DA5"/>
    <w:rsid w:val="004B400B"/>
    <w:rsid w:val="004B413C"/>
    <w:rsid w:val="004B4471"/>
    <w:rsid w:val="004B5142"/>
    <w:rsid w:val="004B5181"/>
    <w:rsid w:val="004B5930"/>
    <w:rsid w:val="004B5990"/>
    <w:rsid w:val="004C029B"/>
    <w:rsid w:val="004C22C0"/>
    <w:rsid w:val="004C2643"/>
    <w:rsid w:val="004C32A0"/>
    <w:rsid w:val="004C3482"/>
    <w:rsid w:val="004C50D2"/>
    <w:rsid w:val="004C54EF"/>
    <w:rsid w:val="004C5582"/>
    <w:rsid w:val="004C5713"/>
    <w:rsid w:val="004C59F2"/>
    <w:rsid w:val="004C6DD4"/>
    <w:rsid w:val="004C72B8"/>
    <w:rsid w:val="004D09D1"/>
    <w:rsid w:val="004D17A3"/>
    <w:rsid w:val="004D3A3C"/>
    <w:rsid w:val="004D466B"/>
    <w:rsid w:val="004D4C45"/>
    <w:rsid w:val="004D4D41"/>
    <w:rsid w:val="004D5D17"/>
    <w:rsid w:val="004D5D31"/>
    <w:rsid w:val="004D6023"/>
    <w:rsid w:val="004D6B0D"/>
    <w:rsid w:val="004D6DB8"/>
    <w:rsid w:val="004D6E0A"/>
    <w:rsid w:val="004D706A"/>
    <w:rsid w:val="004D76C8"/>
    <w:rsid w:val="004D7B59"/>
    <w:rsid w:val="004E01A6"/>
    <w:rsid w:val="004E09DA"/>
    <w:rsid w:val="004E1260"/>
    <w:rsid w:val="004E1ECC"/>
    <w:rsid w:val="004E2A94"/>
    <w:rsid w:val="004E2D16"/>
    <w:rsid w:val="004E3DEE"/>
    <w:rsid w:val="004E4183"/>
    <w:rsid w:val="004E4E76"/>
    <w:rsid w:val="004E5344"/>
    <w:rsid w:val="004E5382"/>
    <w:rsid w:val="004E6372"/>
    <w:rsid w:val="004E7376"/>
    <w:rsid w:val="004F023D"/>
    <w:rsid w:val="004F167B"/>
    <w:rsid w:val="004F28D1"/>
    <w:rsid w:val="004F2964"/>
    <w:rsid w:val="004F326D"/>
    <w:rsid w:val="004F419B"/>
    <w:rsid w:val="004F5D44"/>
    <w:rsid w:val="004F5FB3"/>
    <w:rsid w:val="004F6053"/>
    <w:rsid w:val="004F6D63"/>
    <w:rsid w:val="004F6D8A"/>
    <w:rsid w:val="004F6E14"/>
    <w:rsid w:val="004F7089"/>
    <w:rsid w:val="005006DC"/>
    <w:rsid w:val="00500961"/>
    <w:rsid w:val="00500B9B"/>
    <w:rsid w:val="005010A5"/>
    <w:rsid w:val="00501BE5"/>
    <w:rsid w:val="00501D30"/>
    <w:rsid w:val="005022B8"/>
    <w:rsid w:val="0050261F"/>
    <w:rsid w:val="00502B22"/>
    <w:rsid w:val="00502CCE"/>
    <w:rsid w:val="00503FAE"/>
    <w:rsid w:val="00504931"/>
    <w:rsid w:val="00504CBC"/>
    <w:rsid w:val="00504DAD"/>
    <w:rsid w:val="00505011"/>
    <w:rsid w:val="005055AD"/>
    <w:rsid w:val="005058EF"/>
    <w:rsid w:val="00506015"/>
    <w:rsid w:val="00506E16"/>
    <w:rsid w:val="00506EC8"/>
    <w:rsid w:val="005070FD"/>
    <w:rsid w:val="00510059"/>
    <w:rsid w:val="00510461"/>
    <w:rsid w:val="0051059E"/>
    <w:rsid w:val="0051077D"/>
    <w:rsid w:val="0051146F"/>
    <w:rsid w:val="005123A8"/>
    <w:rsid w:val="00512746"/>
    <w:rsid w:val="00512D3D"/>
    <w:rsid w:val="00513D75"/>
    <w:rsid w:val="0051456F"/>
    <w:rsid w:val="00515258"/>
    <w:rsid w:val="00516533"/>
    <w:rsid w:val="005165AC"/>
    <w:rsid w:val="00516B33"/>
    <w:rsid w:val="00516CA4"/>
    <w:rsid w:val="005172BC"/>
    <w:rsid w:val="005172F1"/>
    <w:rsid w:val="005178EC"/>
    <w:rsid w:val="005204E8"/>
    <w:rsid w:val="00521269"/>
    <w:rsid w:val="00521515"/>
    <w:rsid w:val="00523B8F"/>
    <w:rsid w:val="00523F3B"/>
    <w:rsid w:val="005242D7"/>
    <w:rsid w:val="005247DB"/>
    <w:rsid w:val="00525653"/>
    <w:rsid w:val="00525AFA"/>
    <w:rsid w:val="00527159"/>
    <w:rsid w:val="00527484"/>
    <w:rsid w:val="00527D4E"/>
    <w:rsid w:val="00530047"/>
    <w:rsid w:val="00530145"/>
    <w:rsid w:val="00530F96"/>
    <w:rsid w:val="00531153"/>
    <w:rsid w:val="00531D0C"/>
    <w:rsid w:val="005324E3"/>
    <w:rsid w:val="005333C1"/>
    <w:rsid w:val="0053377B"/>
    <w:rsid w:val="0053394E"/>
    <w:rsid w:val="00533BD7"/>
    <w:rsid w:val="00534B50"/>
    <w:rsid w:val="00534FE5"/>
    <w:rsid w:val="005355A1"/>
    <w:rsid w:val="00535C72"/>
    <w:rsid w:val="00536513"/>
    <w:rsid w:val="00536764"/>
    <w:rsid w:val="00536DA6"/>
    <w:rsid w:val="00536F7E"/>
    <w:rsid w:val="0053751A"/>
    <w:rsid w:val="00537831"/>
    <w:rsid w:val="00537840"/>
    <w:rsid w:val="00540949"/>
    <w:rsid w:val="005411A8"/>
    <w:rsid w:val="00541D4E"/>
    <w:rsid w:val="00543767"/>
    <w:rsid w:val="00543BA0"/>
    <w:rsid w:val="00544D53"/>
    <w:rsid w:val="00544E90"/>
    <w:rsid w:val="005453E8"/>
    <w:rsid w:val="005455E3"/>
    <w:rsid w:val="00545EA0"/>
    <w:rsid w:val="00546C14"/>
    <w:rsid w:val="00546F79"/>
    <w:rsid w:val="0054762E"/>
    <w:rsid w:val="005478C0"/>
    <w:rsid w:val="005502DB"/>
    <w:rsid w:val="005512CE"/>
    <w:rsid w:val="00551A96"/>
    <w:rsid w:val="00551AA2"/>
    <w:rsid w:val="005521FC"/>
    <w:rsid w:val="00552604"/>
    <w:rsid w:val="005553B9"/>
    <w:rsid w:val="00555DB5"/>
    <w:rsid w:val="00556076"/>
    <w:rsid w:val="005566AC"/>
    <w:rsid w:val="005566DD"/>
    <w:rsid w:val="0055706A"/>
    <w:rsid w:val="00557C91"/>
    <w:rsid w:val="00557E79"/>
    <w:rsid w:val="005602DD"/>
    <w:rsid w:val="00560400"/>
    <w:rsid w:val="00560664"/>
    <w:rsid w:val="005608E4"/>
    <w:rsid w:val="00560F6B"/>
    <w:rsid w:val="00560FE4"/>
    <w:rsid w:val="0056139A"/>
    <w:rsid w:val="00561943"/>
    <w:rsid w:val="00561AB1"/>
    <w:rsid w:val="00561D93"/>
    <w:rsid w:val="00562712"/>
    <w:rsid w:val="0056312B"/>
    <w:rsid w:val="00563612"/>
    <w:rsid w:val="005649D0"/>
    <w:rsid w:val="00564C84"/>
    <w:rsid w:val="00564EB7"/>
    <w:rsid w:val="005651D9"/>
    <w:rsid w:val="00566551"/>
    <w:rsid w:val="00566F84"/>
    <w:rsid w:val="00570172"/>
    <w:rsid w:val="00570236"/>
    <w:rsid w:val="00570326"/>
    <w:rsid w:val="00570CF3"/>
    <w:rsid w:val="00570F8E"/>
    <w:rsid w:val="00571DEF"/>
    <w:rsid w:val="00572161"/>
    <w:rsid w:val="00572347"/>
    <w:rsid w:val="00572A2C"/>
    <w:rsid w:val="00573268"/>
    <w:rsid w:val="005755FF"/>
    <w:rsid w:val="005757E8"/>
    <w:rsid w:val="005759E9"/>
    <w:rsid w:val="00575C11"/>
    <w:rsid w:val="0057609C"/>
    <w:rsid w:val="00577537"/>
    <w:rsid w:val="00580E0E"/>
    <w:rsid w:val="0058112A"/>
    <w:rsid w:val="0058286B"/>
    <w:rsid w:val="00583012"/>
    <w:rsid w:val="00584873"/>
    <w:rsid w:val="00584E0E"/>
    <w:rsid w:val="005851F5"/>
    <w:rsid w:val="005857DF"/>
    <w:rsid w:val="00585B73"/>
    <w:rsid w:val="00585C96"/>
    <w:rsid w:val="00586220"/>
    <w:rsid w:val="00586F91"/>
    <w:rsid w:val="00587256"/>
    <w:rsid w:val="00587286"/>
    <w:rsid w:val="00587318"/>
    <w:rsid w:val="0058732E"/>
    <w:rsid w:val="00587CEF"/>
    <w:rsid w:val="00587E8A"/>
    <w:rsid w:val="005908B0"/>
    <w:rsid w:val="00590D1D"/>
    <w:rsid w:val="00590E16"/>
    <w:rsid w:val="00591491"/>
    <w:rsid w:val="00591A7D"/>
    <w:rsid w:val="00592099"/>
    <w:rsid w:val="00592417"/>
    <w:rsid w:val="005924CA"/>
    <w:rsid w:val="005926D3"/>
    <w:rsid w:val="0059286E"/>
    <w:rsid w:val="0059356B"/>
    <w:rsid w:val="00596198"/>
    <w:rsid w:val="0059625A"/>
    <w:rsid w:val="00596ACA"/>
    <w:rsid w:val="00596D39"/>
    <w:rsid w:val="00596E04"/>
    <w:rsid w:val="00596E08"/>
    <w:rsid w:val="0059721C"/>
    <w:rsid w:val="00597D96"/>
    <w:rsid w:val="005A0230"/>
    <w:rsid w:val="005A141E"/>
    <w:rsid w:val="005A172D"/>
    <w:rsid w:val="005A1A00"/>
    <w:rsid w:val="005A1AC3"/>
    <w:rsid w:val="005A3060"/>
    <w:rsid w:val="005A33EC"/>
    <w:rsid w:val="005A36B3"/>
    <w:rsid w:val="005A3A10"/>
    <w:rsid w:val="005A3EE8"/>
    <w:rsid w:val="005A404D"/>
    <w:rsid w:val="005A43BF"/>
    <w:rsid w:val="005A496F"/>
    <w:rsid w:val="005A5BFE"/>
    <w:rsid w:val="005A5C07"/>
    <w:rsid w:val="005A5CC1"/>
    <w:rsid w:val="005A7184"/>
    <w:rsid w:val="005B0583"/>
    <w:rsid w:val="005B16BD"/>
    <w:rsid w:val="005B243B"/>
    <w:rsid w:val="005B26FD"/>
    <w:rsid w:val="005B2C6A"/>
    <w:rsid w:val="005B34FE"/>
    <w:rsid w:val="005B388F"/>
    <w:rsid w:val="005B4C58"/>
    <w:rsid w:val="005B65AC"/>
    <w:rsid w:val="005B723F"/>
    <w:rsid w:val="005B7E04"/>
    <w:rsid w:val="005C018C"/>
    <w:rsid w:val="005C0AFC"/>
    <w:rsid w:val="005C1915"/>
    <w:rsid w:val="005C1EC9"/>
    <w:rsid w:val="005C20E8"/>
    <w:rsid w:val="005C2654"/>
    <w:rsid w:val="005C37E6"/>
    <w:rsid w:val="005C3D8A"/>
    <w:rsid w:val="005C52FE"/>
    <w:rsid w:val="005C5528"/>
    <w:rsid w:val="005C5970"/>
    <w:rsid w:val="005C5ABD"/>
    <w:rsid w:val="005C5D5B"/>
    <w:rsid w:val="005C6098"/>
    <w:rsid w:val="005C775C"/>
    <w:rsid w:val="005D0110"/>
    <w:rsid w:val="005D0432"/>
    <w:rsid w:val="005D0C7C"/>
    <w:rsid w:val="005D10ED"/>
    <w:rsid w:val="005D3214"/>
    <w:rsid w:val="005D3538"/>
    <w:rsid w:val="005D3C6A"/>
    <w:rsid w:val="005D5862"/>
    <w:rsid w:val="005D5881"/>
    <w:rsid w:val="005D5E21"/>
    <w:rsid w:val="005D62F4"/>
    <w:rsid w:val="005D6DD5"/>
    <w:rsid w:val="005D6EF9"/>
    <w:rsid w:val="005D7137"/>
    <w:rsid w:val="005E00BD"/>
    <w:rsid w:val="005E089F"/>
    <w:rsid w:val="005E097B"/>
    <w:rsid w:val="005E19C6"/>
    <w:rsid w:val="005E2B71"/>
    <w:rsid w:val="005E2F7A"/>
    <w:rsid w:val="005E348A"/>
    <w:rsid w:val="005E463C"/>
    <w:rsid w:val="005E4CB6"/>
    <w:rsid w:val="005E69F5"/>
    <w:rsid w:val="005E6DE1"/>
    <w:rsid w:val="005E7023"/>
    <w:rsid w:val="005E719D"/>
    <w:rsid w:val="005F022B"/>
    <w:rsid w:val="005F0D60"/>
    <w:rsid w:val="005F10F7"/>
    <w:rsid w:val="005F1425"/>
    <w:rsid w:val="005F1E22"/>
    <w:rsid w:val="005F2A7E"/>
    <w:rsid w:val="005F510C"/>
    <w:rsid w:val="005F6C6A"/>
    <w:rsid w:val="005F7A66"/>
    <w:rsid w:val="005F7AB6"/>
    <w:rsid w:val="0060073E"/>
    <w:rsid w:val="006008C9"/>
    <w:rsid w:val="00600F56"/>
    <w:rsid w:val="0060171D"/>
    <w:rsid w:val="0060179D"/>
    <w:rsid w:val="0060182F"/>
    <w:rsid w:val="006018FE"/>
    <w:rsid w:val="00603BD6"/>
    <w:rsid w:val="00604005"/>
    <w:rsid w:val="00604AC1"/>
    <w:rsid w:val="00604AE5"/>
    <w:rsid w:val="00604E27"/>
    <w:rsid w:val="00605DA1"/>
    <w:rsid w:val="006060E7"/>
    <w:rsid w:val="00606A2D"/>
    <w:rsid w:val="0060755B"/>
    <w:rsid w:val="00610966"/>
    <w:rsid w:val="0061098C"/>
    <w:rsid w:val="0061114D"/>
    <w:rsid w:val="006116C5"/>
    <w:rsid w:val="00612C69"/>
    <w:rsid w:val="00613489"/>
    <w:rsid w:val="00614690"/>
    <w:rsid w:val="00614922"/>
    <w:rsid w:val="0061563C"/>
    <w:rsid w:val="006156FA"/>
    <w:rsid w:val="00615FBA"/>
    <w:rsid w:val="00616207"/>
    <w:rsid w:val="006169ED"/>
    <w:rsid w:val="00617F0B"/>
    <w:rsid w:val="00620232"/>
    <w:rsid w:val="0062056F"/>
    <w:rsid w:val="00620DB2"/>
    <w:rsid w:val="00621217"/>
    <w:rsid w:val="0062260B"/>
    <w:rsid w:val="00623409"/>
    <w:rsid w:val="006236C0"/>
    <w:rsid w:val="00623981"/>
    <w:rsid w:val="00623C52"/>
    <w:rsid w:val="00623FEF"/>
    <w:rsid w:val="00624501"/>
    <w:rsid w:val="006245A9"/>
    <w:rsid w:val="0062480D"/>
    <w:rsid w:val="00624F79"/>
    <w:rsid w:val="006253CB"/>
    <w:rsid w:val="006268D5"/>
    <w:rsid w:val="00626C74"/>
    <w:rsid w:val="006279C7"/>
    <w:rsid w:val="00627A42"/>
    <w:rsid w:val="006300E8"/>
    <w:rsid w:val="006314AC"/>
    <w:rsid w:val="00631BDF"/>
    <w:rsid w:val="00631EFD"/>
    <w:rsid w:val="006322B9"/>
    <w:rsid w:val="00632381"/>
    <w:rsid w:val="0063281C"/>
    <w:rsid w:val="006347AF"/>
    <w:rsid w:val="00635B87"/>
    <w:rsid w:val="00635BB5"/>
    <w:rsid w:val="00635EC2"/>
    <w:rsid w:val="00636A9F"/>
    <w:rsid w:val="00636CEC"/>
    <w:rsid w:val="006377B6"/>
    <w:rsid w:val="0064072E"/>
    <w:rsid w:val="0064096B"/>
    <w:rsid w:val="00640A29"/>
    <w:rsid w:val="00641309"/>
    <w:rsid w:val="00641416"/>
    <w:rsid w:val="00641AF8"/>
    <w:rsid w:val="00641BDE"/>
    <w:rsid w:val="00641D9B"/>
    <w:rsid w:val="00642916"/>
    <w:rsid w:val="0064296E"/>
    <w:rsid w:val="00643487"/>
    <w:rsid w:val="00644B25"/>
    <w:rsid w:val="00644B63"/>
    <w:rsid w:val="00645BEC"/>
    <w:rsid w:val="00646AB4"/>
    <w:rsid w:val="0064727F"/>
    <w:rsid w:val="00647B2D"/>
    <w:rsid w:val="00647CB0"/>
    <w:rsid w:val="00651304"/>
    <w:rsid w:val="00651E2C"/>
    <w:rsid w:val="0065201C"/>
    <w:rsid w:val="00652A7A"/>
    <w:rsid w:val="00652FB2"/>
    <w:rsid w:val="00653329"/>
    <w:rsid w:val="00653892"/>
    <w:rsid w:val="00653A7D"/>
    <w:rsid w:val="00653BAE"/>
    <w:rsid w:val="00653DE7"/>
    <w:rsid w:val="00653F55"/>
    <w:rsid w:val="00654AB4"/>
    <w:rsid w:val="0065646D"/>
    <w:rsid w:val="0065647A"/>
    <w:rsid w:val="006566D6"/>
    <w:rsid w:val="00656E68"/>
    <w:rsid w:val="00657A47"/>
    <w:rsid w:val="00660633"/>
    <w:rsid w:val="006608E9"/>
    <w:rsid w:val="006611A2"/>
    <w:rsid w:val="00662AAE"/>
    <w:rsid w:val="00663A4E"/>
    <w:rsid w:val="00663E57"/>
    <w:rsid w:val="00664AAB"/>
    <w:rsid w:val="0066506D"/>
    <w:rsid w:val="00665CEF"/>
    <w:rsid w:val="0066647B"/>
    <w:rsid w:val="00666E19"/>
    <w:rsid w:val="006701C5"/>
    <w:rsid w:val="00670CEB"/>
    <w:rsid w:val="00671619"/>
    <w:rsid w:val="00671A23"/>
    <w:rsid w:val="00671A92"/>
    <w:rsid w:val="006722E0"/>
    <w:rsid w:val="00674573"/>
    <w:rsid w:val="00675B81"/>
    <w:rsid w:val="0067639F"/>
    <w:rsid w:val="0067669A"/>
    <w:rsid w:val="006773D3"/>
    <w:rsid w:val="006801EA"/>
    <w:rsid w:val="00680A0E"/>
    <w:rsid w:val="00680FB7"/>
    <w:rsid w:val="006824EB"/>
    <w:rsid w:val="00682B7F"/>
    <w:rsid w:val="00682E3C"/>
    <w:rsid w:val="00682E99"/>
    <w:rsid w:val="006833B3"/>
    <w:rsid w:val="00683D15"/>
    <w:rsid w:val="006842B6"/>
    <w:rsid w:val="00684A3C"/>
    <w:rsid w:val="0068500D"/>
    <w:rsid w:val="006855BD"/>
    <w:rsid w:val="00685BAC"/>
    <w:rsid w:val="0068632C"/>
    <w:rsid w:val="0068661E"/>
    <w:rsid w:val="00690770"/>
    <w:rsid w:val="00690CCA"/>
    <w:rsid w:val="006910C8"/>
    <w:rsid w:val="00691CA1"/>
    <w:rsid w:val="00691D99"/>
    <w:rsid w:val="00692214"/>
    <w:rsid w:val="00692BCB"/>
    <w:rsid w:val="00692E29"/>
    <w:rsid w:val="00693484"/>
    <w:rsid w:val="006979A5"/>
    <w:rsid w:val="00697AAA"/>
    <w:rsid w:val="00697BCD"/>
    <w:rsid w:val="006A0AFC"/>
    <w:rsid w:val="006A153C"/>
    <w:rsid w:val="006A2467"/>
    <w:rsid w:val="006A2520"/>
    <w:rsid w:val="006A26B7"/>
    <w:rsid w:val="006A2A0C"/>
    <w:rsid w:val="006A2EFD"/>
    <w:rsid w:val="006A2F21"/>
    <w:rsid w:val="006A306B"/>
    <w:rsid w:val="006A366A"/>
    <w:rsid w:val="006A3FDC"/>
    <w:rsid w:val="006A42AE"/>
    <w:rsid w:val="006A462D"/>
    <w:rsid w:val="006A4BCE"/>
    <w:rsid w:val="006A5832"/>
    <w:rsid w:val="006A5BDA"/>
    <w:rsid w:val="006A676E"/>
    <w:rsid w:val="006A6C54"/>
    <w:rsid w:val="006B01AF"/>
    <w:rsid w:val="006B02ED"/>
    <w:rsid w:val="006B1604"/>
    <w:rsid w:val="006B25B4"/>
    <w:rsid w:val="006B2FFF"/>
    <w:rsid w:val="006B349B"/>
    <w:rsid w:val="006B4939"/>
    <w:rsid w:val="006B5E7B"/>
    <w:rsid w:val="006B654E"/>
    <w:rsid w:val="006B6B7B"/>
    <w:rsid w:val="006B6C98"/>
    <w:rsid w:val="006B6CA0"/>
    <w:rsid w:val="006C1E74"/>
    <w:rsid w:val="006C1ED9"/>
    <w:rsid w:val="006C1FB6"/>
    <w:rsid w:val="006C22C1"/>
    <w:rsid w:val="006C233C"/>
    <w:rsid w:val="006C2F9C"/>
    <w:rsid w:val="006C31A3"/>
    <w:rsid w:val="006C3239"/>
    <w:rsid w:val="006C3468"/>
    <w:rsid w:val="006C3544"/>
    <w:rsid w:val="006C393E"/>
    <w:rsid w:val="006C4780"/>
    <w:rsid w:val="006C4BBB"/>
    <w:rsid w:val="006C5329"/>
    <w:rsid w:val="006C54B4"/>
    <w:rsid w:val="006C6420"/>
    <w:rsid w:val="006C6AC0"/>
    <w:rsid w:val="006C6C5C"/>
    <w:rsid w:val="006C734E"/>
    <w:rsid w:val="006C7C7E"/>
    <w:rsid w:val="006D03FE"/>
    <w:rsid w:val="006D04F9"/>
    <w:rsid w:val="006D0B56"/>
    <w:rsid w:val="006D0CC9"/>
    <w:rsid w:val="006D12D5"/>
    <w:rsid w:val="006D194A"/>
    <w:rsid w:val="006D20B5"/>
    <w:rsid w:val="006D2353"/>
    <w:rsid w:val="006D257A"/>
    <w:rsid w:val="006D32E9"/>
    <w:rsid w:val="006D3D7E"/>
    <w:rsid w:val="006D49CE"/>
    <w:rsid w:val="006D5524"/>
    <w:rsid w:val="006D575E"/>
    <w:rsid w:val="006D5855"/>
    <w:rsid w:val="006D5A9E"/>
    <w:rsid w:val="006D66B2"/>
    <w:rsid w:val="006D6894"/>
    <w:rsid w:val="006E0261"/>
    <w:rsid w:val="006E08EA"/>
    <w:rsid w:val="006E0D05"/>
    <w:rsid w:val="006E1623"/>
    <w:rsid w:val="006E4E5E"/>
    <w:rsid w:val="006E5211"/>
    <w:rsid w:val="006E5221"/>
    <w:rsid w:val="006E5798"/>
    <w:rsid w:val="006E73F1"/>
    <w:rsid w:val="006F02BC"/>
    <w:rsid w:val="006F0607"/>
    <w:rsid w:val="006F0C7A"/>
    <w:rsid w:val="006F1B1E"/>
    <w:rsid w:val="006F405E"/>
    <w:rsid w:val="006F4E82"/>
    <w:rsid w:val="006F4FC3"/>
    <w:rsid w:val="006F52AA"/>
    <w:rsid w:val="006F5B55"/>
    <w:rsid w:val="006F5B83"/>
    <w:rsid w:val="006F635A"/>
    <w:rsid w:val="006F63E9"/>
    <w:rsid w:val="006F6582"/>
    <w:rsid w:val="007001FE"/>
    <w:rsid w:val="007012A1"/>
    <w:rsid w:val="00701D39"/>
    <w:rsid w:val="00701D6B"/>
    <w:rsid w:val="00702016"/>
    <w:rsid w:val="00702E87"/>
    <w:rsid w:val="007044C3"/>
    <w:rsid w:val="0070457E"/>
    <w:rsid w:val="00704BCD"/>
    <w:rsid w:val="00704F6B"/>
    <w:rsid w:val="00705424"/>
    <w:rsid w:val="007056EE"/>
    <w:rsid w:val="00705F1E"/>
    <w:rsid w:val="00705F61"/>
    <w:rsid w:val="007073FB"/>
    <w:rsid w:val="00707C5E"/>
    <w:rsid w:val="00707C75"/>
    <w:rsid w:val="00707EB7"/>
    <w:rsid w:val="00710649"/>
    <w:rsid w:val="00710731"/>
    <w:rsid w:val="007109AD"/>
    <w:rsid w:val="00710B67"/>
    <w:rsid w:val="00710B9C"/>
    <w:rsid w:val="007118A7"/>
    <w:rsid w:val="007121E7"/>
    <w:rsid w:val="007123D6"/>
    <w:rsid w:val="00712C74"/>
    <w:rsid w:val="00712FC0"/>
    <w:rsid w:val="00713423"/>
    <w:rsid w:val="0071467C"/>
    <w:rsid w:val="00714AD9"/>
    <w:rsid w:val="00715BD5"/>
    <w:rsid w:val="00715CBB"/>
    <w:rsid w:val="0071732A"/>
    <w:rsid w:val="007217A3"/>
    <w:rsid w:val="00722081"/>
    <w:rsid w:val="007221DE"/>
    <w:rsid w:val="0072293F"/>
    <w:rsid w:val="007229FD"/>
    <w:rsid w:val="0072318A"/>
    <w:rsid w:val="00723FDA"/>
    <w:rsid w:val="007244A2"/>
    <w:rsid w:val="00724AEC"/>
    <w:rsid w:val="00725D6B"/>
    <w:rsid w:val="007260A9"/>
    <w:rsid w:val="0072696C"/>
    <w:rsid w:val="0072741F"/>
    <w:rsid w:val="0073107E"/>
    <w:rsid w:val="0073123E"/>
    <w:rsid w:val="007323AA"/>
    <w:rsid w:val="00735252"/>
    <w:rsid w:val="0073531F"/>
    <w:rsid w:val="00735459"/>
    <w:rsid w:val="00735545"/>
    <w:rsid w:val="007355CE"/>
    <w:rsid w:val="007356F6"/>
    <w:rsid w:val="00735B82"/>
    <w:rsid w:val="00736548"/>
    <w:rsid w:val="00736C67"/>
    <w:rsid w:val="00736CDD"/>
    <w:rsid w:val="00736CF3"/>
    <w:rsid w:val="007406C9"/>
    <w:rsid w:val="00740734"/>
    <w:rsid w:val="00741887"/>
    <w:rsid w:val="00741CCE"/>
    <w:rsid w:val="00741F5A"/>
    <w:rsid w:val="00742821"/>
    <w:rsid w:val="00743399"/>
    <w:rsid w:val="00743547"/>
    <w:rsid w:val="007446C9"/>
    <w:rsid w:val="00746261"/>
    <w:rsid w:val="007468D9"/>
    <w:rsid w:val="007474F9"/>
    <w:rsid w:val="00747A07"/>
    <w:rsid w:val="007506AB"/>
    <w:rsid w:val="007513D9"/>
    <w:rsid w:val="0075329C"/>
    <w:rsid w:val="0075497F"/>
    <w:rsid w:val="00754FDB"/>
    <w:rsid w:val="00755465"/>
    <w:rsid w:val="00755741"/>
    <w:rsid w:val="007607B7"/>
    <w:rsid w:val="00760F64"/>
    <w:rsid w:val="00761532"/>
    <w:rsid w:val="0076173B"/>
    <w:rsid w:val="00761CBE"/>
    <w:rsid w:val="00762BF2"/>
    <w:rsid w:val="00762C1F"/>
    <w:rsid w:val="00763063"/>
    <w:rsid w:val="00763C40"/>
    <w:rsid w:val="00764026"/>
    <w:rsid w:val="00764053"/>
    <w:rsid w:val="00764D31"/>
    <w:rsid w:val="0076591E"/>
    <w:rsid w:val="0076597A"/>
    <w:rsid w:val="00765B8D"/>
    <w:rsid w:val="00765DB3"/>
    <w:rsid w:val="00766882"/>
    <w:rsid w:val="00767417"/>
    <w:rsid w:val="00767695"/>
    <w:rsid w:val="00767A52"/>
    <w:rsid w:val="00770C53"/>
    <w:rsid w:val="00771D5C"/>
    <w:rsid w:val="00771DAB"/>
    <w:rsid w:val="00772A61"/>
    <w:rsid w:val="00772F70"/>
    <w:rsid w:val="007731D0"/>
    <w:rsid w:val="0077325E"/>
    <w:rsid w:val="0077360B"/>
    <w:rsid w:val="00773D5F"/>
    <w:rsid w:val="00773DAC"/>
    <w:rsid w:val="00773DCE"/>
    <w:rsid w:val="007746D6"/>
    <w:rsid w:val="00774E05"/>
    <w:rsid w:val="00775590"/>
    <w:rsid w:val="00775612"/>
    <w:rsid w:val="007757C4"/>
    <w:rsid w:val="007757C7"/>
    <w:rsid w:val="00775805"/>
    <w:rsid w:val="00775A98"/>
    <w:rsid w:val="007776A1"/>
    <w:rsid w:val="0078009D"/>
    <w:rsid w:val="007814C4"/>
    <w:rsid w:val="00782349"/>
    <w:rsid w:val="007825EB"/>
    <w:rsid w:val="00782750"/>
    <w:rsid w:val="0078352F"/>
    <w:rsid w:val="00783577"/>
    <w:rsid w:val="007838D9"/>
    <w:rsid w:val="00783C40"/>
    <w:rsid w:val="00784846"/>
    <w:rsid w:val="007848EF"/>
    <w:rsid w:val="007858D4"/>
    <w:rsid w:val="00785B04"/>
    <w:rsid w:val="00786BE6"/>
    <w:rsid w:val="00786CC1"/>
    <w:rsid w:val="00786F17"/>
    <w:rsid w:val="00791A9E"/>
    <w:rsid w:val="0079209F"/>
    <w:rsid w:val="00792AF0"/>
    <w:rsid w:val="007937AE"/>
    <w:rsid w:val="00794A7E"/>
    <w:rsid w:val="00795C62"/>
    <w:rsid w:val="00796102"/>
    <w:rsid w:val="0079612E"/>
    <w:rsid w:val="00796309"/>
    <w:rsid w:val="00796524"/>
    <w:rsid w:val="0079673B"/>
    <w:rsid w:val="007978B5"/>
    <w:rsid w:val="00797962"/>
    <w:rsid w:val="00797CB0"/>
    <w:rsid w:val="007A166A"/>
    <w:rsid w:val="007A1F14"/>
    <w:rsid w:val="007A25C0"/>
    <w:rsid w:val="007A2A61"/>
    <w:rsid w:val="007A32A5"/>
    <w:rsid w:val="007A376D"/>
    <w:rsid w:val="007A404E"/>
    <w:rsid w:val="007A4BD9"/>
    <w:rsid w:val="007A648B"/>
    <w:rsid w:val="007A648D"/>
    <w:rsid w:val="007A6A70"/>
    <w:rsid w:val="007A6DBE"/>
    <w:rsid w:val="007B0DC8"/>
    <w:rsid w:val="007B25A7"/>
    <w:rsid w:val="007B2CC7"/>
    <w:rsid w:val="007B31B4"/>
    <w:rsid w:val="007B338E"/>
    <w:rsid w:val="007B458E"/>
    <w:rsid w:val="007B63E0"/>
    <w:rsid w:val="007B6E59"/>
    <w:rsid w:val="007B6F82"/>
    <w:rsid w:val="007B7784"/>
    <w:rsid w:val="007C0E7A"/>
    <w:rsid w:val="007C2004"/>
    <w:rsid w:val="007C2CFF"/>
    <w:rsid w:val="007C3407"/>
    <w:rsid w:val="007C364F"/>
    <w:rsid w:val="007C47DC"/>
    <w:rsid w:val="007C4A30"/>
    <w:rsid w:val="007C566F"/>
    <w:rsid w:val="007C65E2"/>
    <w:rsid w:val="007C663E"/>
    <w:rsid w:val="007C75A1"/>
    <w:rsid w:val="007D00B7"/>
    <w:rsid w:val="007D099E"/>
    <w:rsid w:val="007D0E27"/>
    <w:rsid w:val="007D15A3"/>
    <w:rsid w:val="007D1F43"/>
    <w:rsid w:val="007D2277"/>
    <w:rsid w:val="007D49DE"/>
    <w:rsid w:val="007D4FBC"/>
    <w:rsid w:val="007D53C7"/>
    <w:rsid w:val="007D5850"/>
    <w:rsid w:val="007D62CE"/>
    <w:rsid w:val="007D65E6"/>
    <w:rsid w:val="007D7032"/>
    <w:rsid w:val="007D7320"/>
    <w:rsid w:val="007D7382"/>
    <w:rsid w:val="007D73C2"/>
    <w:rsid w:val="007E03C8"/>
    <w:rsid w:val="007E0AA0"/>
    <w:rsid w:val="007E267F"/>
    <w:rsid w:val="007E282E"/>
    <w:rsid w:val="007E2A27"/>
    <w:rsid w:val="007E3377"/>
    <w:rsid w:val="007E3487"/>
    <w:rsid w:val="007E3916"/>
    <w:rsid w:val="007E3BDC"/>
    <w:rsid w:val="007E4934"/>
    <w:rsid w:val="007E4CC0"/>
    <w:rsid w:val="007E5785"/>
    <w:rsid w:val="007E580C"/>
    <w:rsid w:val="007E5853"/>
    <w:rsid w:val="007E5DB6"/>
    <w:rsid w:val="007E5F77"/>
    <w:rsid w:val="007E7118"/>
    <w:rsid w:val="007F0C8B"/>
    <w:rsid w:val="007F1123"/>
    <w:rsid w:val="007F160B"/>
    <w:rsid w:val="007F1D68"/>
    <w:rsid w:val="007F476F"/>
    <w:rsid w:val="007F4838"/>
    <w:rsid w:val="007F4F92"/>
    <w:rsid w:val="007F5F3C"/>
    <w:rsid w:val="007F66AD"/>
    <w:rsid w:val="007F6BBA"/>
    <w:rsid w:val="007F715D"/>
    <w:rsid w:val="007F7A60"/>
    <w:rsid w:val="00800431"/>
    <w:rsid w:val="00801619"/>
    <w:rsid w:val="00801993"/>
    <w:rsid w:val="00802AB8"/>
    <w:rsid w:val="00802F72"/>
    <w:rsid w:val="0080302C"/>
    <w:rsid w:val="008032F9"/>
    <w:rsid w:val="00804B95"/>
    <w:rsid w:val="008052E4"/>
    <w:rsid w:val="00805762"/>
    <w:rsid w:val="00805982"/>
    <w:rsid w:val="00805BE2"/>
    <w:rsid w:val="00805C0A"/>
    <w:rsid w:val="00805EEE"/>
    <w:rsid w:val="00806245"/>
    <w:rsid w:val="008062C3"/>
    <w:rsid w:val="00806E54"/>
    <w:rsid w:val="00807B35"/>
    <w:rsid w:val="0081084A"/>
    <w:rsid w:val="0081176F"/>
    <w:rsid w:val="00813C92"/>
    <w:rsid w:val="0081405D"/>
    <w:rsid w:val="008141AC"/>
    <w:rsid w:val="00814617"/>
    <w:rsid w:val="00815414"/>
    <w:rsid w:val="0081778E"/>
    <w:rsid w:val="00817BE7"/>
    <w:rsid w:val="00821591"/>
    <w:rsid w:val="00822E95"/>
    <w:rsid w:val="00822F62"/>
    <w:rsid w:val="0082319F"/>
    <w:rsid w:val="008237B7"/>
    <w:rsid w:val="00823ABF"/>
    <w:rsid w:val="00823C1D"/>
    <w:rsid w:val="0082404D"/>
    <w:rsid w:val="008243B2"/>
    <w:rsid w:val="0082449B"/>
    <w:rsid w:val="008256BE"/>
    <w:rsid w:val="008262E5"/>
    <w:rsid w:val="008264DF"/>
    <w:rsid w:val="00826BB6"/>
    <w:rsid w:val="00827EC2"/>
    <w:rsid w:val="00827ED4"/>
    <w:rsid w:val="00830759"/>
    <w:rsid w:val="00830770"/>
    <w:rsid w:val="00830E67"/>
    <w:rsid w:val="008313AB"/>
    <w:rsid w:val="00831726"/>
    <w:rsid w:val="00831814"/>
    <w:rsid w:val="0083217A"/>
    <w:rsid w:val="008323E8"/>
    <w:rsid w:val="00832C51"/>
    <w:rsid w:val="00832F94"/>
    <w:rsid w:val="008336A2"/>
    <w:rsid w:val="0083429C"/>
    <w:rsid w:val="00834C40"/>
    <w:rsid w:val="00835560"/>
    <w:rsid w:val="008360D0"/>
    <w:rsid w:val="00836AC2"/>
    <w:rsid w:val="00837CB3"/>
    <w:rsid w:val="008418C3"/>
    <w:rsid w:val="00841FC7"/>
    <w:rsid w:val="00842EA1"/>
    <w:rsid w:val="0084337C"/>
    <w:rsid w:val="008435B2"/>
    <w:rsid w:val="008435C0"/>
    <w:rsid w:val="00843C03"/>
    <w:rsid w:val="00844D9E"/>
    <w:rsid w:val="0084512A"/>
    <w:rsid w:val="008458D6"/>
    <w:rsid w:val="008464E0"/>
    <w:rsid w:val="00847033"/>
    <w:rsid w:val="00847382"/>
    <w:rsid w:val="00847416"/>
    <w:rsid w:val="00847FD4"/>
    <w:rsid w:val="00850077"/>
    <w:rsid w:val="00850091"/>
    <w:rsid w:val="00851182"/>
    <w:rsid w:val="0085158E"/>
    <w:rsid w:val="008516BE"/>
    <w:rsid w:val="008517D7"/>
    <w:rsid w:val="00851AA5"/>
    <w:rsid w:val="00851F09"/>
    <w:rsid w:val="00852709"/>
    <w:rsid w:val="008529AC"/>
    <w:rsid w:val="00852FAB"/>
    <w:rsid w:val="008539E6"/>
    <w:rsid w:val="00855082"/>
    <w:rsid w:val="008551C0"/>
    <w:rsid w:val="00855513"/>
    <w:rsid w:val="00856395"/>
    <w:rsid w:val="008565C9"/>
    <w:rsid w:val="0085670F"/>
    <w:rsid w:val="008572B5"/>
    <w:rsid w:val="008611AB"/>
    <w:rsid w:val="008612CE"/>
    <w:rsid w:val="0086137A"/>
    <w:rsid w:val="00861508"/>
    <w:rsid w:val="0086182F"/>
    <w:rsid w:val="008619A0"/>
    <w:rsid w:val="00863288"/>
    <w:rsid w:val="00863656"/>
    <w:rsid w:val="00864BDE"/>
    <w:rsid w:val="00865A7F"/>
    <w:rsid w:val="0087003A"/>
    <w:rsid w:val="008722F9"/>
    <w:rsid w:val="00872B3E"/>
    <w:rsid w:val="008730D9"/>
    <w:rsid w:val="008735AA"/>
    <w:rsid w:val="00873CEC"/>
    <w:rsid w:val="0087450A"/>
    <w:rsid w:val="00875AA0"/>
    <w:rsid w:val="00876393"/>
    <w:rsid w:val="00876D8F"/>
    <w:rsid w:val="00880155"/>
    <w:rsid w:val="00880285"/>
    <w:rsid w:val="00880F6F"/>
    <w:rsid w:val="00881CD6"/>
    <w:rsid w:val="00882B18"/>
    <w:rsid w:val="0088366A"/>
    <w:rsid w:val="008844C8"/>
    <w:rsid w:val="00884C0A"/>
    <w:rsid w:val="00885EBF"/>
    <w:rsid w:val="00886004"/>
    <w:rsid w:val="0088655E"/>
    <w:rsid w:val="00886AAC"/>
    <w:rsid w:val="00887C99"/>
    <w:rsid w:val="00887D5B"/>
    <w:rsid w:val="00887D7E"/>
    <w:rsid w:val="00887F3A"/>
    <w:rsid w:val="0089053D"/>
    <w:rsid w:val="008918B9"/>
    <w:rsid w:val="00891A61"/>
    <w:rsid w:val="00892893"/>
    <w:rsid w:val="00892C77"/>
    <w:rsid w:val="00892F31"/>
    <w:rsid w:val="0089335B"/>
    <w:rsid w:val="00893FBC"/>
    <w:rsid w:val="00894695"/>
    <w:rsid w:val="0089661B"/>
    <w:rsid w:val="00896A5D"/>
    <w:rsid w:val="008974C6"/>
    <w:rsid w:val="00897C5E"/>
    <w:rsid w:val="00897D93"/>
    <w:rsid w:val="008A0120"/>
    <w:rsid w:val="008A0260"/>
    <w:rsid w:val="008A0993"/>
    <w:rsid w:val="008A1C11"/>
    <w:rsid w:val="008A1FC9"/>
    <w:rsid w:val="008A2C83"/>
    <w:rsid w:val="008A2E7A"/>
    <w:rsid w:val="008A370E"/>
    <w:rsid w:val="008A4099"/>
    <w:rsid w:val="008A40AC"/>
    <w:rsid w:val="008A42D8"/>
    <w:rsid w:val="008A4413"/>
    <w:rsid w:val="008A4A97"/>
    <w:rsid w:val="008A55A8"/>
    <w:rsid w:val="008A67EE"/>
    <w:rsid w:val="008A69A9"/>
    <w:rsid w:val="008A7F25"/>
    <w:rsid w:val="008B01BD"/>
    <w:rsid w:val="008B095F"/>
    <w:rsid w:val="008B0D34"/>
    <w:rsid w:val="008B1927"/>
    <w:rsid w:val="008B19CC"/>
    <w:rsid w:val="008B29C3"/>
    <w:rsid w:val="008B3324"/>
    <w:rsid w:val="008B3A5D"/>
    <w:rsid w:val="008B3B4F"/>
    <w:rsid w:val="008B49AB"/>
    <w:rsid w:val="008B4E78"/>
    <w:rsid w:val="008B5787"/>
    <w:rsid w:val="008B5C02"/>
    <w:rsid w:val="008B640C"/>
    <w:rsid w:val="008B68AA"/>
    <w:rsid w:val="008B71E5"/>
    <w:rsid w:val="008B73E5"/>
    <w:rsid w:val="008C0646"/>
    <w:rsid w:val="008C1123"/>
    <w:rsid w:val="008C14C9"/>
    <w:rsid w:val="008C1855"/>
    <w:rsid w:val="008C197C"/>
    <w:rsid w:val="008C1B77"/>
    <w:rsid w:val="008C20BE"/>
    <w:rsid w:val="008C240D"/>
    <w:rsid w:val="008C2964"/>
    <w:rsid w:val="008C35B7"/>
    <w:rsid w:val="008C391A"/>
    <w:rsid w:val="008C53D1"/>
    <w:rsid w:val="008C5727"/>
    <w:rsid w:val="008C6670"/>
    <w:rsid w:val="008D0CD7"/>
    <w:rsid w:val="008D1AF6"/>
    <w:rsid w:val="008D2D42"/>
    <w:rsid w:val="008D3D04"/>
    <w:rsid w:val="008D4D8A"/>
    <w:rsid w:val="008D5008"/>
    <w:rsid w:val="008D5504"/>
    <w:rsid w:val="008D6705"/>
    <w:rsid w:val="008D789F"/>
    <w:rsid w:val="008D7BE8"/>
    <w:rsid w:val="008D7C03"/>
    <w:rsid w:val="008E0A11"/>
    <w:rsid w:val="008E0B42"/>
    <w:rsid w:val="008E0B51"/>
    <w:rsid w:val="008E0DE7"/>
    <w:rsid w:val="008E1D32"/>
    <w:rsid w:val="008E1D59"/>
    <w:rsid w:val="008E23C4"/>
    <w:rsid w:val="008E3C6C"/>
    <w:rsid w:val="008E43BA"/>
    <w:rsid w:val="008E46C6"/>
    <w:rsid w:val="008E4742"/>
    <w:rsid w:val="008E6AB1"/>
    <w:rsid w:val="008E6D46"/>
    <w:rsid w:val="008E7047"/>
    <w:rsid w:val="008F0477"/>
    <w:rsid w:val="008F1075"/>
    <w:rsid w:val="008F1545"/>
    <w:rsid w:val="008F1780"/>
    <w:rsid w:val="008F2B3F"/>
    <w:rsid w:val="008F3656"/>
    <w:rsid w:val="008F3A00"/>
    <w:rsid w:val="008F5843"/>
    <w:rsid w:val="008F5BD1"/>
    <w:rsid w:val="008F5D92"/>
    <w:rsid w:val="008F63ED"/>
    <w:rsid w:val="008F66E9"/>
    <w:rsid w:val="008F6C12"/>
    <w:rsid w:val="008F6DCE"/>
    <w:rsid w:val="008F6DFC"/>
    <w:rsid w:val="008F6E7A"/>
    <w:rsid w:val="008F767E"/>
    <w:rsid w:val="008F7C00"/>
    <w:rsid w:val="008F7F83"/>
    <w:rsid w:val="009006A4"/>
    <w:rsid w:val="009006BC"/>
    <w:rsid w:val="009007B6"/>
    <w:rsid w:val="0090134D"/>
    <w:rsid w:val="009019BD"/>
    <w:rsid w:val="00901A19"/>
    <w:rsid w:val="0090215A"/>
    <w:rsid w:val="00902B83"/>
    <w:rsid w:val="00902CE4"/>
    <w:rsid w:val="0090347B"/>
    <w:rsid w:val="009053BA"/>
    <w:rsid w:val="00905627"/>
    <w:rsid w:val="009056EF"/>
    <w:rsid w:val="00905E90"/>
    <w:rsid w:val="0090630C"/>
    <w:rsid w:val="0090736A"/>
    <w:rsid w:val="00907C4D"/>
    <w:rsid w:val="009112C3"/>
    <w:rsid w:val="009121FA"/>
    <w:rsid w:val="009124D7"/>
    <w:rsid w:val="00913FD9"/>
    <w:rsid w:val="009140CA"/>
    <w:rsid w:val="00915245"/>
    <w:rsid w:val="009161D3"/>
    <w:rsid w:val="0091735F"/>
    <w:rsid w:val="00917FDB"/>
    <w:rsid w:val="00920238"/>
    <w:rsid w:val="0092040D"/>
    <w:rsid w:val="00920DE2"/>
    <w:rsid w:val="0092124C"/>
    <w:rsid w:val="009219D2"/>
    <w:rsid w:val="00921ABB"/>
    <w:rsid w:val="0092371A"/>
    <w:rsid w:val="0092411D"/>
    <w:rsid w:val="009242BB"/>
    <w:rsid w:val="00924993"/>
    <w:rsid w:val="00925540"/>
    <w:rsid w:val="009256BF"/>
    <w:rsid w:val="0092571F"/>
    <w:rsid w:val="00925972"/>
    <w:rsid w:val="00925E8B"/>
    <w:rsid w:val="0092617E"/>
    <w:rsid w:val="00926CBF"/>
    <w:rsid w:val="00927917"/>
    <w:rsid w:val="00927CF9"/>
    <w:rsid w:val="00931D03"/>
    <w:rsid w:val="00932868"/>
    <w:rsid w:val="009336D9"/>
    <w:rsid w:val="00933942"/>
    <w:rsid w:val="00933A5B"/>
    <w:rsid w:val="009346A8"/>
    <w:rsid w:val="00935CBA"/>
    <w:rsid w:val="00935FB6"/>
    <w:rsid w:val="00936346"/>
    <w:rsid w:val="00936853"/>
    <w:rsid w:val="009400AE"/>
    <w:rsid w:val="0094200D"/>
    <w:rsid w:val="00942B3D"/>
    <w:rsid w:val="00942DFE"/>
    <w:rsid w:val="00944ACA"/>
    <w:rsid w:val="00944C67"/>
    <w:rsid w:val="00944DB4"/>
    <w:rsid w:val="009452E3"/>
    <w:rsid w:val="009453A8"/>
    <w:rsid w:val="00946068"/>
    <w:rsid w:val="00946081"/>
    <w:rsid w:val="00946102"/>
    <w:rsid w:val="00946CEA"/>
    <w:rsid w:val="00946FAC"/>
    <w:rsid w:val="00950AE0"/>
    <w:rsid w:val="009513A2"/>
    <w:rsid w:val="009515E9"/>
    <w:rsid w:val="00951E04"/>
    <w:rsid w:val="00953252"/>
    <w:rsid w:val="00955399"/>
    <w:rsid w:val="00956091"/>
    <w:rsid w:val="009560EF"/>
    <w:rsid w:val="00956B1E"/>
    <w:rsid w:val="00956C97"/>
    <w:rsid w:val="00956EB0"/>
    <w:rsid w:val="00957084"/>
    <w:rsid w:val="00957DC4"/>
    <w:rsid w:val="009600C2"/>
    <w:rsid w:val="00960F84"/>
    <w:rsid w:val="009611E9"/>
    <w:rsid w:val="009624CE"/>
    <w:rsid w:val="00962D38"/>
    <w:rsid w:val="00962F17"/>
    <w:rsid w:val="0096342F"/>
    <w:rsid w:val="00963FA2"/>
    <w:rsid w:val="0096400C"/>
    <w:rsid w:val="00964849"/>
    <w:rsid w:val="0096488C"/>
    <w:rsid w:val="00964B32"/>
    <w:rsid w:val="00965AB8"/>
    <w:rsid w:val="009661A0"/>
    <w:rsid w:val="009662FF"/>
    <w:rsid w:val="00966493"/>
    <w:rsid w:val="00966F1B"/>
    <w:rsid w:val="009675E1"/>
    <w:rsid w:val="00967725"/>
    <w:rsid w:val="00967B55"/>
    <w:rsid w:val="00971330"/>
    <w:rsid w:val="00971D1C"/>
    <w:rsid w:val="00971DA3"/>
    <w:rsid w:val="00972AAA"/>
    <w:rsid w:val="00972D2B"/>
    <w:rsid w:val="00972E39"/>
    <w:rsid w:val="00973CAC"/>
    <w:rsid w:val="00974436"/>
    <w:rsid w:val="009746B5"/>
    <w:rsid w:val="00975468"/>
    <w:rsid w:val="009757C6"/>
    <w:rsid w:val="009765A5"/>
    <w:rsid w:val="00976C25"/>
    <w:rsid w:val="00976C27"/>
    <w:rsid w:val="00976C48"/>
    <w:rsid w:val="00977E6D"/>
    <w:rsid w:val="0098126F"/>
    <w:rsid w:val="00981FA5"/>
    <w:rsid w:val="00982263"/>
    <w:rsid w:val="00982A21"/>
    <w:rsid w:val="00982E16"/>
    <w:rsid w:val="0098465D"/>
    <w:rsid w:val="00985CF0"/>
    <w:rsid w:val="00985EFC"/>
    <w:rsid w:val="00986855"/>
    <w:rsid w:val="009868B2"/>
    <w:rsid w:val="00986AFB"/>
    <w:rsid w:val="00987BFE"/>
    <w:rsid w:val="00987E7F"/>
    <w:rsid w:val="00990607"/>
    <w:rsid w:val="0099090D"/>
    <w:rsid w:val="00990B8B"/>
    <w:rsid w:val="009918B8"/>
    <w:rsid w:val="00991951"/>
    <w:rsid w:val="009921A9"/>
    <w:rsid w:val="009922ED"/>
    <w:rsid w:val="0099285C"/>
    <w:rsid w:val="00992DD8"/>
    <w:rsid w:val="009931B2"/>
    <w:rsid w:val="00993AC4"/>
    <w:rsid w:val="009943A6"/>
    <w:rsid w:val="009947CE"/>
    <w:rsid w:val="00994FAE"/>
    <w:rsid w:val="009953DD"/>
    <w:rsid w:val="00995A43"/>
    <w:rsid w:val="00995B7B"/>
    <w:rsid w:val="00995BE6"/>
    <w:rsid w:val="00995D93"/>
    <w:rsid w:val="0099660B"/>
    <w:rsid w:val="0099677A"/>
    <w:rsid w:val="009967D0"/>
    <w:rsid w:val="00996841"/>
    <w:rsid w:val="0099723F"/>
    <w:rsid w:val="00997704"/>
    <w:rsid w:val="009A102B"/>
    <w:rsid w:val="009A21C2"/>
    <w:rsid w:val="009A2412"/>
    <w:rsid w:val="009A24C8"/>
    <w:rsid w:val="009A2A4F"/>
    <w:rsid w:val="009A3049"/>
    <w:rsid w:val="009A3FC0"/>
    <w:rsid w:val="009A4188"/>
    <w:rsid w:val="009A4622"/>
    <w:rsid w:val="009A655B"/>
    <w:rsid w:val="009A6605"/>
    <w:rsid w:val="009A6E36"/>
    <w:rsid w:val="009A7252"/>
    <w:rsid w:val="009B0C45"/>
    <w:rsid w:val="009B0F7A"/>
    <w:rsid w:val="009B1B93"/>
    <w:rsid w:val="009B29F0"/>
    <w:rsid w:val="009B2B41"/>
    <w:rsid w:val="009B4222"/>
    <w:rsid w:val="009B437B"/>
    <w:rsid w:val="009B43BB"/>
    <w:rsid w:val="009B43F9"/>
    <w:rsid w:val="009B46D8"/>
    <w:rsid w:val="009B492C"/>
    <w:rsid w:val="009B5E2C"/>
    <w:rsid w:val="009B60E9"/>
    <w:rsid w:val="009B6611"/>
    <w:rsid w:val="009B684F"/>
    <w:rsid w:val="009B68FE"/>
    <w:rsid w:val="009B739B"/>
    <w:rsid w:val="009C0FC8"/>
    <w:rsid w:val="009C1477"/>
    <w:rsid w:val="009C1AC9"/>
    <w:rsid w:val="009C1E67"/>
    <w:rsid w:val="009C1EA2"/>
    <w:rsid w:val="009C2178"/>
    <w:rsid w:val="009C3064"/>
    <w:rsid w:val="009C32E9"/>
    <w:rsid w:val="009C35B0"/>
    <w:rsid w:val="009C3F81"/>
    <w:rsid w:val="009C44EA"/>
    <w:rsid w:val="009C4A40"/>
    <w:rsid w:val="009C5FD4"/>
    <w:rsid w:val="009C604A"/>
    <w:rsid w:val="009C6284"/>
    <w:rsid w:val="009C6640"/>
    <w:rsid w:val="009C66DC"/>
    <w:rsid w:val="009C68E6"/>
    <w:rsid w:val="009C759B"/>
    <w:rsid w:val="009D01A4"/>
    <w:rsid w:val="009D0C32"/>
    <w:rsid w:val="009D12F9"/>
    <w:rsid w:val="009D240A"/>
    <w:rsid w:val="009D3FDA"/>
    <w:rsid w:val="009D401C"/>
    <w:rsid w:val="009D4095"/>
    <w:rsid w:val="009D5467"/>
    <w:rsid w:val="009D585C"/>
    <w:rsid w:val="009D613F"/>
    <w:rsid w:val="009D66E0"/>
    <w:rsid w:val="009D708E"/>
    <w:rsid w:val="009D7E9A"/>
    <w:rsid w:val="009E0020"/>
    <w:rsid w:val="009E02A0"/>
    <w:rsid w:val="009E03FD"/>
    <w:rsid w:val="009E07BE"/>
    <w:rsid w:val="009E0B06"/>
    <w:rsid w:val="009E0EA8"/>
    <w:rsid w:val="009E1102"/>
    <w:rsid w:val="009E11DD"/>
    <w:rsid w:val="009E199B"/>
    <w:rsid w:val="009E1AD8"/>
    <w:rsid w:val="009E1D19"/>
    <w:rsid w:val="009E232A"/>
    <w:rsid w:val="009E3964"/>
    <w:rsid w:val="009E3EFC"/>
    <w:rsid w:val="009E42B9"/>
    <w:rsid w:val="009E4BC4"/>
    <w:rsid w:val="009E501F"/>
    <w:rsid w:val="009E5D46"/>
    <w:rsid w:val="009E64A6"/>
    <w:rsid w:val="009E6660"/>
    <w:rsid w:val="009E705E"/>
    <w:rsid w:val="009E737F"/>
    <w:rsid w:val="009E7443"/>
    <w:rsid w:val="009F0105"/>
    <w:rsid w:val="009F091D"/>
    <w:rsid w:val="009F0BC9"/>
    <w:rsid w:val="009F1070"/>
    <w:rsid w:val="009F22F9"/>
    <w:rsid w:val="009F239E"/>
    <w:rsid w:val="009F3865"/>
    <w:rsid w:val="009F40F0"/>
    <w:rsid w:val="009F4186"/>
    <w:rsid w:val="009F4424"/>
    <w:rsid w:val="009F56A0"/>
    <w:rsid w:val="009F6309"/>
    <w:rsid w:val="009F6EF3"/>
    <w:rsid w:val="009F772E"/>
    <w:rsid w:val="00A0056E"/>
    <w:rsid w:val="00A015A0"/>
    <w:rsid w:val="00A01BD6"/>
    <w:rsid w:val="00A02503"/>
    <w:rsid w:val="00A02E49"/>
    <w:rsid w:val="00A03059"/>
    <w:rsid w:val="00A03656"/>
    <w:rsid w:val="00A0368E"/>
    <w:rsid w:val="00A0391E"/>
    <w:rsid w:val="00A04ABF"/>
    <w:rsid w:val="00A04BDA"/>
    <w:rsid w:val="00A051A2"/>
    <w:rsid w:val="00A05398"/>
    <w:rsid w:val="00A0545F"/>
    <w:rsid w:val="00A0596B"/>
    <w:rsid w:val="00A062C7"/>
    <w:rsid w:val="00A0674D"/>
    <w:rsid w:val="00A06D32"/>
    <w:rsid w:val="00A07310"/>
    <w:rsid w:val="00A07538"/>
    <w:rsid w:val="00A07C03"/>
    <w:rsid w:val="00A119E9"/>
    <w:rsid w:val="00A1294B"/>
    <w:rsid w:val="00A13617"/>
    <w:rsid w:val="00A137C9"/>
    <w:rsid w:val="00A13CCB"/>
    <w:rsid w:val="00A13EF0"/>
    <w:rsid w:val="00A15226"/>
    <w:rsid w:val="00A158AC"/>
    <w:rsid w:val="00A158B1"/>
    <w:rsid w:val="00A1611B"/>
    <w:rsid w:val="00A17113"/>
    <w:rsid w:val="00A171B7"/>
    <w:rsid w:val="00A17FC2"/>
    <w:rsid w:val="00A200EE"/>
    <w:rsid w:val="00A20B40"/>
    <w:rsid w:val="00A20CCD"/>
    <w:rsid w:val="00A21470"/>
    <w:rsid w:val="00A22626"/>
    <w:rsid w:val="00A23113"/>
    <w:rsid w:val="00A2330D"/>
    <w:rsid w:val="00A2374C"/>
    <w:rsid w:val="00A24474"/>
    <w:rsid w:val="00A245D3"/>
    <w:rsid w:val="00A253E5"/>
    <w:rsid w:val="00A25AB0"/>
    <w:rsid w:val="00A25EBA"/>
    <w:rsid w:val="00A262DE"/>
    <w:rsid w:val="00A263E4"/>
    <w:rsid w:val="00A26AD5"/>
    <w:rsid w:val="00A26E26"/>
    <w:rsid w:val="00A27534"/>
    <w:rsid w:val="00A27F26"/>
    <w:rsid w:val="00A3024A"/>
    <w:rsid w:val="00A31B11"/>
    <w:rsid w:val="00A31CD7"/>
    <w:rsid w:val="00A31D0F"/>
    <w:rsid w:val="00A32E8F"/>
    <w:rsid w:val="00A330BE"/>
    <w:rsid w:val="00A332BC"/>
    <w:rsid w:val="00A33480"/>
    <w:rsid w:val="00A3351A"/>
    <w:rsid w:val="00A33ABB"/>
    <w:rsid w:val="00A343BA"/>
    <w:rsid w:val="00A348AF"/>
    <w:rsid w:val="00A36113"/>
    <w:rsid w:val="00A36125"/>
    <w:rsid w:val="00A36602"/>
    <w:rsid w:val="00A36874"/>
    <w:rsid w:val="00A36AB2"/>
    <w:rsid w:val="00A36ED9"/>
    <w:rsid w:val="00A414D9"/>
    <w:rsid w:val="00A4197E"/>
    <w:rsid w:val="00A41A70"/>
    <w:rsid w:val="00A424AB"/>
    <w:rsid w:val="00A42FE5"/>
    <w:rsid w:val="00A443A5"/>
    <w:rsid w:val="00A44608"/>
    <w:rsid w:val="00A449A2"/>
    <w:rsid w:val="00A44CEE"/>
    <w:rsid w:val="00A4529C"/>
    <w:rsid w:val="00A452C4"/>
    <w:rsid w:val="00A4577D"/>
    <w:rsid w:val="00A45C59"/>
    <w:rsid w:val="00A460A2"/>
    <w:rsid w:val="00A4631F"/>
    <w:rsid w:val="00A471DF"/>
    <w:rsid w:val="00A47350"/>
    <w:rsid w:val="00A47D70"/>
    <w:rsid w:val="00A47E4C"/>
    <w:rsid w:val="00A5107F"/>
    <w:rsid w:val="00A51B33"/>
    <w:rsid w:val="00A5208A"/>
    <w:rsid w:val="00A531A6"/>
    <w:rsid w:val="00A53D0B"/>
    <w:rsid w:val="00A5479C"/>
    <w:rsid w:val="00A5601F"/>
    <w:rsid w:val="00A56207"/>
    <w:rsid w:val="00A563CA"/>
    <w:rsid w:val="00A56904"/>
    <w:rsid w:val="00A56CC4"/>
    <w:rsid w:val="00A571FB"/>
    <w:rsid w:val="00A57282"/>
    <w:rsid w:val="00A57631"/>
    <w:rsid w:val="00A5778A"/>
    <w:rsid w:val="00A60EE4"/>
    <w:rsid w:val="00A61166"/>
    <w:rsid w:val="00A611EE"/>
    <w:rsid w:val="00A62AD8"/>
    <w:rsid w:val="00A63576"/>
    <w:rsid w:val="00A63B05"/>
    <w:rsid w:val="00A63D8F"/>
    <w:rsid w:val="00A645D5"/>
    <w:rsid w:val="00A64EF5"/>
    <w:rsid w:val="00A659BB"/>
    <w:rsid w:val="00A66919"/>
    <w:rsid w:val="00A66E6C"/>
    <w:rsid w:val="00A66E97"/>
    <w:rsid w:val="00A67DFC"/>
    <w:rsid w:val="00A708F9"/>
    <w:rsid w:val="00A70B48"/>
    <w:rsid w:val="00A712B6"/>
    <w:rsid w:val="00A713B9"/>
    <w:rsid w:val="00A71952"/>
    <w:rsid w:val="00A71E7B"/>
    <w:rsid w:val="00A748E1"/>
    <w:rsid w:val="00A76214"/>
    <w:rsid w:val="00A76AF2"/>
    <w:rsid w:val="00A76B90"/>
    <w:rsid w:val="00A7779E"/>
    <w:rsid w:val="00A77C95"/>
    <w:rsid w:val="00A77D12"/>
    <w:rsid w:val="00A80737"/>
    <w:rsid w:val="00A81F5E"/>
    <w:rsid w:val="00A8235C"/>
    <w:rsid w:val="00A82522"/>
    <w:rsid w:val="00A8267E"/>
    <w:rsid w:val="00A829AC"/>
    <w:rsid w:val="00A829B3"/>
    <w:rsid w:val="00A829E2"/>
    <w:rsid w:val="00A82FB9"/>
    <w:rsid w:val="00A8302D"/>
    <w:rsid w:val="00A8314D"/>
    <w:rsid w:val="00A83639"/>
    <w:rsid w:val="00A83C97"/>
    <w:rsid w:val="00A844B9"/>
    <w:rsid w:val="00A84883"/>
    <w:rsid w:val="00A85767"/>
    <w:rsid w:val="00A859B0"/>
    <w:rsid w:val="00A863A7"/>
    <w:rsid w:val="00A9129B"/>
    <w:rsid w:val="00A91B41"/>
    <w:rsid w:val="00A91D7D"/>
    <w:rsid w:val="00A930DC"/>
    <w:rsid w:val="00A93C1B"/>
    <w:rsid w:val="00A944EE"/>
    <w:rsid w:val="00A94A1E"/>
    <w:rsid w:val="00A95923"/>
    <w:rsid w:val="00A969D5"/>
    <w:rsid w:val="00A973A1"/>
    <w:rsid w:val="00A97C58"/>
    <w:rsid w:val="00AA070F"/>
    <w:rsid w:val="00AA0E9A"/>
    <w:rsid w:val="00AA0F86"/>
    <w:rsid w:val="00AA16B3"/>
    <w:rsid w:val="00AA1AB2"/>
    <w:rsid w:val="00AA21DC"/>
    <w:rsid w:val="00AA2AAC"/>
    <w:rsid w:val="00AA5140"/>
    <w:rsid w:val="00AA77F6"/>
    <w:rsid w:val="00AB000D"/>
    <w:rsid w:val="00AB04E7"/>
    <w:rsid w:val="00AB15B8"/>
    <w:rsid w:val="00AB16AD"/>
    <w:rsid w:val="00AB19C6"/>
    <w:rsid w:val="00AB1A8B"/>
    <w:rsid w:val="00AB1E17"/>
    <w:rsid w:val="00AB2288"/>
    <w:rsid w:val="00AB237B"/>
    <w:rsid w:val="00AB2582"/>
    <w:rsid w:val="00AB260F"/>
    <w:rsid w:val="00AB299C"/>
    <w:rsid w:val="00AB3FC4"/>
    <w:rsid w:val="00AB41C3"/>
    <w:rsid w:val="00AB41C5"/>
    <w:rsid w:val="00AB5500"/>
    <w:rsid w:val="00AB58FE"/>
    <w:rsid w:val="00AB5EE0"/>
    <w:rsid w:val="00AB6445"/>
    <w:rsid w:val="00AB6693"/>
    <w:rsid w:val="00AB6732"/>
    <w:rsid w:val="00AB67D5"/>
    <w:rsid w:val="00AB6BF6"/>
    <w:rsid w:val="00AB773A"/>
    <w:rsid w:val="00AC054C"/>
    <w:rsid w:val="00AC0A81"/>
    <w:rsid w:val="00AC13B9"/>
    <w:rsid w:val="00AC24C4"/>
    <w:rsid w:val="00AC2E55"/>
    <w:rsid w:val="00AC405E"/>
    <w:rsid w:val="00AC45E9"/>
    <w:rsid w:val="00AC49B2"/>
    <w:rsid w:val="00AC4F29"/>
    <w:rsid w:val="00AC6237"/>
    <w:rsid w:val="00AC670A"/>
    <w:rsid w:val="00AC6AB3"/>
    <w:rsid w:val="00AC6C3A"/>
    <w:rsid w:val="00AD0C47"/>
    <w:rsid w:val="00AD11F6"/>
    <w:rsid w:val="00AD147A"/>
    <w:rsid w:val="00AD1EC4"/>
    <w:rsid w:val="00AD209C"/>
    <w:rsid w:val="00AD27F9"/>
    <w:rsid w:val="00AD2B25"/>
    <w:rsid w:val="00AD5DB5"/>
    <w:rsid w:val="00AD6605"/>
    <w:rsid w:val="00AD670D"/>
    <w:rsid w:val="00AD7652"/>
    <w:rsid w:val="00AE0316"/>
    <w:rsid w:val="00AE1950"/>
    <w:rsid w:val="00AE1D88"/>
    <w:rsid w:val="00AE2130"/>
    <w:rsid w:val="00AE2BCC"/>
    <w:rsid w:val="00AE2DD7"/>
    <w:rsid w:val="00AE312F"/>
    <w:rsid w:val="00AE3141"/>
    <w:rsid w:val="00AE3487"/>
    <w:rsid w:val="00AE3B42"/>
    <w:rsid w:val="00AE4115"/>
    <w:rsid w:val="00AE49AA"/>
    <w:rsid w:val="00AE4A26"/>
    <w:rsid w:val="00AE4DDB"/>
    <w:rsid w:val="00AE53BC"/>
    <w:rsid w:val="00AE62CE"/>
    <w:rsid w:val="00AE6D29"/>
    <w:rsid w:val="00AE7164"/>
    <w:rsid w:val="00AE7A37"/>
    <w:rsid w:val="00AE7DEF"/>
    <w:rsid w:val="00AF0A87"/>
    <w:rsid w:val="00AF1CDA"/>
    <w:rsid w:val="00AF1E76"/>
    <w:rsid w:val="00AF2EE8"/>
    <w:rsid w:val="00AF36B1"/>
    <w:rsid w:val="00AF4FCA"/>
    <w:rsid w:val="00AF7CB6"/>
    <w:rsid w:val="00B00810"/>
    <w:rsid w:val="00B015F9"/>
    <w:rsid w:val="00B01700"/>
    <w:rsid w:val="00B01C77"/>
    <w:rsid w:val="00B01D9F"/>
    <w:rsid w:val="00B01DFC"/>
    <w:rsid w:val="00B01FD1"/>
    <w:rsid w:val="00B0203C"/>
    <w:rsid w:val="00B024E8"/>
    <w:rsid w:val="00B0291E"/>
    <w:rsid w:val="00B03038"/>
    <w:rsid w:val="00B031DF"/>
    <w:rsid w:val="00B04529"/>
    <w:rsid w:val="00B06AE0"/>
    <w:rsid w:val="00B073D0"/>
    <w:rsid w:val="00B10EB6"/>
    <w:rsid w:val="00B1379A"/>
    <w:rsid w:val="00B14275"/>
    <w:rsid w:val="00B14741"/>
    <w:rsid w:val="00B14FF6"/>
    <w:rsid w:val="00B15092"/>
    <w:rsid w:val="00B150EC"/>
    <w:rsid w:val="00B16DE2"/>
    <w:rsid w:val="00B174EE"/>
    <w:rsid w:val="00B17CBD"/>
    <w:rsid w:val="00B20A59"/>
    <w:rsid w:val="00B21379"/>
    <w:rsid w:val="00B21D9D"/>
    <w:rsid w:val="00B22779"/>
    <w:rsid w:val="00B228DD"/>
    <w:rsid w:val="00B22C61"/>
    <w:rsid w:val="00B23987"/>
    <w:rsid w:val="00B23A61"/>
    <w:rsid w:val="00B23D9F"/>
    <w:rsid w:val="00B23F83"/>
    <w:rsid w:val="00B244E0"/>
    <w:rsid w:val="00B24AA2"/>
    <w:rsid w:val="00B24CE4"/>
    <w:rsid w:val="00B252AA"/>
    <w:rsid w:val="00B25AD6"/>
    <w:rsid w:val="00B25E57"/>
    <w:rsid w:val="00B2622D"/>
    <w:rsid w:val="00B26619"/>
    <w:rsid w:val="00B26D60"/>
    <w:rsid w:val="00B26F8E"/>
    <w:rsid w:val="00B26F98"/>
    <w:rsid w:val="00B274F1"/>
    <w:rsid w:val="00B27990"/>
    <w:rsid w:val="00B27A1F"/>
    <w:rsid w:val="00B30D5D"/>
    <w:rsid w:val="00B31915"/>
    <w:rsid w:val="00B3248D"/>
    <w:rsid w:val="00B33C42"/>
    <w:rsid w:val="00B3474B"/>
    <w:rsid w:val="00B3476D"/>
    <w:rsid w:val="00B349FA"/>
    <w:rsid w:val="00B351FC"/>
    <w:rsid w:val="00B354F3"/>
    <w:rsid w:val="00B35736"/>
    <w:rsid w:val="00B36AA6"/>
    <w:rsid w:val="00B36CF4"/>
    <w:rsid w:val="00B378FB"/>
    <w:rsid w:val="00B379D7"/>
    <w:rsid w:val="00B37AB1"/>
    <w:rsid w:val="00B4003B"/>
    <w:rsid w:val="00B40D25"/>
    <w:rsid w:val="00B40F3F"/>
    <w:rsid w:val="00B41492"/>
    <w:rsid w:val="00B41D75"/>
    <w:rsid w:val="00B4232F"/>
    <w:rsid w:val="00B44216"/>
    <w:rsid w:val="00B4486B"/>
    <w:rsid w:val="00B4761C"/>
    <w:rsid w:val="00B47B7E"/>
    <w:rsid w:val="00B5174F"/>
    <w:rsid w:val="00B51BD5"/>
    <w:rsid w:val="00B545F5"/>
    <w:rsid w:val="00B549B1"/>
    <w:rsid w:val="00B54F99"/>
    <w:rsid w:val="00B551AE"/>
    <w:rsid w:val="00B555C2"/>
    <w:rsid w:val="00B55FB9"/>
    <w:rsid w:val="00B565FF"/>
    <w:rsid w:val="00B5761A"/>
    <w:rsid w:val="00B600F0"/>
    <w:rsid w:val="00B606DA"/>
    <w:rsid w:val="00B60DE5"/>
    <w:rsid w:val="00B613F5"/>
    <w:rsid w:val="00B61FF9"/>
    <w:rsid w:val="00B621C1"/>
    <w:rsid w:val="00B63C84"/>
    <w:rsid w:val="00B63EC6"/>
    <w:rsid w:val="00B64126"/>
    <w:rsid w:val="00B65001"/>
    <w:rsid w:val="00B654E4"/>
    <w:rsid w:val="00B657E9"/>
    <w:rsid w:val="00B65D4C"/>
    <w:rsid w:val="00B663AA"/>
    <w:rsid w:val="00B66AC9"/>
    <w:rsid w:val="00B6709A"/>
    <w:rsid w:val="00B7045B"/>
    <w:rsid w:val="00B70FC6"/>
    <w:rsid w:val="00B7100E"/>
    <w:rsid w:val="00B7173B"/>
    <w:rsid w:val="00B71B34"/>
    <w:rsid w:val="00B71EBA"/>
    <w:rsid w:val="00B71F25"/>
    <w:rsid w:val="00B7202C"/>
    <w:rsid w:val="00B725E5"/>
    <w:rsid w:val="00B72772"/>
    <w:rsid w:val="00B728F2"/>
    <w:rsid w:val="00B72F32"/>
    <w:rsid w:val="00B73143"/>
    <w:rsid w:val="00B73602"/>
    <w:rsid w:val="00B74467"/>
    <w:rsid w:val="00B747C8"/>
    <w:rsid w:val="00B75000"/>
    <w:rsid w:val="00B75442"/>
    <w:rsid w:val="00B7554A"/>
    <w:rsid w:val="00B764DC"/>
    <w:rsid w:val="00B76A54"/>
    <w:rsid w:val="00B76BEA"/>
    <w:rsid w:val="00B76CF6"/>
    <w:rsid w:val="00B7798B"/>
    <w:rsid w:val="00B77F35"/>
    <w:rsid w:val="00B81624"/>
    <w:rsid w:val="00B82B92"/>
    <w:rsid w:val="00B83D4C"/>
    <w:rsid w:val="00B84101"/>
    <w:rsid w:val="00B84777"/>
    <w:rsid w:val="00B85346"/>
    <w:rsid w:val="00B85BDD"/>
    <w:rsid w:val="00B85E7F"/>
    <w:rsid w:val="00B8603F"/>
    <w:rsid w:val="00B8767F"/>
    <w:rsid w:val="00B87D64"/>
    <w:rsid w:val="00B91473"/>
    <w:rsid w:val="00B9163C"/>
    <w:rsid w:val="00B918D6"/>
    <w:rsid w:val="00B91C26"/>
    <w:rsid w:val="00B93B3E"/>
    <w:rsid w:val="00B948A3"/>
    <w:rsid w:val="00B94CF5"/>
    <w:rsid w:val="00B94D41"/>
    <w:rsid w:val="00B955A1"/>
    <w:rsid w:val="00B95B13"/>
    <w:rsid w:val="00B95BBE"/>
    <w:rsid w:val="00B95E04"/>
    <w:rsid w:val="00B95E41"/>
    <w:rsid w:val="00B96BD8"/>
    <w:rsid w:val="00B97FC7"/>
    <w:rsid w:val="00BA11FF"/>
    <w:rsid w:val="00BA170C"/>
    <w:rsid w:val="00BA1A22"/>
    <w:rsid w:val="00BA1BB4"/>
    <w:rsid w:val="00BA1EF4"/>
    <w:rsid w:val="00BA246B"/>
    <w:rsid w:val="00BA30BE"/>
    <w:rsid w:val="00BA34CE"/>
    <w:rsid w:val="00BA3C87"/>
    <w:rsid w:val="00BA4913"/>
    <w:rsid w:val="00BA563D"/>
    <w:rsid w:val="00BA599F"/>
    <w:rsid w:val="00BA6860"/>
    <w:rsid w:val="00BA70BF"/>
    <w:rsid w:val="00BA7341"/>
    <w:rsid w:val="00BA77C3"/>
    <w:rsid w:val="00BB0100"/>
    <w:rsid w:val="00BB087C"/>
    <w:rsid w:val="00BB1836"/>
    <w:rsid w:val="00BB1B19"/>
    <w:rsid w:val="00BB1EA7"/>
    <w:rsid w:val="00BB347E"/>
    <w:rsid w:val="00BB781C"/>
    <w:rsid w:val="00BC0A66"/>
    <w:rsid w:val="00BC0F5F"/>
    <w:rsid w:val="00BC12BE"/>
    <w:rsid w:val="00BC14D2"/>
    <w:rsid w:val="00BC1B91"/>
    <w:rsid w:val="00BC3485"/>
    <w:rsid w:val="00BC3493"/>
    <w:rsid w:val="00BC34E7"/>
    <w:rsid w:val="00BC375E"/>
    <w:rsid w:val="00BC6BF1"/>
    <w:rsid w:val="00BC6C41"/>
    <w:rsid w:val="00BC6DC9"/>
    <w:rsid w:val="00BC72E6"/>
    <w:rsid w:val="00BC72EB"/>
    <w:rsid w:val="00BD004F"/>
    <w:rsid w:val="00BD05AC"/>
    <w:rsid w:val="00BD1B66"/>
    <w:rsid w:val="00BD2CEA"/>
    <w:rsid w:val="00BD32C3"/>
    <w:rsid w:val="00BD5F33"/>
    <w:rsid w:val="00BD69E8"/>
    <w:rsid w:val="00BD77BD"/>
    <w:rsid w:val="00BE078D"/>
    <w:rsid w:val="00BE1567"/>
    <w:rsid w:val="00BE2B64"/>
    <w:rsid w:val="00BE32C3"/>
    <w:rsid w:val="00BE4A1F"/>
    <w:rsid w:val="00BE5893"/>
    <w:rsid w:val="00BE7478"/>
    <w:rsid w:val="00BE7737"/>
    <w:rsid w:val="00BF0AA7"/>
    <w:rsid w:val="00BF0F4E"/>
    <w:rsid w:val="00BF1089"/>
    <w:rsid w:val="00BF1224"/>
    <w:rsid w:val="00BF179B"/>
    <w:rsid w:val="00BF1B8F"/>
    <w:rsid w:val="00BF1C90"/>
    <w:rsid w:val="00BF37B4"/>
    <w:rsid w:val="00BF393A"/>
    <w:rsid w:val="00BF472B"/>
    <w:rsid w:val="00BF5612"/>
    <w:rsid w:val="00BF7285"/>
    <w:rsid w:val="00C00EFD"/>
    <w:rsid w:val="00C00F5D"/>
    <w:rsid w:val="00C01138"/>
    <w:rsid w:val="00C01530"/>
    <w:rsid w:val="00C031CC"/>
    <w:rsid w:val="00C03726"/>
    <w:rsid w:val="00C0499F"/>
    <w:rsid w:val="00C05232"/>
    <w:rsid w:val="00C0584A"/>
    <w:rsid w:val="00C06049"/>
    <w:rsid w:val="00C0699A"/>
    <w:rsid w:val="00C06A2E"/>
    <w:rsid w:val="00C1128C"/>
    <w:rsid w:val="00C11795"/>
    <w:rsid w:val="00C11D1F"/>
    <w:rsid w:val="00C121A6"/>
    <w:rsid w:val="00C12D14"/>
    <w:rsid w:val="00C132B6"/>
    <w:rsid w:val="00C13637"/>
    <w:rsid w:val="00C137C1"/>
    <w:rsid w:val="00C14119"/>
    <w:rsid w:val="00C15136"/>
    <w:rsid w:val="00C15B00"/>
    <w:rsid w:val="00C15B28"/>
    <w:rsid w:val="00C15CE7"/>
    <w:rsid w:val="00C1668F"/>
    <w:rsid w:val="00C20E24"/>
    <w:rsid w:val="00C2157A"/>
    <w:rsid w:val="00C21B55"/>
    <w:rsid w:val="00C2208C"/>
    <w:rsid w:val="00C22770"/>
    <w:rsid w:val="00C22E37"/>
    <w:rsid w:val="00C231ED"/>
    <w:rsid w:val="00C2324B"/>
    <w:rsid w:val="00C242D7"/>
    <w:rsid w:val="00C24CEF"/>
    <w:rsid w:val="00C251A6"/>
    <w:rsid w:val="00C26619"/>
    <w:rsid w:val="00C26E04"/>
    <w:rsid w:val="00C30BE9"/>
    <w:rsid w:val="00C31661"/>
    <w:rsid w:val="00C32221"/>
    <w:rsid w:val="00C3226D"/>
    <w:rsid w:val="00C32C2A"/>
    <w:rsid w:val="00C3369E"/>
    <w:rsid w:val="00C35141"/>
    <w:rsid w:val="00C355F7"/>
    <w:rsid w:val="00C3693F"/>
    <w:rsid w:val="00C36FC9"/>
    <w:rsid w:val="00C370C9"/>
    <w:rsid w:val="00C40334"/>
    <w:rsid w:val="00C42540"/>
    <w:rsid w:val="00C42AAE"/>
    <w:rsid w:val="00C43F28"/>
    <w:rsid w:val="00C44334"/>
    <w:rsid w:val="00C45047"/>
    <w:rsid w:val="00C4556B"/>
    <w:rsid w:val="00C45A41"/>
    <w:rsid w:val="00C45B7F"/>
    <w:rsid w:val="00C461C7"/>
    <w:rsid w:val="00C46492"/>
    <w:rsid w:val="00C46D42"/>
    <w:rsid w:val="00C46F83"/>
    <w:rsid w:val="00C47C99"/>
    <w:rsid w:val="00C509CA"/>
    <w:rsid w:val="00C50A05"/>
    <w:rsid w:val="00C50CDD"/>
    <w:rsid w:val="00C51E2A"/>
    <w:rsid w:val="00C522FC"/>
    <w:rsid w:val="00C525DC"/>
    <w:rsid w:val="00C52B6F"/>
    <w:rsid w:val="00C52EC0"/>
    <w:rsid w:val="00C530E3"/>
    <w:rsid w:val="00C53422"/>
    <w:rsid w:val="00C53ACA"/>
    <w:rsid w:val="00C5419A"/>
    <w:rsid w:val="00C55450"/>
    <w:rsid w:val="00C55ACC"/>
    <w:rsid w:val="00C56371"/>
    <w:rsid w:val="00C563A6"/>
    <w:rsid w:val="00C579C0"/>
    <w:rsid w:val="00C6056C"/>
    <w:rsid w:val="00C60949"/>
    <w:rsid w:val="00C60CA9"/>
    <w:rsid w:val="00C618E0"/>
    <w:rsid w:val="00C61BC1"/>
    <w:rsid w:val="00C62386"/>
    <w:rsid w:val="00C62498"/>
    <w:rsid w:val="00C62661"/>
    <w:rsid w:val="00C62AC5"/>
    <w:rsid w:val="00C62E73"/>
    <w:rsid w:val="00C63CE4"/>
    <w:rsid w:val="00C6523B"/>
    <w:rsid w:val="00C673B4"/>
    <w:rsid w:val="00C67C14"/>
    <w:rsid w:val="00C7007B"/>
    <w:rsid w:val="00C702FA"/>
    <w:rsid w:val="00C70BC9"/>
    <w:rsid w:val="00C710A4"/>
    <w:rsid w:val="00C7191A"/>
    <w:rsid w:val="00C729C5"/>
    <w:rsid w:val="00C7313B"/>
    <w:rsid w:val="00C73A8B"/>
    <w:rsid w:val="00C73DE0"/>
    <w:rsid w:val="00C74463"/>
    <w:rsid w:val="00C7459D"/>
    <w:rsid w:val="00C74BB0"/>
    <w:rsid w:val="00C75D1E"/>
    <w:rsid w:val="00C75DA1"/>
    <w:rsid w:val="00C76139"/>
    <w:rsid w:val="00C7630C"/>
    <w:rsid w:val="00C76A9C"/>
    <w:rsid w:val="00C76B8E"/>
    <w:rsid w:val="00C77B04"/>
    <w:rsid w:val="00C8044A"/>
    <w:rsid w:val="00C805F8"/>
    <w:rsid w:val="00C80BF1"/>
    <w:rsid w:val="00C8123B"/>
    <w:rsid w:val="00C81F0E"/>
    <w:rsid w:val="00C822F5"/>
    <w:rsid w:val="00C825E3"/>
    <w:rsid w:val="00C828D7"/>
    <w:rsid w:val="00C82A79"/>
    <w:rsid w:val="00C830FA"/>
    <w:rsid w:val="00C83BD7"/>
    <w:rsid w:val="00C8425F"/>
    <w:rsid w:val="00C84572"/>
    <w:rsid w:val="00C8735A"/>
    <w:rsid w:val="00C87E5B"/>
    <w:rsid w:val="00C90021"/>
    <w:rsid w:val="00C90F3B"/>
    <w:rsid w:val="00C91F27"/>
    <w:rsid w:val="00C92D17"/>
    <w:rsid w:val="00C94169"/>
    <w:rsid w:val="00C955D6"/>
    <w:rsid w:val="00C957A5"/>
    <w:rsid w:val="00C95A70"/>
    <w:rsid w:val="00C96FA8"/>
    <w:rsid w:val="00C97143"/>
    <w:rsid w:val="00C9736D"/>
    <w:rsid w:val="00CA00CB"/>
    <w:rsid w:val="00CA10B7"/>
    <w:rsid w:val="00CA13B6"/>
    <w:rsid w:val="00CA27A0"/>
    <w:rsid w:val="00CA2A03"/>
    <w:rsid w:val="00CA2A7F"/>
    <w:rsid w:val="00CA2AA0"/>
    <w:rsid w:val="00CA31BC"/>
    <w:rsid w:val="00CA32BD"/>
    <w:rsid w:val="00CA5147"/>
    <w:rsid w:val="00CA6232"/>
    <w:rsid w:val="00CA63B8"/>
    <w:rsid w:val="00CA6CF3"/>
    <w:rsid w:val="00CA74F3"/>
    <w:rsid w:val="00CA7D79"/>
    <w:rsid w:val="00CB0587"/>
    <w:rsid w:val="00CB0A58"/>
    <w:rsid w:val="00CB20D7"/>
    <w:rsid w:val="00CB2597"/>
    <w:rsid w:val="00CB282E"/>
    <w:rsid w:val="00CB349E"/>
    <w:rsid w:val="00CB352C"/>
    <w:rsid w:val="00CB5770"/>
    <w:rsid w:val="00CB5ED1"/>
    <w:rsid w:val="00CB5F99"/>
    <w:rsid w:val="00CB63B0"/>
    <w:rsid w:val="00CB73C3"/>
    <w:rsid w:val="00CB7AAC"/>
    <w:rsid w:val="00CC044C"/>
    <w:rsid w:val="00CC0ECD"/>
    <w:rsid w:val="00CC18A9"/>
    <w:rsid w:val="00CC19AC"/>
    <w:rsid w:val="00CC1D7F"/>
    <w:rsid w:val="00CC371A"/>
    <w:rsid w:val="00CC3C6B"/>
    <w:rsid w:val="00CC3E76"/>
    <w:rsid w:val="00CC4139"/>
    <w:rsid w:val="00CC4C35"/>
    <w:rsid w:val="00CC5BEB"/>
    <w:rsid w:val="00CC5ED1"/>
    <w:rsid w:val="00CC6983"/>
    <w:rsid w:val="00CC7093"/>
    <w:rsid w:val="00CC72BA"/>
    <w:rsid w:val="00CC75D5"/>
    <w:rsid w:val="00CC7BE4"/>
    <w:rsid w:val="00CD0130"/>
    <w:rsid w:val="00CD0B81"/>
    <w:rsid w:val="00CD12D4"/>
    <w:rsid w:val="00CD15AC"/>
    <w:rsid w:val="00CD1EF9"/>
    <w:rsid w:val="00CD2087"/>
    <w:rsid w:val="00CD2D8C"/>
    <w:rsid w:val="00CD3C92"/>
    <w:rsid w:val="00CD5849"/>
    <w:rsid w:val="00CD584E"/>
    <w:rsid w:val="00CD7273"/>
    <w:rsid w:val="00CE0292"/>
    <w:rsid w:val="00CE09AA"/>
    <w:rsid w:val="00CE119E"/>
    <w:rsid w:val="00CE132C"/>
    <w:rsid w:val="00CE1DF0"/>
    <w:rsid w:val="00CE2907"/>
    <w:rsid w:val="00CE4986"/>
    <w:rsid w:val="00CE4CE1"/>
    <w:rsid w:val="00CE5516"/>
    <w:rsid w:val="00CE5A99"/>
    <w:rsid w:val="00CE6615"/>
    <w:rsid w:val="00CE67E5"/>
    <w:rsid w:val="00CE6C9E"/>
    <w:rsid w:val="00CE7049"/>
    <w:rsid w:val="00CE727D"/>
    <w:rsid w:val="00CE7575"/>
    <w:rsid w:val="00CE7BFF"/>
    <w:rsid w:val="00CE7CD7"/>
    <w:rsid w:val="00CE7F14"/>
    <w:rsid w:val="00CF1391"/>
    <w:rsid w:val="00CF1631"/>
    <w:rsid w:val="00CF18A0"/>
    <w:rsid w:val="00CF1C8B"/>
    <w:rsid w:val="00CF1FB3"/>
    <w:rsid w:val="00CF3063"/>
    <w:rsid w:val="00CF3069"/>
    <w:rsid w:val="00CF34D3"/>
    <w:rsid w:val="00CF3746"/>
    <w:rsid w:val="00CF3DD9"/>
    <w:rsid w:val="00CF479B"/>
    <w:rsid w:val="00CF4AA2"/>
    <w:rsid w:val="00CF4D3D"/>
    <w:rsid w:val="00CF4D7F"/>
    <w:rsid w:val="00CF528C"/>
    <w:rsid w:val="00CF53B2"/>
    <w:rsid w:val="00CF5797"/>
    <w:rsid w:val="00CF6482"/>
    <w:rsid w:val="00CF64FB"/>
    <w:rsid w:val="00CF70E9"/>
    <w:rsid w:val="00CF7674"/>
    <w:rsid w:val="00D00042"/>
    <w:rsid w:val="00D01DE4"/>
    <w:rsid w:val="00D021B2"/>
    <w:rsid w:val="00D02539"/>
    <w:rsid w:val="00D02592"/>
    <w:rsid w:val="00D02682"/>
    <w:rsid w:val="00D02D7D"/>
    <w:rsid w:val="00D03043"/>
    <w:rsid w:val="00D03685"/>
    <w:rsid w:val="00D048BA"/>
    <w:rsid w:val="00D04C1A"/>
    <w:rsid w:val="00D0511F"/>
    <w:rsid w:val="00D05D70"/>
    <w:rsid w:val="00D06665"/>
    <w:rsid w:val="00D06D98"/>
    <w:rsid w:val="00D0738B"/>
    <w:rsid w:val="00D07685"/>
    <w:rsid w:val="00D07B61"/>
    <w:rsid w:val="00D10319"/>
    <w:rsid w:val="00D10377"/>
    <w:rsid w:val="00D1038A"/>
    <w:rsid w:val="00D11533"/>
    <w:rsid w:val="00D118B4"/>
    <w:rsid w:val="00D11B78"/>
    <w:rsid w:val="00D12261"/>
    <w:rsid w:val="00D12331"/>
    <w:rsid w:val="00D13179"/>
    <w:rsid w:val="00D1362C"/>
    <w:rsid w:val="00D13FC4"/>
    <w:rsid w:val="00D14B28"/>
    <w:rsid w:val="00D14E05"/>
    <w:rsid w:val="00D15018"/>
    <w:rsid w:val="00D16E10"/>
    <w:rsid w:val="00D1709D"/>
    <w:rsid w:val="00D172BC"/>
    <w:rsid w:val="00D20BFE"/>
    <w:rsid w:val="00D20E36"/>
    <w:rsid w:val="00D20EB6"/>
    <w:rsid w:val="00D20F3B"/>
    <w:rsid w:val="00D222ED"/>
    <w:rsid w:val="00D23219"/>
    <w:rsid w:val="00D23482"/>
    <w:rsid w:val="00D237CF"/>
    <w:rsid w:val="00D24570"/>
    <w:rsid w:val="00D24809"/>
    <w:rsid w:val="00D25069"/>
    <w:rsid w:val="00D25F3F"/>
    <w:rsid w:val="00D26F9F"/>
    <w:rsid w:val="00D2733B"/>
    <w:rsid w:val="00D274A8"/>
    <w:rsid w:val="00D30758"/>
    <w:rsid w:val="00D3126C"/>
    <w:rsid w:val="00D314B5"/>
    <w:rsid w:val="00D321D1"/>
    <w:rsid w:val="00D32E5D"/>
    <w:rsid w:val="00D337BE"/>
    <w:rsid w:val="00D35019"/>
    <w:rsid w:val="00D353CA"/>
    <w:rsid w:val="00D35C59"/>
    <w:rsid w:val="00D35D63"/>
    <w:rsid w:val="00D37E82"/>
    <w:rsid w:val="00D41198"/>
    <w:rsid w:val="00D413AE"/>
    <w:rsid w:val="00D41DD5"/>
    <w:rsid w:val="00D428DF"/>
    <w:rsid w:val="00D42E3C"/>
    <w:rsid w:val="00D430D6"/>
    <w:rsid w:val="00D433AD"/>
    <w:rsid w:val="00D43766"/>
    <w:rsid w:val="00D43A93"/>
    <w:rsid w:val="00D43C03"/>
    <w:rsid w:val="00D44050"/>
    <w:rsid w:val="00D442BE"/>
    <w:rsid w:val="00D442C0"/>
    <w:rsid w:val="00D4434B"/>
    <w:rsid w:val="00D4505B"/>
    <w:rsid w:val="00D4542C"/>
    <w:rsid w:val="00D45803"/>
    <w:rsid w:val="00D4590C"/>
    <w:rsid w:val="00D468C8"/>
    <w:rsid w:val="00D46DAE"/>
    <w:rsid w:val="00D473C8"/>
    <w:rsid w:val="00D503E7"/>
    <w:rsid w:val="00D50A12"/>
    <w:rsid w:val="00D514C6"/>
    <w:rsid w:val="00D51F80"/>
    <w:rsid w:val="00D52155"/>
    <w:rsid w:val="00D523E5"/>
    <w:rsid w:val="00D53429"/>
    <w:rsid w:val="00D537D6"/>
    <w:rsid w:val="00D54D04"/>
    <w:rsid w:val="00D55A99"/>
    <w:rsid w:val="00D56115"/>
    <w:rsid w:val="00D57495"/>
    <w:rsid w:val="00D57F40"/>
    <w:rsid w:val="00D60CC6"/>
    <w:rsid w:val="00D60DCF"/>
    <w:rsid w:val="00D62C5D"/>
    <w:rsid w:val="00D62D39"/>
    <w:rsid w:val="00D6360E"/>
    <w:rsid w:val="00D63E5C"/>
    <w:rsid w:val="00D64425"/>
    <w:rsid w:val="00D64AAB"/>
    <w:rsid w:val="00D64D66"/>
    <w:rsid w:val="00D64F60"/>
    <w:rsid w:val="00D650B0"/>
    <w:rsid w:val="00D657B5"/>
    <w:rsid w:val="00D658E2"/>
    <w:rsid w:val="00D6599A"/>
    <w:rsid w:val="00D6655E"/>
    <w:rsid w:val="00D66F89"/>
    <w:rsid w:val="00D6723C"/>
    <w:rsid w:val="00D72731"/>
    <w:rsid w:val="00D73351"/>
    <w:rsid w:val="00D73B0A"/>
    <w:rsid w:val="00D73ED3"/>
    <w:rsid w:val="00D74972"/>
    <w:rsid w:val="00D75263"/>
    <w:rsid w:val="00D7642D"/>
    <w:rsid w:val="00D76813"/>
    <w:rsid w:val="00D774CB"/>
    <w:rsid w:val="00D77D5D"/>
    <w:rsid w:val="00D77DC7"/>
    <w:rsid w:val="00D80349"/>
    <w:rsid w:val="00D8068C"/>
    <w:rsid w:val="00D80757"/>
    <w:rsid w:val="00D80A5B"/>
    <w:rsid w:val="00D81791"/>
    <w:rsid w:val="00D82033"/>
    <w:rsid w:val="00D8279E"/>
    <w:rsid w:val="00D830E4"/>
    <w:rsid w:val="00D83303"/>
    <w:rsid w:val="00D8424F"/>
    <w:rsid w:val="00D8550F"/>
    <w:rsid w:val="00D8702F"/>
    <w:rsid w:val="00D913C8"/>
    <w:rsid w:val="00D916ED"/>
    <w:rsid w:val="00D91A14"/>
    <w:rsid w:val="00D92B90"/>
    <w:rsid w:val="00D9320B"/>
    <w:rsid w:val="00D93A9F"/>
    <w:rsid w:val="00D93F36"/>
    <w:rsid w:val="00D96A58"/>
    <w:rsid w:val="00D96C3E"/>
    <w:rsid w:val="00D96CCE"/>
    <w:rsid w:val="00D96FD9"/>
    <w:rsid w:val="00D9706F"/>
    <w:rsid w:val="00D97BA8"/>
    <w:rsid w:val="00DA0373"/>
    <w:rsid w:val="00DA0C96"/>
    <w:rsid w:val="00DA1C18"/>
    <w:rsid w:val="00DA2036"/>
    <w:rsid w:val="00DA2792"/>
    <w:rsid w:val="00DA2E61"/>
    <w:rsid w:val="00DA3563"/>
    <w:rsid w:val="00DA3793"/>
    <w:rsid w:val="00DA3842"/>
    <w:rsid w:val="00DA4A14"/>
    <w:rsid w:val="00DA50C4"/>
    <w:rsid w:val="00DA5259"/>
    <w:rsid w:val="00DA5D81"/>
    <w:rsid w:val="00DA5E75"/>
    <w:rsid w:val="00DA5ED9"/>
    <w:rsid w:val="00DA64EE"/>
    <w:rsid w:val="00DA6A5B"/>
    <w:rsid w:val="00DA71F6"/>
    <w:rsid w:val="00DA7F4C"/>
    <w:rsid w:val="00DA7F8E"/>
    <w:rsid w:val="00DB033A"/>
    <w:rsid w:val="00DB0C93"/>
    <w:rsid w:val="00DB0CB6"/>
    <w:rsid w:val="00DB11D0"/>
    <w:rsid w:val="00DB1385"/>
    <w:rsid w:val="00DB23EB"/>
    <w:rsid w:val="00DB41FC"/>
    <w:rsid w:val="00DB5AE8"/>
    <w:rsid w:val="00DB681C"/>
    <w:rsid w:val="00DB6A56"/>
    <w:rsid w:val="00DB6C05"/>
    <w:rsid w:val="00DB7333"/>
    <w:rsid w:val="00DC0FE9"/>
    <w:rsid w:val="00DC1187"/>
    <w:rsid w:val="00DC2106"/>
    <w:rsid w:val="00DC2F00"/>
    <w:rsid w:val="00DC38A1"/>
    <w:rsid w:val="00DC4E73"/>
    <w:rsid w:val="00DC5087"/>
    <w:rsid w:val="00DC50F1"/>
    <w:rsid w:val="00DC5F0D"/>
    <w:rsid w:val="00DC6681"/>
    <w:rsid w:val="00DC6ADA"/>
    <w:rsid w:val="00DC6FF8"/>
    <w:rsid w:val="00DC73BE"/>
    <w:rsid w:val="00DC769F"/>
    <w:rsid w:val="00DC788B"/>
    <w:rsid w:val="00DD0551"/>
    <w:rsid w:val="00DD0EDB"/>
    <w:rsid w:val="00DD1461"/>
    <w:rsid w:val="00DD2978"/>
    <w:rsid w:val="00DD40AB"/>
    <w:rsid w:val="00DD41AC"/>
    <w:rsid w:val="00DD470E"/>
    <w:rsid w:val="00DD5E78"/>
    <w:rsid w:val="00DD6B28"/>
    <w:rsid w:val="00DD7B5E"/>
    <w:rsid w:val="00DE0283"/>
    <w:rsid w:val="00DE035E"/>
    <w:rsid w:val="00DE09E3"/>
    <w:rsid w:val="00DE13FA"/>
    <w:rsid w:val="00DE26A8"/>
    <w:rsid w:val="00DE3C6C"/>
    <w:rsid w:val="00DE4E5B"/>
    <w:rsid w:val="00DE4FFC"/>
    <w:rsid w:val="00DE5573"/>
    <w:rsid w:val="00DE5E2E"/>
    <w:rsid w:val="00DE64AD"/>
    <w:rsid w:val="00DE6585"/>
    <w:rsid w:val="00DE6D80"/>
    <w:rsid w:val="00DE6E01"/>
    <w:rsid w:val="00DE73B6"/>
    <w:rsid w:val="00DE756B"/>
    <w:rsid w:val="00DE7A5F"/>
    <w:rsid w:val="00DE7D88"/>
    <w:rsid w:val="00DF011E"/>
    <w:rsid w:val="00DF02DB"/>
    <w:rsid w:val="00DF0D14"/>
    <w:rsid w:val="00DF1921"/>
    <w:rsid w:val="00DF1E3B"/>
    <w:rsid w:val="00DF326F"/>
    <w:rsid w:val="00DF45D5"/>
    <w:rsid w:val="00DF5087"/>
    <w:rsid w:val="00DF544C"/>
    <w:rsid w:val="00DF5A65"/>
    <w:rsid w:val="00DF6148"/>
    <w:rsid w:val="00DF7112"/>
    <w:rsid w:val="00E000C1"/>
    <w:rsid w:val="00E00A15"/>
    <w:rsid w:val="00E01284"/>
    <w:rsid w:val="00E0278A"/>
    <w:rsid w:val="00E02F30"/>
    <w:rsid w:val="00E037DD"/>
    <w:rsid w:val="00E03D1D"/>
    <w:rsid w:val="00E05368"/>
    <w:rsid w:val="00E05370"/>
    <w:rsid w:val="00E0675E"/>
    <w:rsid w:val="00E069FD"/>
    <w:rsid w:val="00E06F31"/>
    <w:rsid w:val="00E11288"/>
    <w:rsid w:val="00E114A5"/>
    <w:rsid w:val="00E11B48"/>
    <w:rsid w:val="00E11D8B"/>
    <w:rsid w:val="00E1343A"/>
    <w:rsid w:val="00E1372B"/>
    <w:rsid w:val="00E13E82"/>
    <w:rsid w:val="00E1425D"/>
    <w:rsid w:val="00E1686D"/>
    <w:rsid w:val="00E16E39"/>
    <w:rsid w:val="00E20315"/>
    <w:rsid w:val="00E204C0"/>
    <w:rsid w:val="00E206B0"/>
    <w:rsid w:val="00E20FAA"/>
    <w:rsid w:val="00E2161E"/>
    <w:rsid w:val="00E216C1"/>
    <w:rsid w:val="00E217B8"/>
    <w:rsid w:val="00E222A2"/>
    <w:rsid w:val="00E226B3"/>
    <w:rsid w:val="00E22BDD"/>
    <w:rsid w:val="00E237B9"/>
    <w:rsid w:val="00E23AF0"/>
    <w:rsid w:val="00E25A9E"/>
    <w:rsid w:val="00E25B2A"/>
    <w:rsid w:val="00E25B6C"/>
    <w:rsid w:val="00E26739"/>
    <w:rsid w:val="00E27593"/>
    <w:rsid w:val="00E27CCD"/>
    <w:rsid w:val="00E27EE2"/>
    <w:rsid w:val="00E31816"/>
    <w:rsid w:val="00E3185D"/>
    <w:rsid w:val="00E31971"/>
    <w:rsid w:val="00E31A2B"/>
    <w:rsid w:val="00E31A9B"/>
    <w:rsid w:val="00E31D7B"/>
    <w:rsid w:val="00E32FC6"/>
    <w:rsid w:val="00E33F14"/>
    <w:rsid w:val="00E34973"/>
    <w:rsid w:val="00E3548C"/>
    <w:rsid w:val="00E36C62"/>
    <w:rsid w:val="00E37654"/>
    <w:rsid w:val="00E416E3"/>
    <w:rsid w:val="00E41F1A"/>
    <w:rsid w:val="00E42547"/>
    <w:rsid w:val="00E42611"/>
    <w:rsid w:val="00E4283F"/>
    <w:rsid w:val="00E42AEE"/>
    <w:rsid w:val="00E42F6B"/>
    <w:rsid w:val="00E431A8"/>
    <w:rsid w:val="00E43616"/>
    <w:rsid w:val="00E43782"/>
    <w:rsid w:val="00E4466F"/>
    <w:rsid w:val="00E4509A"/>
    <w:rsid w:val="00E4588A"/>
    <w:rsid w:val="00E46BD1"/>
    <w:rsid w:val="00E509AF"/>
    <w:rsid w:val="00E529DD"/>
    <w:rsid w:val="00E53483"/>
    <w:rsid w:val="00E54143"/>
    <w:rsid w:val="00E558B2"/>
    <w:rsid w:val="00E55937"/>
    <w:rsid w:val="00E56BFB"/>
    <w:rsid w:val="00E576C8"/>
    <w:rsid w:val="00E5798E"/>
    <w:rsid w:val="00E57B0A"/>
    <w:rsid w:val="00E57D62"/>
    <w:rsid w:val="00E60A50"/>
    <w:rsid w:val="00E614BC"/>
    <w:rsid w:val="00E62266"/>
    <w:rsid w:val="00E62D2A"/>
    <w:rsid w:val="00E64D4A"/>
    <w:rsid w:val="00E65859"/>
    <w:rsid w:val="00E66AC4"/>
    <w:rsid w:val="00E66C5C"/>
    <w:rsid w:val="00E67BC0"/>
    <w:rsid w:val="00E7018D"/>
    <w:rsid w:val="00E70B06"/>
    <w:rsid w:val="00E70D0A"/>
    <w:rsid w:val="00E7143C"/>
    <w:rsid w:val="00E72D52"/>
    <w:rsid w:val="00E7396A"/>
    <w:rsid w:val="00E73EFD"/>
    <w:rsid w:val="00E75407"/>
    <w:rsid w:val="00E75493"/>
    <w:rsid w:val="00E75C98"/>
    <w:rsid w:val="00E769BA"/>
    <w:rsid w:val="00E76AA9"/>
    <w:rsid w:val="00E77798"/>
    <w:rsid w:val="00E801CF"/>
    <w:rsid w:val="00E80E82"/>
    <w:rsid w:val="00E817BF"/>
    <w:rsid w:val="00E82519"/>
    <w:rsid w:val="00E83039"/>
    <w:rsid w:val="00E83136"/>
    <w:rsid w:val="00E84480"/>
    <w:rsid w:val="00E85965"/>
    <w:rsid w:val="00E86E69"/>
    <w:rsid w:val="00E87C66"/>
    <w:rsid w:val="00E909CD"/>
    <w:rsid w:val="00E90E9D"/>
    <w:rsid w:val="00E9128D"/>
    <w:rsid w:val="00E9133B"/>
    <w:rsid w:val="00E917A3"/>
    <w:rsid w:val="00E91D4B"/>
    <w:rsid w:val="00E91D87"/>
    <w:rsid w:val="00E91E98"/>
    <w:rsid w:val="00E92180"/>
    <w:rsid w:val="00E92214"/>
    <w:rsid w:val="00E92AF5"/>
    <w:rsid w:val="00E92E94"/>
    <w:rsid w:val="00E92F69"/>
    <w:rsid w:val="00E93BC0"/>
    <w:rsid w:val="00E93D6C"/>
    <w:rsid w:val="00E93F22"/>
    <w:rsid w:val="00E94B6D"/>
    <w:rsid w:val="00E95719"/>
    <w:rsid w:val="00E969CD"/>
    <w:rsid w:val="00E9700B"/>
    <w:rsid w:val="00E97279"/>
    <w:rsid w:val="00EA07DC"/>
    <w:rsid w:val="00EA088C"/>
    <w:rsid w:val="00EA0CBA"/>
    <w:rsid w:val="00EA2688"/>
    <w:rsid w:val="00EA28C1"/>
    <w:rsid w:val="00EA2994"/>
    <w:rsid w:val="00EA2ABB"/>
    <w:rsid w:val="00EA336E"/>
    <w:rsid w:val="00EA3471"/>
    <w:rsid w:val="00EA3C29"/>
    <w:rsid w:val="00EA416F"/>
    <w:rsid w:val="00EA43D4"/>
    <w:rsid w:val="00EA4B3A"/>
    <w:rsid w:val="00EA613D"/>
    <w:rsid w:val="00EA7567"/>
    <w:rsid w:val="00EA7FC6"/>
    <w:rsid w:val="00EB009C"/>
    <w:rsid w:val="00EB24E7"/>
    <w:rsid w:val="00EB26F8"/>
    <w:rsid w:val="00EB275F"/>
    <w:rsid w:val="00EB2C57"/>
    <w:rsid w:val="00EB32EC"/>
    <w:rsid w:val="00EB34B8"/>
    <w:rsid w:val="00EB3718"/>
    <w:rsid w:val="00EB4528"/>
    <w:rsid w:val="00EB46F1"/>
    <w:rsid w:val="00EB5668"/>
    <w:rsid w:val="00EB6084"/>
    <w:rsid w:val="00EB7F79"/>
    <w:rsid w:val="00EC01AD"/>
    <w:rsid w:val="00EC0BE9"/>
    <w:rsid w:val="00EC122E"/>
    <w:rsid w:val="00EC2247"/>
    <w:rsid w:val="00EC2DE0"/>
    <w:rsid w:val="00EC30AC"/>
    <w:rsid w:val="00EC33B6"/>
    <w:rsid w:val="00EC37AE"/>
    <w:rsid w:val="00EC4234"/>
    <w:rsid w:val="00EC4987"/>
    <w:rsid w:val="00EC65CD"/>
    <w:rsid w:val="00EC741B"/>
    <w:rsid w:val="00EC743F"/>
    <w:rsid w:val="00EC74D4"/>
    <w:rsid w:val="00ED06AB"/>
    <w:rsid w:val="00ED0D87"/>
    <w:rsid w:val="00ED3166"/>
    <w:rsid w:val="00ED3E8B"/>
    <w:rsid w:val="00ED447A"/>
    <w:rsid w:val="00ED5CBA"/>
    <w:rsid w:val="00ED67E8"/>
    <w:rsid w:val="00ED6E93"/>
    <w:rsid w:val="00ED6F5F"/>
    <w:rsid w:val="00ED7DDE"/>
    <w:rsid w:val="00EE0803"/>
    <w:rsid w:val="00EE0A44"/>
    <w:rsid w:val="00EE35AC"/>
    <w:rsid w:val="00EE4425"/>
    <w:rsid w:val="00EE48DA"/>
    <w:rsid w:val="00EE4C33"/>
    <w:rsid w:val="00EE4E3D"/>
    <w:rsid w:val="00EE5060"/>
    <w:rsid w:val="00EE663D"/>
    <w:rsid w:val="00EE7538"/>
    <w:rsid w:val="00EF1483"/>
    <w:rsid w:val="00EF16A4"/>
    <w:rsid w:val="00EF197D"/>
    <w:rsid w:val="00EF1A48"/>
    <w:rsid w:val="00EF1F56"/>
    <w:rsid w:val="00EF2B5D"/>
    <w:rsid w:val="00EF312D"/>
    <w:rsid w:val="00EF36F0"/>
    <w:rsid w:val="00EF36FE"/>
    <w:rsid w:val="00EF3E2A"/>
    <w:rsid w:val="00EF542F"/>
    <w:rsid w:val="00EF6503"/>
    <w:rsid w:val="00EF73A7"/>
    <w:rsid w:val="00F00069"/>
    <w:rsid w:val="00F0033D"/>
    <w:rsid w:val="00F00551"/>
    <w:rsid w:val="00F006DF"/>
    <w:rsid w:val="00F0191D"/>
    <w:rsid w:val="00F01B5C"/>
    <w:rsid w:val="00F01CB3"/>
    <w:rsid w:val="00F03205"/>
    <w:rsid w:val="00F04E3D"/>
    <w:rsid w:val="00F05673"/>
    <w:rsid w:val="00F05BA8"/>
    <w:rsid w:val="00F061BD"/>
    <w:rsid w:val="00F061D7"/>
    <w:rsid w:val="00F06230"/>
    <w:rsid w:val="00F06513"/>
    <w:rsid w:val="00F07BBD"/>
    <w:rsid w:val="00F07DEB"/>
    <w:rsid w:val="00F101CA"/>
    <w:rsid w:val="00F1065E"/>
    <w:rsid w:val="00F10D4A"/>
    <w:rsid w:val="00F10F96"/>
    <w:rsid w:val="00F111AA"/>
    <w:rsid w:val="00F112F6"/>
    <w:rsid w:val="00F11921"/>
    <w:rsid w:val="00F11CC7"/>
    <w:rsid w:val="00F11F9D"/>
    <w:rsid w:val="00F1232F"/>
    <w:rsid w:val="00F12B57"/>
    <w:rsid w:val="00F12B60"/>
    <w:rsid w:val="00F13759"/>
    <w:rsid w:val="00F13948"/>
    <w:rsid w:val="00F13DFD"/>
    <w:rsid w:val="00F14C56"/>
    <w:rsid w:val="00F15880"/>
    <w:rsid w:val="00F1589F"/>
    <w:rsid w:val="00F161F6"/>
    <w:rsid w:val="00F16F78"/>
    <w:rsid w:val="00F17DBA"/>
    <w:rsid w:val="00F21720"/>
    <w:rsid w:val="00F21F1E"/>
    <w:rsid w:val="00F222C8"/>
    <w:rsid w:val="00F22441"/>
    <w:rsid w:val="00F23258"/>
    <w:rsid w:val="00F234B2"/>
    <w:rsid w:val="00F2383D"/>
    <w:rsid w:val="00F23BFF"/>
    <w:rsid w:val="00F246B5"/>
    <w:rsid w:val="00F2494B"/>
    <w:rsid w:val="00F2542A"/>
    <w:rsid w:val="00F25572"/>
    <w:rsid w:val="00F256D6"/>
    <w:rsid w:val="00F25D41"/>
    <w:rsid w:val="00F2616C"/>
    <w:rsid w:val="00F26742"/>
    <w:rsid w:val="00F268F6"/>
    <w:rsid w:val="00F26AA9"/>
    <w:rsid w:val="00F27CC0"/>
    <w:rsid w:val="00F30742"/>
    <w:rsid w:val="00F30A44"/>
    <w:rsid w:val="00F30D11"/>
    <w:rsid w:val="00F31558"/>
    <w:rsid w:val="00F321CE"/>
    <w:rsid w:val="00F332C1"/>
    <w:rsid w:val="00F3357B"/>
    <w:rsid w:val="00F34BA0"/>
    <w:rsid w:val="00F34C93"/>
    <w:rsid w:val="00F365B0"/>
    <w:rsid w:val="00F36B30"/>
    <w:rsid w:val="00F377DB"/>
    <w:rsid w:val="00F378A5"/>
    <w:rsid w:val="00F40106"/>
    <w:rsid w:val="00F40B49"/>
    <w:rsid w:val="00F40EB0"/>
    <w:rsid w:val="00F4170B"/>
    <w:rsid w:val="00F41CD6"/>
    <w:rsid w:val="00F42752"/>
    <w:rsid w:val="00F4294B"/>
    <w:rsid w:val="00F43909"/>
    <w:rsid w:val="00F439E1"/>
    <w:rsid w:val="00F444C1"/>
    <w:rsid w:val="00F44C0E"/>
    <w:rsid w:val="00F4640A"/>
    <w:rsid w:val="00F466A6"/>
    <w:rsid w:val="00F46C3F"/>
    <w:rsid w:val="00F50355"/>
    <w:rsid w:val="00F5133B"/>
    <w:rsid w:val="00F51DC2"/>
    <w:rsid w:val="00F52D04"/>
    <w:rsid w:val="00F536B8"/>
    <w:rsid w:val="00F540DE"/>
    <w:rsid w:val="00F548D5"/>
    <w:rsid w:val="00F568B9"/>
    <w:rsid w:val="00F568E3"/>
    <w:rsid w:val="00F56F91"/>
    <w:rsid w:val="00F572F9"/>
    <w:rsid w:val="00F57EB6"/>
    <w:rsid w:val="00F6023E"/>
    <w:rsid w:val="00F60441"/>
    <w:rsid w:val="00F60A95"/>
    <w:rsid w:val="00F615B2"/>
    <w:rsid w:val="00F62312"/>
    <w:rsid w:val="00F62FAA"/>
    <w:rsid w:val="00F6302D"/>
    <w:rsid w:val="00F633AB"/>
    <w:rsid w:val="00F63E06"/>
    <w:rsid w:val="00F63E17"/>
    <w:rsid w:val="00F64122"/>
    <w:rsid w:val="00F651BA"/>
    <w:rsid w:val="00F651C5"/>
    <w:rsid w:val="00F6546A"/>
    <w:rsid w:val="00F65738"/>
    <w:rsid w:val="00F660DC"/>
    <w:rsid w:val="00F662BC"/>
    <w:rsid w:val="00F66BF6"/>
    <w:rsid w:val="00F66FE8"/>
    <w:rsid w:val="00F710FE"/>
    <w:rsid w:val="00F71C85"/>
    <w:rsid w:val="00F71F7E"/>
    <w:rsid w:val="00F73B6D"/>
    <w:rsid w:val="00F741CA"/>
    <w:rsid w:val="00F74477"/>
    <w:rsid w:val="00F74DA6"/>
    <w:rsid w:val="00F7562E"/>
    <w:rsid w:val="00F7594D"/>
    <w:rsid w:val="00F75C36"/>
    <w:rsid w:val="00F76327"/>
    <w:rsid w:val="00F764A0"/>
    <w:rsid w:val="00F76888"/>
    <w:rsid w:val="00F779D1"/>
    <w:rsid w:val="00F77ECC"/>
    <w:rsid w:val="00F80654"/>
    <w:rsid w:val="00F80E91"/>
    <w:rsid w:val="00F81D20"/>
    <w:rsid w:val="00F82073"/>
    <w:rsid w:val="00F82A80"/>
    <w:rsid w:val="00F82C9D"/>
    <w:rsid w:val="00F83DBA"/>
    <w:rsid w:val="00F841AF"/>
    <w:rsid w:val="00F843BC"/>
    <w:rsid w:val="00F84C56"/>
    <w:rsid w:val="00F84EA5"/>
    <w:rsid w:val="00F8501C"/>
    <w:rsid w:val="00F85A2A"/>
    <w:rsid w:val="00F8614B"/>
    <w:rsid w:val="00F862B2"/>
    <w:rsid w:val="00F876CF"/>
    <w:rsid w:val="00F87A47"/>
    <w:rsid w:val="00F9043A"/>
    <w:rsid w:val="00F9179C"/>
    <w:rsid w:val="00F919E0"/>
    <w:rsid w:val="00F91C72"/>
    <w:rsid w:val="00F91CEE"/>
    <w:rsid w:val="00F94994"/>
    <w:rsid w:val="00F9554D"/>
    <w:rsid w:val="00F96CF7"/>
    <w:rsid w:val="00F9713D"/>
    <w:rsid w:val="00F978BB"/>
    <w:rsid w:val="00FA1315"/>
    <w:rsid w:val="00FA1DFE"/>
    <w:rsid w:val="00FA1F78"/>
    <w:rsid w:val="00FA2038"/>
    <w:rsid w:val="00FA29CE"/>
    <w:rsid w:val="00FA34A5"/>
    <w:rsid w:val="00FA3860"/>
    <w:rsid w:val="00FA4703"/>
    <w:rsid w:val="00FA4D0F"/>
    <w:rsid w:val="00FA5694"/>
    <w:rsid w:val="00FA5F0F"/>
    <w:rsid w:val="00FA68CD"/>
    <w:rsid w:val="00FA69A8"/>
    <w:rsid w:val="00FA7488"/>
    <w:rsid w:val="00FB0158"/>
    <w:rsid w:val="00FB1A82"/>
    <w:rsid w:val="00FB1C45"/>
    <w:rsid w:val="00FB1D65"/>
    <w:rsid w:val="00FB1E2C"/>
    <w:rsid w:val="00FB2C51"/>
    <w:rsid w:val="00FB3133"/>
    <w:rsid w:val="00FB5714"/>
    <w:rsid w:val="00FB57E9"/>
    <w:rsid w:val="00FB58CE"/>
    <w:rsid w:val="00FB58CF"/>
    <w:rsid w:val="00FB664B"/>
    <w:rsid w:val="00FB7490"/>
    <w:rsid w:val="00FB756B"/>
    <w:rsid w:val="00FB77F4"/>
    <w:rsid w:val="00FB7A57"/>
    <w:rsid w:val="00FB7E86"/>
    <w:rsid w:val="00FC1C02"/>
    <w:rsid w:val="00FC328B"/>
    <w:rsid w:val="00FC34E5"/>
    <w:rsid w:val="00FC3CB3"/>
    <w:rsid w:val="00FC4553"/>
    <w:rsid w:val="00FC5A6C"/>
    <w:rsid w:val="00FC5E1A"/>
    <w:rsid w:val="00FC6180"/>
    <w:rsid w:val="00FC6226"/>
    <w:rsid w:val="00FC687A"/>
    <w:rsid w:val="00FC6FA3"/>
    <w:rsid w:val="00FC73CE"/>
    <w:rsid w:val="00FC74DF"/>
    <w:rsid w:val="00FC7E70"/>
    <w:rsid w:val="00FC7FF4"/>
    <w:rsid w:val="00FD188B"/>
    <w:rsid w:val="00FD345E"/>
    <w:rsid w:val="00FD5A7F"/>
    <w:rsid w:val="00FD6075"/>
    <w:rsid w:val="00FD66CE"/>
    <w:rsid w:val="00FD7440"/>
    <w:rsid w:val="00FE0C57"/>
    <w:rsid w:val="00FE0E1B"/>
    <w:rsid w:val="00FE1117"/>
    <w:rsid w:val="00FE119F"/>
    <w:rsid w:val="00FE2C55"/>
    <w:rsid w:val="00FE3AC9"/>
    <w:rsid w:val="00FE482B"/>
    <w:rsid w:val="00FE4A0C"/>
    <w:rsid w:val="00FE615C"/>
    <w:rsid w:val="00FE63BD"/>
    <w:rsid w:val="00FE7483"/>
    <w:rsid w:val="00FE7631"/>
    <w:rsid w:val="00FF0E44"/>
    <w:rsid w:val="00FF23CD"/>
    <w:rsid w:val="00FF2612"/>
    <w:rsid w:val="00FF2BA8"/>
    <w:rsid w:val="00FF3084"/>
    <w:rsid w:val="00FF32B0"/>
    <w:rsid w:val="00FF3DD1"/>
    <w:rsid w:val="00FF4AB7"/>
    <w:rsid w:val="00FF4D7C"/>
    <w:rsid w:val="00FF54BA"/>
    <w:rsid w:val="00FF5526"/>
    <w:rsid w:val="00FF5BD9"/>
    <w:rsid w:val="00FF7374"/>
    <w:rsid w:val="00FF756F"/>
    <w:rsid w:val="00FF775F"/>
    <w:rsid w:val="00FF7F66"/>
    <w:rsid w:val="10AF7FD4"/>
    <w:rsid w:val="1335034A"/>
    <w:rsid w:val="3E7F5517"/>
    <w:rsid w:val="4DB62295"/>
    <w:rsid w:val="51960D13"/>
    <w:rsid w:val="59B1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0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qFormat="1"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mbria" w:hAnsi="Cambria" w:eastAsia="Times New Roman" w:cs="Times New Roman"/>
      <w:kern w:val="0"/>
      <w:sz w:val="22"/>
      <w:szCs w:val="24"/>
      <w:lang w:val="ru-RU" w:eastAsia="ru-RU" w:bidi="ar-SA"/>
      <w14:ligatures w14:val="none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35"/>
    <w:unhideWhenUsed/>
    <w:qFormat/>
    <w:uiPriority w:val="0"/>
    <w:pPr>
      <w:keepNext/>
      <w:keepLines/>
      <w:numPr>
        <w:ilvl w:val="2"/>
        <w:numId w:val="1"/>
      </w:numPr>
      <w:spacing w:before="40" w:after="240" w:line="259" w:lineRule="auto"/>
      <w:outlineLvl w:val="2"/>
    </w:pPr>
    <w:rPr>
      <w:rFonts w:eastAsiaTheme="majorEastAsia"/>
      <w:b/>
      <w:bCs/>
      <w:lang w:eastAsia="en-US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otnote reference"/>
    <w:basedOn w:val="6"/>
    <w:semiHidden/>
    <w:unhideWhenUsed/>
    <w:qFormat/>
    <w:uiPriority w:val="99"/>
    <w:rPr>
      <w:vertAlign w:val="superscript"/>
    </w:rPr>
  </w:style>
  <w:style w:type="character" w:styleId="9">
    <w:name w:val="annotation reference"/>
    <w:basedOn w:val="6"/>
    <w:unhideWhenUsed/>
    <w:qFormat/>
    <w:uiPriority w:val="99"/>
    <w:rPr>
      <w:sz w:val="16"/>
      <w:szCs w:val="16"/>
    </w:rPr>
  </w:style>
  <w:style w:type="character" w:styleId="10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page number"/>
    <w:basedOn w:val="6"/>
    <w:qFormat/>
    <w:uiPriority w:val="99"/>
  </w:style>
  <w:style w:type="character" w:styleId="12">
    <w:name w:val="Strong"/>
    <w:basedOn w:val="6"/>
    <w:qFormat/>
    <w:uiPriority w:val="22"/>
    <w:rPr>
      <w:b/>
      <w:bCs/>
    </w:rPr>
  </w:style>
  <w:style w:type="paragraph" w:styleId="13">
    <w:name w:val="Balloon Text"/>
    <w:basedOn w:val="1"/>
    <w:link w:val="43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14">
    <w:name w:val="Plain Text"/>
    <w:basedOn w:val="1"/>
    <w:link w:val="89"/>
    <w:semiHidden/>
    <w:unhideWhenUsed/>
    <w:qFormat/>
    <w:uiPriority w:val="99"/>
    <w:rPr>
      <w:rFonts w:ascii="Consolas" w:hAnsi="Consolas"/>
      <w:sz w:val="21"/>
      <w:szCs w:val="21"/>
    </w:rPr>
  </w:style>
  <w:style w:type="paragraph" w:styleId="15">
    <w:name w:val="caption"/>
    <w:basedOn w:val="1"/>
    <w:next w:val="1"/>
    <w:unhideWhenUsed/>
    <w:qFormat/>
    <w:uiPriority w:val="35"/>
    <w:pPr>
      <w:ind w:firstLine="567"/>
    </w:pPr>
    <w:rPr>
      <w:rFonts w:eastAsiaTheme="minorHAnsi"/>
      <w:i/>
      <w:iCs/>
      <w:color w:val="44546A" w:themeColor="text2"/>
      <w:sz w:val="18"/>
      <w:szCs w:val="18"/>
      <w:lang w:eastAsia="en-US"/>
      <w14:textFill>
        <w14:solidFill>
          <w14:schemeClr w14:val="tx2"/>
        </w14:solidFill>
      </w14:textFill>
    </w:rPr>
  </w:style>
  <w:style w:type="paragraph" w:styleId="16">
    <w:name w:val="annotation text"/>
    <w:basedOn w:val="1"/>
    <w:link w:val="41"/>
    <w:unhideWhenUsed/>
    <w:qFormat/>
    <w:uiPriority w:val="99"/>
    <w:rPr>
      <w:sz w:val="20"/>
      <w:szCs w:val="20"/>
    </w:rPr>
  </w:style>
  <w:style w:type="paragraph" w:styleId="17">
    <w:name w:val="annotation subject"/>
    <w:basedOn w:val="16"/>
    <w:next w:val="16"/>
    <w:link w:val="42"/>
    <w:semiHidden/>
    <w:unhideWhenUsed/>
    <w:qFormat/>
    <w:uiPriority w:val="99"/>
    <w:rPr>
      <w:b/>
      <w:bCs/>
    </w:rPr>
  </w:style>
  <w:style w:type="paragraph" w:styleId="18">
    <w:name w:val="footnote text"/>
    <w:basedOn w:val="1"/>
    <w:link w:val="78"/>
    <w:semiHidden/>
    <w:unhideWhenUsed/>
    <w:qFormat/>
    <w:uiPriority w:val="99"/>
    <w:rPr>
      <w:sz w:val="20"/>
      <w:szCs w:val="20"/>
    </w:rPr>
  </w:style>
  <w:style w:type="paragraph" w:styleId="19">
    <w:name w:val="header"/>
    <w:basedOn w:val="1"/>
    <w:link w:val="44"/>
    <w:unhideWhenUsed/>
    <w:qFormat/>
    <w:uiPriority w:val="99"/>
    <w:pPr>
      <w:tabs>
        <w:tab w:val="center" w:pos="4677"/>
        <w:tab w:val="right" w:pos="9355"/>
      </w:tabs>
    </w:pPr>
  </w:style>
  <w:style w:type="paragraph" w:styleId="20">
    <w:name w:val="Body Text"/>
    <w:basedOn w:val="1"/>
    <w:link w:val="40"/>
    <w:unhideWhenUsed/>
    <w:qFormat/>
    <w:uiPriority w:val="99"/>
    <w:pPr>
      <w:spacing w:after="120"/>
    </w:pPr>
  </w:style>
  <w:style w:type="paragraph" w:styleId="21">
    <w:name w:val="toc 1"/>
    <w:basedOn w:val="1"/>
    <w:next w:val="1"/>
    <w:autoRedefine/>
    <w:unhideWhenUsed/>
    <w:qFormat/>
    <w:uiPriority w:val="39"/>
    <w:pPr>
      <w:spacing w:after="100"/>
    </w:pPr>
    <w:rPr>
      <w:b/>
    </w:rPr>
  </w:style>
  <w:style w:type="paragraph" w:styleId="22">
    <w:name w:val="toc 6"/>
    <w:basedOn w:val="1"/>
    <w:next w:val="1"/>
    <w:autoRedefine/>
    <w:unhideWhenUsed/>
    <w:qFormat/>
    <w:uiPriority w:val="39"/>
    <w:pPr>
      <w:spacing w:after="100"/>
      <w:ind w:left="1200"/>
    </w:pPr>
    <w:rPr>
      <w:b/>
    </w:rPr>
  </w:style>
  <w:style w:type="paragraph" w:styleId="23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24">
    <w:name w:val="toc 2"/>
    <w:basedOn w:val="1"/>
    <w:next w:val="1"/>
    <w:autoRedefine/>
    <w:unhideWhenUsed/>
    <w:qFormat/>
    <w:uiPriority w:val="39"/>
    <w:pPr>
      <w:spacing w:after="100"/>
      <w:ind w:left="240"/>
    </w:pPr>
    <w:rPr>
      <w:b/>
    </w:rPr>
  </w:style>
  <w:style w:type="paragraph" w:styleId="25">
    <w:name w:val="toc 4"/>
    <w:basedOn w:val="1"/>
    <w:next w:val="1"/>
    <w:autoRedefine/>
    <w:unhideWhenUsed/>
    <w:qFormat/>
    <w:uiPriority w:val="39"/>
    <w:pPr>
      <w:spacing w:after="100"/>
      <w:ind w:left="720"/>
    </w:pPr>
    <w:rPr>
      <w:b/>
    </w:rPr>
  </w:style>
  <w:style w:type="paragraph" w:styleId="26">
    <w:name w:val="toc 5"/>
    <w:basedOn w:val="1"/>
    <w:next w:val="1"/>
    <w:autoRedefine/>
    <w:unhideWhenUsed/>
    <w:qFormat/>
    <w:uiPriority w:val="39"/>
    <w:pPr>
      <w:spacing w:after="100"/>
      <w:ind w:left="960"/>
    </w:pPr>
    <w:rPr>
      <w:b/>
    </w:rPr>
  </w:style>
  <w:style w:type="paragraph" w:styleId="27">
    <w:name w:val="List Bullet 4"/>
    <w:basedOn w:val="1"/>
    <w:semiHidden/>
    <w:unhideWhenUsed/>
    <w:qFormat/>
    <w:uiPriority w:val="99"/>
    <w:pPr>
      <w:numPr>
        <w:ilvl w:val="0"/>
        <w:numId w:val="2"/>
      </w:num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left" w:pos="1209"/>
      </w:tabs>
      <w:spacing w:after="60"/>
      <w:ind w:left="1209"/>
      <w:jc w:val="both"/>
    </w:pPr>
    <w:rPr>
      <w:szCs w:val="20"/>
    </w:rPr>
  </w:style>
  <w:style w:type="paragraph" w:styleId="28">
    <w:name w:val="List Bullet"/>
    <w:basedOn w:val="1"/>
    <w:qFormat/>
    <w:uiPriority w:val="0"/>
    <w:pPr>
      <w:tabs>
        <w:tab w:val="left" w:pos="360"/>
      </w:tabs>
      <w:spacing w:after="160" w:line="259" w:lineRule="auto"/>
      <w:ind w:left="360" w:hanging="360"/>
    </w:pPr>
    <w:rPr>
      <w:rFonts w:eastAsiaTheme="minorEastAsia" w:cstheme="minorBidi"/>
      <w:szCs w:val="22"/>
    </w:rPr>
  </w:style>
  <w:style w:type="paragraph" w:styleId="29">
    <w:name w:val="Title"/>
    <w:basedOn w:val="1"/>
    <w:next w:val="1"/>
    <w:link w:val="61"/>
    <w:qFormat/>
    <w:uiPriority w:val="10"/>
    <w:pPr>
      <w:contextualSpacing/>
    </w:pPr>
    <w:rPr>
      <w:rFonts w:eastAsiaTheme="majorEastAsia" w:cstheme="majorBidi"/>
      <w:color w:val="000000" w:themeColor="text1"/>
      <w:sz w:val="52"/>
      <w:szCs w:val="56"/>
      <w14:textFill>
        <w14:solidFill>
          <w14:schemeClr w14:val="tx1"/>
        </w14:solidFill>
      </w14:textFill>
    </w:rPr>
  </w:style>
  <w:style w:type="paragraph" w:styleId="30">
    <w:name w:val="footer"/>
    <w:basedOn w:val="1"/>
    <w:link w:val="45"/>
    <w:unhideWhenUsed/>
    <w:qFormat/>
    <w:uiPriority w:val="99"/>
    <w:pPr>
      <w:tabs>
        <w:tab w:val="center" w:pos="4677"/>
        <w:tab w:val="right" w:pos="9355"/>
      </w:tabs>
    </w:pPr>
  </w:style>
  <w:style w:type="paragraph" w:styleId="31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32">
    <w:name w:val="Table Grid"/>
    <w:basedOn w:val="7"/>
    <w:qFormat/>
    <w:uiPriority w:val="39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ru-RU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3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4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kern w:val="0"/>
      <w:sz w:val="26"/>
      <w:szCs w:val="26"/>
      <w:lang w:eastAsia="ru-RU"/>
      <w14:ligatures w14:val="none"/>
    </w:rPr>
  </w:style>
  <w:style w:type="character" w:customStyle="1" w:styleId="35">
    <w:name w:val="Заголовок 3 Знак"/>
    <w:basedOn w:val="6"/>
    <w:link w:val="4"/>
    <w:qFormat/>
    <w:uiPriority w:val="0"/>
    <w:rPr>
      <w:rFonts w:ascii="Cambria" w:hAnsi="Cambria" w:cs="Times New Roman" w:eastAsiaTheme="majorEastAsia"/>
      <w:b/>
      <w:bCs/>
      <w:kern w:val="0"/>
      <w:szCs w:val="24"/>
      <w14:ligatures w14:val="none"/>
    </w:rPr>
  </w:style>
  <w:style w:type="character" w:customStyle="1" w:styleId="36">
    <w:name w:val="Заголовок 4 Знак"/>
    <w:basedOn w:val="6"/>
    <w:link w:val="5"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  <w:kern w:val="0"/>
      <w:sz w:val="24"/>
      <w:szCs w:val="24"/>
      <w:lang w:eastAsia="ru-RU"/>
      <w14:ligatures w14:val="none"/>
    </w:rPr>
  </w:style>
  <w:style w:type="paragraph" w:customStyle="1" w:styleId="37">
    <w:name w:val="ConsNormal"/>
    <w:qFormat/>
    <w:uiPriority w:val="99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hAnsi="Arial" w:eastAsia="Times New Roman" w:cs="Arial"/>
      <w:kern w:val="0"/>
      <w:sz w:val="20"/>
      <w:szCs w:val="20"/>
      <w:lang w:val="ru-RU" w:eastAsia="ru-RU" w:bidi="ar-SA"/>
      <w14:ligatures w14:val="none"/>
    </w:rPr>
  </w:style>
  <w:style w:type="paragraph" w:styleId="38">
    <w:name w:val="List Paragraph"/>
    <w:basedOn w:val="1"/>
    <w:link w:val="39"/>
    <w:qFormat/>
    <w:uiPriority w:val="34"/>
    <w:pPr>
      <w:ind w:left="720"/>
      <w:contextualSpacing/>
    </w:pPr>
  </w:style>
  <w:style w:type="character" w:customStyle="1" w:styleId="39">
    <w:name w:val="Абзац списка Знак"/>
    <w:basedOn w:val="6"/>
    <w:link w:val="38"/>
    <w:qFormat/>
    <w:locked/>
    <w:uiPriority w:val="34"/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40">
    <w:name w:val="Основной текст Знак"/>
    <w:basedOn w:val="6"/>
    <w:link w:val="20"/>
    <w:qFormat/>
    <w:uiPriority w:val="99"/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41">
    <w:name w:val="Текст примечания Знак"/>
    <w:basedOn w:val="6"/>
    <w:link w:val="16"/>
    <w:qFormat/>
    <w:uiPriority w:val="99"/>
    <w:rPr>
      <w:rFonts w:ascii="Times New Roman" w:hAnsi="Times New Roman" w:eastAsia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42">
    <w:name w:val="Тема примечания Знак"/>
    <w:basedOn w:val="41"/>
    <w:link w:val="17"/>
    <w:semiHidden/>
    <w:qFormat/>
    <w:uiPriority w:val="99"/>
    <w:rPr>
      <w:rFonts w:ascii="Times New Roman" w:hAnsi="Times New Roman" w:eastAsia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customStyle="1" w:styleId="43">
    <w:name w:val="Текст выноски Знак"/>
    <w:basedOn w:val="6"/>
    <w:link w:val="13"/>
    <w:semiHidden/>
    <w:qFormat/>
    <w:uiPriority w:val="99"/>
    <w:rPr>
      <w:rFonts w:ascii="Segoe UI" w:hAnsi="Segoe UI" w:eastAsia="Times New Roman" w:cs="Segoe UI"/>
      <w:kern w:val="0"/>
      <w:sz w:val="18"/>
      <w:szCs w:val="18"/>
      <w:lang w:eastAsia="ru-RU"/>
      <w14:ligatures w14:val="none"/>
    </w:rPr>
  </w:style>
  <w:style w:type="character" w:customStyle="1" w:styleId="44">
    <w:name w:val="Верхний колонтитул Знак"/>
    <w:basedOn w:val="6"/>
    <w:link w:val="19"/>
    <w:qFormat/>
    <w:uiPriority w:val="99"/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45">
    <w:name w:val="Нижний колонтитул Знак"/>
    <w:basedOn w:val="6"/>
    <w:link w:val="30"/>
    <w:qFormat/>
    <w:uiPriority w:val="99"/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styleId="46">
    <w:name w:val="Placeholder Text"/>
    <w:basedOn w:val="6"/>
    <w:semiHidden/>
    <w:qFormat/>
    <w:uiPriority w:val="99"/>
    <w:rPr>
      <w:color w:val="808080"/>
    </w:rPr>
  </w:style>
  <w:style w:type="table" w:customStyle="1" w:styleId="47">
    <w:name w:val="Таблица ИТ Эксперт1"/>
    <w:basedOn w:val="7"/>
    <w:qFormat/>
    <w:uiPriority w:val="39"/>
    <w:pPr>
      <w:spacing w:after="0" w:line="240" w:lineRule="auto"/>
    </w:pPr>
    <w:rPr>
      <w:rFonts w:ascii="Calibri" w:hAnsi="Calibri" w:eastAsia="Times New Roman" w:cs="Times New Roman"/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8">
    <w:name w:val="Таблица-сетка 1 светлая — акцент 12"/>
    <w:basedOn w:val="7"/>
    <w:qFormat/>
    <w:uiPriority w:val="46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9">
    <w:name w:val="Таблица ИТ Эксперт2"/>
    <w:basedOn w:val="7"/>
    <w:qFormat/>
    <w:uiPriority w:val="39"/>
    <w:pPr>
      <w:spacing w:after="0" w:line="240" w:lineRule="auto"/>
    </w:pPr>
    <w:rPr>
      <w:rFonts w:cs="Times New Roman" w:eastAsiaTheme="minorEastAsia"/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_Таблица_яч_ж"/>
    <w:basedOn w:val="1"/>
    <w:link w:val="51"/>
    <w:qFormat/>
    <w:uiPriority w:val="0"/>
    <w:pPr>
      <w:spacing w:after="120" w:line="276" w:lineRule="auto"/>
    </w:pPr>
    <w:rPr>
      <w:b/>
    </w:rPr>
  </w:style>
  <w:style w:type="character" w:customStyle="1" w:styleId="51">
    <w:name w:val="_Таблица_яч_ж Знак"/>
    <w:basedOn w:val="6"/>
    <w:link w:val="50"/>
    <w:qFormat/>
    <w:uiPriority w:val="0"/>
    <w:rPr>
      <w:rFonts w:ascii="Times New Roman" w:hAnsi="Times New Roman" w:eastAsia="Times New Roman" w:cs="Times New Roman"/>
      <w:b/>
      <w:kern w:val="0"/>
      <w:sz w:val="24"/>
      <w:szCs w:val="24"/>
      <w:lang w:eastAsia="ru-RU"/>
      <w14:ligatures w14:val="none"/>
    </w:rPr>
  </w:style>
  <w:style w:type="paragraph" w:customStyle="1" w:styleId="52">
    <w:name w:val="ТКВ Синий комментарий"/>
    <w:basedOn w:val="1"/>
    <w:qFormat/>
    <w:uiPriority w:val="0"/>
    <w:pPr>
      <w:spacing w:after="160" w:line="259" w:lineRule="auto"/>
    </w:pPr>
    <w:rPr>
      <w:rFonts w:eastAsiaTheme="minorEastAsia" w:cstheme="minorBidi"/>
      <w:i/>
      <w:color w:val="0070C0"/>
      <w:szCs w:val="22"/>
    </w:rPr>
  </w:style>
  <w:style w:type="table" w:customStyle="1" w:styleId="53">
    <w:name w:val="Таблица ИТ Эксперт3"/>
    <w:basedOn w:val="7"/>
    <w:qFormat/>
    <w:uiPriority w:val="39"/>
    <w:pPr>
      <w:spacing w:after="0" w:line="240" w:lineRule="auto"/>
    </w:pPr>
    <w:rPr>
      <w:rFonts w:cs="Times New Roman" w:eastAsiaTheme="minorEastAsia"/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4">
    <w:name w:val="ТКВ НумТаб"/>
    <w:basedOn w:val="38"/>
    <w:qFormat/>
    <w:uiPriority w:val="0"/>
    <w:pPr>
      <w:numPr>
        <w:ilvl w:val="0"/>
        <w:numId w:val="3"/>
      </w:numPr>
      <w:tabs>
        <w:tab w:val="left" w:pos="360"/>
      </w:tabs>
      <w:ind w:left="720" w:firstLine="0"/>
    </w:pPr>
    <w:rPr>
      <w:rFonts w:eastAsiaTheme="minorEastAsia" w:cstheme="minorBidi"/>
      <w:szCs w:val="22"/>
    </w:rPr>
  </w:style>
  <w:style w:type="table" w:customStyle="1" w:styleId="55">
    <w:name w:val="Таблица-сетка 1 светлая — акцент 11"/>
    <w:basedOn w:val="7"/>
    <w:qFormat/>
    <w:uiPriority w:val="46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56">
    <w:name w:val="ГРАДУМ - Базовый"/>
    <w:qFormat/>
    <w:uiPriority w:val="0"/>
    <w:rPr>
      <w:rFonts w:ascii="Cambria" w:hAnsi="Cambria"/>
      <w:sz w:val="22"/>
      <w:lang w:val="ru-RU"/>
    </w:rPr>
  </w:style>
  <w:style w:type="paragraph" w:styleId="57">
    <w:name w:val="No Spacing"/>
    <w:qFormat/>
    <w:uiPriority w:val="1"/>
    <w:pPr>
      <w:spacing w:after="0" w:line="240" w:lineRule="auto"/>
    </w:pPr>
    <w:rPr>
      <w:rFonts w:ascii="Times New Roman" w:hAnsi="Times New Roman" w:eastAsiaTheme="minorEastAsia" w:cstheme="minorBidi"/>
      <w:kern w:val="0"/>
      <w:sz w:val="22"/>
      <w:szCs w:val="22"/>
      <w:lang w:val="ru-RU" w:eastAsia="ru-RU" w:bidi="ar-SA"/>
      <w14:ligatures w14:val="none"/>
    </w:rPr>
  </w:style>
  <w:style w:type="paragraph" w:customStyle="1" w:styleId="58">
    <w:name w:val="ГРАДУМ - Базовый Заглавным жирными + по правому краю"/>
    <w:basedOn w:val="57"/>
    <w:qFormat/>
    <w:uiPriority w:val="0"/>
    <w:pPr>
      <w:jc w:val="right"/>
    </w:pPr>
    <w:rPr>
      <w:rFonts w:ascii="Cambria" w:hAnsi="Cambria"/>
      <w:b/>
    </w:rPr>
  </w:style>
  <w:style w:type="paragraph" w:customStyle="1" w:styleId="59">
    <w:name w:val="ГРАДУМ - Без интервала"/>
    <w:basedOn w:val="57"/>
    <w:qFormat/>
    <w:uiPriority w:val="0"/>
    <w:rPr>
      <w:rFonts w:ascii="Cambria" w:hAnsi="Cambria"/>
    </w:rPr>
  </w:style>
  <w:style w:type="paragraph" w:customStyle="1" w:styleId="60">
    <w:name w:val="_Заголовок У1"/>
    <w:next w:val="1"/>
    <w:qFormat/>
    <w:uiPriority w:val="99"/>
    <w:pPr>
      <w:tabs>
        <w:tab w:val="left" w:pos="4200"/>
      </w:tabs>
      <w:spacing w:before="360" w:after="120" w:line="240" w:lineRule="auto"/>
    </w:pPr>
    <w:rPr>
      <w:rFonts w:ascii="Cambria" w:hAnsi="Cambria" w:eastAsia="Times New Roman" w:cs="Times New Roman"/>
      <w:b/>
      <w:bCs/>
      <w:caps/>
      <w:color w:val="1F497D"/>
      <w:spacing w:val="5"/>
      <w:kern w:val="32"/>
      <w:sz w:val="28"/>
      <w:szCs w:val="24"/>
      <w:lang w:val="ru-RU" w:eastAsia="en-US" w:bidi="ar-SA"/>
      <w14:ligatures w14:val="none"/>
    </w:rPr>
  </w:style>
  <w:style w:type="character" w:customStyle="1" w:styleId="61">
    <w:name w:val="Заголовок Знак"/>
    <w:basedOn w:val="6"/>
    <w:link w:val="29"/>
    <w:qFormat/>
    <w:uiPriority w:val="10"/>
    <w:rPr>
      <w:rFonts w:ascii="Times New Roman" w:hAnsi="Times New Roman" w:eastAsiaTheme="majorEastAsia" w:cstheme="majorBidi"/>
      <w:color w:val="000000" w:themeColor="text1"/>
      <w:kern w:val="0"/>
      <w:sz w:val="52"/>
      <w:szCs w:val="56"/>
      <w:lang w:eastAsia="ru-RU"/>
      <w14:textFill>
        <w14:solidFill>
          <w14:schemeClr w14:val="tx1"/>
        </w14:solidFill>
      </w14:textFill>
      <w14:ligatures w14:val="none"/>
    </w:rPr>
  </w:style>
  <w:style w:type="paragraph" w:customStyle="1" w:styleId="62">
    <w:name w:val="TOC Heading"/>
    <w:basedOn w:val="2"/>
    <w:next w:val="1"/>
    <w:unhideWhenUsed/>
    <w:qFormat/>
    <w:uiPriority w:val="39"/>
    <w:pPr>
      <w:spacing w:line="259" w:lineRule="auto"/>
      <w:outlineLvl w:val="9"/>
    </w:pPr>
  </w:style>
  <w:style w:type="paragraph" w:customStyle="1" w:styleId="63">
    <w:name w:val="ГРАДУМ - Маркированный список"/>
    <w:qFormat/>
    <w:uiPriority w:val="0"/>
    <w:pPr>
      <w:numPr>
        <w:ilvl w:val="0"/>
        <w:numId w:val="4"/>
      </w:numPr>
      <w:spacing w:after="0" w:line="240" w:lineRule="auto"/>
    </w:pPr>
    <w:rPr>
      <w:rFonts w:ascii="Cambria" w:hAnsi="Cambria" w:eastAsiaTheme="minorEastAsia" w:cstheme="minorBidi"/>
      <w:kern w:val="0"/>
      <w:sz w:val="22"/>
      <w:szCs w:val="22"/>
      <w:lang w:val="ru-RU" w:eastAsia="ru-RU" w:bidi="ar-SA"/>
      <w14:ligatures w14:val="none"/>
    </w:rPr>
  </w:style>
  <w:style w:type="paragraph" w:customStyle="1" w:styleId="64">
    <w:name w:val="Загол1"/>
    <w:basedOn w:val="38"/>
    <w:next w:val="1"/>
    <w:link w:val="65"/>
    <w:autoRedefine/>
    <w:qFormat/>
    <w:uiPriority w:val="0"/>
    <w:pPr>
      <w:spacing w:before="240" w:after="240" w:line="360" w:lineRule="auto"/>
      <w:ind w:left="360"/>
      <w:jc w:val="both"/>
      <w:outlineLvl w:val="0"/>
    </w:pPr>
    <w:rPr>
      <w:rFonts w:eastAsiaTheme="minorEastAsia" w:cstheme="minorBidi"/>
      <w:b/>
      <w:szCs w:val="22"/>
      <w:lang w:eastAsia="en-US"/>
    </w:rPr>
  </w:style>
  <w:style w:type="character" w:customStyle="1" w:styleId="65">
    <w:name w:val="Загол1 Знак"/>
    <w:basedOn w:val="39"/>
    <w:link w:val="64"/>
    <w:qFormat/>
    <w:uiPriority w:val="0"/>
    <w:rPr>
      <w:rFonts w:ascii="Cambria" w:hAnsi="Cambria" w:cs="Times New Roman" w:eastAsiaTheme="minorEastAsia"/>
      <w:b/>
      <w:kern w:val="0"/>
      <w:sz w:val="24"/>
      <w:szCs w:val="24"/>
      <w:lang w:eastAsia="ru-RU"/>
      <w14:ligatures w14:val="none"/>
    </w:rPr>
  </w:style>
  <w:style w:type="paragraph" w:customStyle="1" w:styleId="66">
    <w:name w:val="Загол2"/>
    <w:basedOn w:val="38"/>
    <w:next w:val="1"/>
    <w:autoRedefine/>
    <w:qFormat/>
    <w:uiPriority w:val="0"/>
    <w:pPr>
      <w:spacing w:after="240" w:line="276" w:lineRule="auto"/>
      <w:ind w:left="0"/>
      <w:outlineLvl w:val="1"/>
    </w:pPr>
    <w:rPr>
      <w:rFonts w:eastAsia="Calibri"/>
      <w:b/>
      <w:szCs w:val="22"/>
      <w:lang w:eastAsia="en-US"/>
    </w:rPr>
  </w:style>
  <w:style w:type="paragraph" w:customStyle="1" w:styleId="67">
    <w:name w:val="Загол3"/>
    <w:basedOn w:val="64"/>
    <w:next w:val="1"/>
    <w:autoRedefine/>
    <w:qFormat/>
    <w:uiPriority w:val="0"/>
    <w:pPr>
      <w:ind w:left="284" w:hanging="284"/>
      <w:outlineLvl w:val="2"/>
    </w:pPr>
  </w:style>
  <w:style w:type="paragraph" w:customStyle="1" w:styleId="68">
    <w:name w:val="МОЙ"/>
    <w:basedOn w:val="64"/>
    <w:next w:val="66"/>
    <w:link w:val="69"/>
    <w:qFormat/>
    <w:uiPriority w:val="0"/>
  </w:style>
  <w:style w:type="character" w:customStyle="1" w:styleId="69">
    <w:name w:val="МОЙ Знак"/>
    <w:basedOn w:val="65"/>
    <w:link w:val="68"/>
    <w:qFormat/>
    <w:uiPriority w:val="0"/>
    <w:rPr>
      <w:rFonts w:ascii="Cambria" w:hAnsi="Cambria" w:cs="Times New Roman" w:eastAsiaTheme="minorEastAsia"/>
      <w:kern w:val="0"/>
      <w:sz w:val="24"/>
      <w:szCs w:val="24"/>
      <w:lang w:eastAsia="ru-RU"/>
      <w14:ligatures w14:val="none"/>
    </w:rPr>
  </w:style>
  <w:style w:type="paragraph" w:customStyle="1" w:styleId="70">
    <w:name w:val="ГРАДУМ - Базовый Заглавным жирными + По левому краю"/>
    <w:qFormat/>
    <w:uiPriority w:val="0"/>
    <w:pPr>
      <w:spacing w:after="160" w:line="259" w:lineRule="auto"/>
    </w:pPr>
    <w:rPr>
      <w:rFonts w:ascii="Cambria" w:hAnsi="Cambria" w:eastAsia="Times New Roman" w:cs="Times New Roman"/>
      <w:b/>
      <w:bCs/>
      <w:kern w:val="0"/>
      <w:sz w:val="22"/>
      <w:szCs w:val="20"/>
      <w:lang w:val="ru-RU" w:eastAsia="ru-RU" w:bidi="ar-SA"/>
      <w14:ligatures w14:val="none"/>
    </w:rPr>
  </w:style>
  <w:style w:type="paragraph" w:customStyle="1" w:styleId="7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ru-RU" w:eastAsia="en-US" w:bidi="ar-SA"/>
      <w14:ligatures w14:val="standardContextual"/>
    </w:rPr>
  </w:style>
  <w:style w:type="paragraph" w:customStyle="1" w:styleId="72">
    <w:name w:val="Revision"/>
    <w:hidden/>
    <w:semiHidden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ru-RU" w:eastAsia="ru-RU" w:bidi="ar-SA"/>
      <w14:ligatures w14:val="none"/>
    </w:rPr>
  </w:style>
  <w:style w:type="paragraph" w:customStyle="1" w:styleId="73">
    <w:name w:val="ТКВ Маркированный"/>
    <w:basedOn w:val="38"/>
    <w:qFormat/>
    <w:uiPriority w:val="0"/>
    <w:pPr>
      <w:numPr>
        <w:ilvl w:val="0"/>
        <w:numId w:val="5"/>
      </w:numPr>
      <w:spacing w:after="160" w:line="259" w:lineRule="auto"/>
    </w:pPr>
    <w:rPr>
      <w:rFonts w:eastAsiaTheme="minorEastAsia" w:cstheme="minorBidi"/>
      <w:szCs w:val="22"/>
    </w:rPr>
  </w:style>
  <w:style w:type="paragraph" w:customStyle="1" w:styleId="74">
    <w:name w:val="ГРАДУМ - Базовый Доп отступ сверху"/>
    <w:basedOn w:val="1"/>
    <w:qFormat/>
    <w:uiPriority w:val="0"/>
    <w:pPr>
      <w:spacing w:before="120" w:after="120" w:line="259" w:lineRule="auto"/>
    </w:pPr>
    <w:rPr>
      <w:rFonts w:eastAsiaTheme="minorEastAsia" w:cstheme="minorBidi"/>
      <w:szCs w:val="22"/>
    </w:rPr>
  </w:style>
  <w:style w:type="character" w:customStyle="1" w:styleId="75">
    <w:name w:val="Основной текст1"/>
    <w:basedOn w:val="6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76">
    <w:name w:val="Body text_"/>
    <w:basedOn w:val="6"/>
    <w:link w:val="77"/>
    <w:qFormat/>
    <w:uiPriority w:val="0"/>
    <w:rPr>
      <w:rFonts w:ascii="Times New Roman" w:hAnsi="Times New Roman" w:eastAsia="Times New Roman" w:cs="Times New Roman"/>
      <w:sz w:val="26"/>
      <w:szCs w:val="26"/>
      <w:shd w:val="clear" w:color="auto" w:fill="FFFFFF"/>
    </w:rPr>
  </w:style>
  <w:style w:type="paragraph" w:customStyle="1" w:styleId="77">
    <w:name w:val="Основной текст7"/>
    <w:basedOn w:val="1"/>
    <w:link w:val="76"/>
    <w:qFormat/>
    <w:uiPriority w:val="0"/>
    <w:pPr>
      <w:widowControl w:val="0"/>
      <w:shd w:val="clear" w:color="auto" w:fill="FFFFFF"/>
      <w:spacing w:line="0" w:lineRule="atLeast"/>
      <w:ind w:hanging="400"/>
    </w:pPr>
    <w:rPr>
      <w:rFonts w:ascii="Times New Roman" w:hAnsi="Times New Roman"/>
      <w:kern w:val="2"/>
      <w:sz w:val="26"/>
      <w:szCs w:val="26"/>
      <w:lang w:eastAsia="en-US"/>
      <w14:ligatures w14:val="standardContextual"/>
    </w:rPr>
  </w:style>
  <w:style w:type="character" w:customStyle="1" w:styleId="78">
    <w:name w:val="Текст сноски Знак"/>
    <w:basedOn w:val="6"/>
    <w:link w:val="18"/>
    <w:semiHidden/>
    <w:qFormat/>
    <w:uiPriority w:val="99"/>
    <w:rPr>
      <w:rFonts w:ascii="Cambria" w:hAnsi="Cambria" w:eastAsia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79">
    <w:name w:val="Body text + 11 pt;Bold"/>
    <w:basedOn w:val="76"/>
    <w:qFormat/>
    <w:uiPriority w:val="0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 w:eastAsia="ru-RU" w:bidi="ru-RU"/>
    </w:rPr>
  </w:style>
  <w:style w:type="character" w:customStyle="1" w:styleId="80">
    <w:name w:val="Body text + 11 pt"/>
    <w:basedOn w:val="76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 w:eastAsia="ru-RU" w:bidi="ru-RU"/>
    </w:rPr>
  </w:style>
  <w:style w:type="character" w:customStyle="1" w:styleId="81">
    <w:name w:val="Основной текст2"/>
    <w:basedOn w:val="76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6"/>
      <w:szCs w:val="26"/>
      <w:u w:val="single"/>
      <w:shd w:val="clear" w:color="auto" w:fill="FFFFFF"/>
      <w:lang w:val="ru-RU" w:eastAsia="ru-RU" w:bidi="ru-RU"/>
    </w:rPr>
  </w:style>
  <w:style w:type="table" w:customStyle="1" w:styleId="82">
    <w:name w:val="Сетка таблицы1"/>
    <w:basedOn w:val="7"/>
    <w:qFormat/>
    <w:uiPriority w:val="59"/>
    <w:pPr>
      <w:spacing w:after="0" w:line="240" w:lineRule="auto"/>
    </w:pPr>
    <w:rPr>
      <w:rFonts w:ascii="Calibri" w:hAnsi="Calibri" w:eastAsia="Calibri" w:cs="Times New Roman"/>
      <w:kern w:val="0"/>
      <w:sz w:val="20"/>
      <w:szCs w:val="20"/>
      <w:lang w:eastAsia="ru-RU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83">
    <w:name w:val="Обычный текст"/>
    <w:basedOn w:val="1"/>
    <w:qFormat/>
    <w:uiPriority w:val="0"/>
    <w:pPr>
      <w:spacing w:before="120" w:after="120"/>
      <w:ind w:firstLine="709"/>
      <w:jc w:val="both"/>
    </w:pPr>
    <w:rPr>
      <w:rFonts w:ascii="Times New Roman" w:hAnsi="Times New Roman"/>
      <w:sz w:val="24"/>
    </w:rPr>
  </w:style>
  <w:style w:type="paragraph" w:customStyle="1" w:styleId="84">
    <w:name w:val="Основной текст методики"/>
    <w:basedOn w:val="1"/>
    <w:link w:val="85"/>
    <w:qFormat/>
    <w:uiPriority w:val="0"/>
    <w:pPr>
      <w:tabs>
        <w:tab w:val="left" w:pos="425"/>
      </w:tabs>
      <w:spacing w:before="360" w:after="360" w:line="276" w:lineRule="auto"/>
      <w:ind w:firstLine="567"/>
      <w:contextualSpacing/>
      <w:jc w:val="both"/>
    </w:pPr>
    <w:rPr>
      <w:rFonts w:ascii="Times New Roman" w:hAnsi="Times New Roman"/>
      <w:sz w:val="24"/>
      <w:szCs w:val="20"/>
    </w:rPr>
  </w:style>
  <w:style w:type="character" w:customStyle="1" w:styleId="85">
    <w:name w:val="Основной текст методики Знак"/>
    <w:link w:val="84"/>
    <w:qFormat/>
    <w:uiPriority w:val="0"/>
    <w:rPr>
      <w:rFonts w:ascii="Times New Roman" w:hAnsi="Times New Roman" w:eastAsia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86">
    <w:name w:val="Текст примечания Знак1"/>
    <w:basedOn w:val="6"/>
    <w:qFormat/>
    <w:uiPriority w:val="99"/>
    <w:rPr>
      <w:rFonts w:ascii="Book Antiqua" w:hAnsi="Book Antiqua" w:eastAsia="Times New Roman" w:cs="Book Antiqua"/>
      <w:sz w:val="20"/>
      <w:szCs w:val="20"/>
      <w:lang w:val="en-AU" w:eastAsia="zh-CN"/>
    </w:rPr>
  </w:style>
  <w:style w:type="character" w:customStyle="1" w:styleId="87">
    <w:name w:val="4166"/>
    <w:basedOn w:val="6"/>
    <w:qFormat/>
    <w:uiPriority w:val="0"/>
  </w:style>
  <w:style w:type="character" w:customStyle="1" w:styleId="88">
    <w:name w:val="1914"/>
    <w:basedOn w:val="6"/>
    <w:qFormat/>
    <w:uiPriority w:val="0"/>
  </w:style>
  <w:style w:type="character" w:customStyle="1" w:styleId="89">
    <w:name w:val="Текст Знак"/>
    <w:basedOn w:val="6"/>
    <w:link w:val="14"/>
    <w:semiHidden/>
    <w:qFormat/>
    <w:uiPriority w:val="99"/>
    <w:rPr>
      <w:rFonts w:ascii="Consolas" w:hAnsi="Consolas" w:eastAsia="Times New Roman" w:cs="Times New Roman"/>
      <w:kern w:val="0"/>
      <w:sz w:val="21"/>
      <w:szCs w:val="21"/>
      <w:lang w:eastAsia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2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13.emf"/><Relationship Id="rId27" Type="http://schemas.openxmlformats.org/officeDocument/2006/relationships/package" Target="embeddings/Workbook5.xlsx"/><Relationship Id="rId26" Type="http://schemas.openxmlformats.org/officeDocument/2006/relationships/image" Target="media/image12.emf"/><Relationship Id="rId25" Type="http://schemas.openxmlformats.org/officeDocument/2006/relationships/package" Target="embeddings/Document1.docx"/><Relationship Id="rId24" Type="http://schemas.openxmlformats.org/officeDocument/2006/relationships/image" Target="media/image11.emf"/><Relationship Id="rId23" Type="http://schemas.openxmlformats.org/officeDocument/2006/relationships/oleObject" Target="embeddings/oleObject2.bin"/><Relationship Id="rId22" Type="http://schemas.openxmlformats.org/officeDocument/2006/relationships/image" Target="media/image10.emf"/><Relationship Id="rId21" Type="http://schemas.openxmlformats.org/officeDocument/2006/relationships/package" Target="embeddings/Workbook4.xlsx"/><Relationship Id="rId20" Type="http://schemas.openxmlformats.org/officeDocument/2006/relationships/image" Target="media/image9.emf"/><Relationship Id="rId2" Type="http://schemas.openxmlformats.org/officeDocument/2006/relationships/settings" Target="settings.xml"/><Relationship Id="rId19" Type="http://schemas.openxmlformats.org/officeDocument/2006/relationships/package" Target="embeddings/Workbook3.xlsx"/><Relationship Id="rId18" Type="http://schemas.openxmlformats.org/officeDocument/2006/relationships/image" Target="media/image8.emf"/><Relationship Id="rId17" Type="http://schemas.openxmlformats.org/officeDocument/2006/relationships/package" Target="embeddings/Workbook2.xlsx"/><Relationship Id="rId16" Type="http://schemas.openxmlformats.org/officeDocument/2006/relationships/image" Target="media/image7.emf"/><Relationship Id="rId15" Type="http://schemas.openxmlformats.org/officeDocument/2006/relationships/package" Target="embeddings/Workbook1.xlsx"/><Relationship Id="rId14" Type="http://schemas.openxmlformats.org/officeDocument/2006/relationships/image" Target="media/image6.png"/><Relationship Id="rId13" Type="http://schemas.openxmlformats.org/officeDocument/2006/relationships/image" Target="media/image5.e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60"/>
    <customShpInfo spid="_x0000_s1026" textRotate="1"/>
    <customShpInfo spid="_x0000_s105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53291DA-6F05-4784-9499-A4AE0206EDB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62</Pages>
  <Words>15674</Words>
  <Characters>89346</Characters>
  <Lines>744</Lines>
  <Paragraphs>209</Paragraphs>
  <TotalTime>7718</TotalTime>
  <ScaleCrop>false</ScaleCrop>
  <LinksUpToDate>false</LinksUpToDate>
  <CharactersWithSpaces>104811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2025-10-27T14:04:00Z</dcterms:created>
  <dc:creator>Калинина Наталья Владимировна</dc:creator>
  <cp:keywords>1.0</cp:keywords>
  <cp:lastModifiedBy>Александр Свиридов</cp:lastModifiedBy>
  <cp:lastPrinted>2024-02-01T09:19:00Z</cp:lastPrinted>
  <dcterms:modified xsi:type="dcterms:W3CDTF">2026-02-19T07:30:21Z</dcterms:modified>
  <dc:subject>Методика нормализации справочника номенклатуры ООО «Горнорудный Майнинг»</dc:subject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9AB025598DBE4FE493C2664EA35C24A6_12</vt:lpwstr>
  </property>
</Properties>
</file>