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9.png" ContentType="image/png"/>
  <Override PartName="/word/media/rId33.png" ContentType="image/png"/>
  <Override PartName="/word/media/rId39.png" ContentType="image/png"/>
  <Override PartName="/word/media/rId43.png" ContentType="image/png"/>
  <Override PartName="/word/media/rId47.png" ContentType="image/png"/>
  <Override PartName="/word/media/rId52.png" ContentType="image/png"/>
  <Override PartName="/word/media/rId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 работа №2</w:t>
      </w:r>
    </w:p>
    <w:p>
      <w:pPr>
        <w:pStyle w:val="Subtitle"/>
      </w:pPr>
      <w:r>
        <w:t xml:space="preserve">Операционные системы</w:t>
      </w:r>
    </w:p>
    <w:p>
      <w:pPr>
        <w:pStyle w:val="Author"/>
      </w:pPr>
      <w:r>
        <w:t xml:space="preserve">Клименко Алёна Сергеевна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sdt>
      <w:sdtPr>
        <w:docPartObj>
          <w:docPartGallery w:val="List of Figures"/>
          <w:docPartUnique/>
        </w:docPartObj>
      </w:sdtPr>
      <w:sdtContent>
        <w:p>
          <w:pPr>
            <w:pStyle w:val="TOCHeading"/>
          </w:pPr>
          <w:r>
            <w:t xml:space="preserve">Список иллюстраций</w:t>
          </w:r>
        </w:p>
        <w:p>
          <w:r>
            <w:fldChar w:fldCharType="begin" w:dirty="true"/>
            <w:instrText xml:space="preserve">TOC \h \z \t "Image Caption" \c</w:instrText>
            <w:fldChar w:fldCharType="separate"/>
            <w:fldChar w:fldCharType="end"/>
          </w:r>
        </w:p>
      </w:sdtContent>
    </w:sdt>
    <w:sdt>
      <w:sdtPr>
        <w:docPartObj>
          <w:docPartGallery w:val="List of Tables"/>
          <w:docPartUnique/>
        </w:docPartObj>
      </w:sdtPr>
      <w:sdtContent>
        <w:p>
          <w:pPr>
            <w:pStyle w:val="TOCHeading"/>
          </w:pPr>
          <w:r>
            <w:t xml:space="preserve">Список таблиц</w:t>
          </w:r>
        </w:p>
        <w:p>
          <w:r>
            <w:fldChar w:fldCharType="begin" w:dirty="true"/>
            <w:instrText xml:space="preserve">TOC \h \z \t "Table Caption" \c</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изучение идеологии и применения средств контроля версий и освоение умения по работе с git.</w:t>
      </w:r>
    </w:p>
    <w:bookmarkEnd w:id="20"/>
    <w:bookmarkStart w:id="21" w:name="задание"/>
    <w:p>
      <w:pPr>
        <w:pStyle w:val="Heading1"/>
      </w:pPr>
      <w:r>
        <w:rPr>
          <w:rStyle w:val="SectionNumber"/>
        </w:rPr>
        <w:t xml:space="preserve">2</w:t>
      </w:r>
      <w:r>
        <w:tab/>
      </w:r>
      <w:r>
        <w:t xml:space="preserve">Задание</w:t>
      </w:r>
    </w:p>
    <w:p>
      <w:pPr>
        <w:pStyle w:val="Compact"/>
        <w:numPr>
          <w:ilvl w:val="0"/>
          <w:numId w:val="1001"/>
        </w:numPr>
      </w:pPr>
      <w:r>
        <w:t xml:space="preserve">Создать базовую конфигурацию для работы с git.</w:t>
      </w:r>
    </w:p>
    <w:p>
      <w:pPr>
        <w:pStyle w:val="Compact"/>
        <w:numPr>
          <w:ilvl w:val="0"/>
          <w:numId w:val="1001"/>
        </w:numPr>
      </w:pPr>
      <w:r>
        <w:t xml:space="preserve">Создать ключ SSH.</w:t>
      </w:r>
    </w:p>
    <w:p>
      <w:pPr>
        <w:pStyle w:val="Compact"/>
        <w:numPr>
          <w:ilvl w:val="0"/>
          <w:numId w:val="1001"/>
        </w:numPr>
      </w:pPr>
      <w:r>
        <w:t xml:space="preserve">Создать ключ PGP.</w:t>
      </w:r>
    </w:p>
    <w:p>
      <w:pPr>
        <w:pStyle w:val="Compact"/>
        <w:numPr>
          <w:ilvl w:val="0"/>
          <w:numId w:val="1001"/>
        </w:numPr>
      </w:pPr>
      <w:r>
        <w:t xml:space="preserve">Настроить подписи git.</w:t>
      </w:r>
    </w:p>
    <w:p>
      <w:pPr>
        <w:pStyle w:val="Compact"/>
        <w:numPr>
          <w:ilvl w:val="0"/>
          <w:numId w:val="1001"/>
        </w:numPr>
      </w:pPr>
      <w:r>
        <w:t xml:space="preserve">Зарегистрироваться на Github.</w:t>
      </w:r>
    </w:p>
    <w:p>
      <w:pPr>
        <w:pStyle w:val="Compact"/>
        <w:numPr>
          <w:ilvl w:val="0"/>
          <w:numId w:val="1001"/>
        </w:numPr>
      </w:pPr>
      <w:r>
        <w:t xml:space="preserve">Создать локальный каталог для выполнения заданий по предмету.</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bookmarkEnd w:id="22"/>
    <w:bookmarkStart w:id="63" w:name="выполнение-лабораторной-работы"/>
    <w:p>
      <w:pPr>
        <w:pStyle w:val="Heading1"/>
      </w:pPr>
      <w:r>
        <w:rPr>
          <w:rStyle w:val="SectionNumber"/>
        </w:rPr>
        <w:t xml:space="preserve">4</w:t>
      </w:r>
      <w:r>
        <w:tab/>
      </w:r>
      <w:r>
        <w:t xml:space="preserve">Выполнение лабораторной работы</w:t>
      </w:r>
    </w:p>
    <w:bookmarkStart w:id="23" w:name="установка-git-и-gh"/>
    <w:p>
      <w:pPr>
        <w:pStyle w:val="Heading2"/>
      </w:pPr>
      <w:r>
        <w:rPr>
          <w:rStyle w:val="SectionNumber"/>
        </w:rPr>
        <w:t xml:space="preserve">4.1</w:t>
      </w:r>
      <w:r>
        <w:tab/>
      </w:r>
      <w:r>
        <w:t xml:space="preserve">Установка git и gh</w:t>
      </w:r>
    </w:p>
    <w:p>
      <w:pPr>
        <w:pStyle w:val="FirstParagraph"/>
      </w:pPr>
      <w:r>
        <w:t xml:space="preserve">Установим гит командой dnf install git, установим gh командой dnf install gh</w:t>
      </w:r>
    </w:p>
    <w:bookmarkEnd w:id="23"/>
    <w:bookmarkStart w:id="28" w:name="базовая-настройка-git."/>
    <w:p>
      <w:pPr>
        <w:pStyle w:val="Heading2"/>
      </w:pPr>
      <w:r>
        <w:rPr>
          <w:rStyle w:val="SectionNumber"/>
        </w:rPr>
        <w:t xml:space="preserve">4.2</w:t>
      </w:r>
      <w:r>
        <w:tab/>
      </w:r>
      <w:r>
        <w:t xml:space="preserve">Базовая настройка git.</w:t>
      </w:r>
    </w:p>
    <w:p>
      <w:pPr>
        <w:pStyle w:val="FirstParagraph"/>
      </w:pPr>
      <w:r>
        <w:t xml:space="preserve">Открываем терминал. При помощи команд git config –global user.name и git config –global user.email зададим имя пользователя и адрес электронной почты. При помощи команды git config –global core.quotepath false настроим utf-8 в выводе сообщений git. При помощи команды git config –global init.defaultBranch master зададим начальной ветке имя master. (рис. 1)</w:t>
      </w:r>
    </w:p>
    <w:bookmarkStart w:id="27" w:name="fig:001"/>
    <w:p>
      <w:pPr>
        <w:pStyle w:val="CaptionedFigure"/>
      </w:pPr>
      <w:r>
        <w:drawing>
          <wp:inline>
            <wp:extent cx="3733800" cy="2482901"/>
            <wp:effectExtent b="0" l="0" r="0" t="0"/>
            <wp:docPr descr="Рис. 1: Ввод команд в терминал" title="" id="25" name="Picture"/>
            <a:graphic>
              <a:graphicData uri="http://schemas.openxmlformats.org/drawingml/2006/picture">
                <pic:pic>
                  <pic:nvPicPr>
                    <pic:cNvPr descr="image/1.PNG" id="26" name="Picture"/>
                    <pic:cNvPicPr>
                      <a:picLocks noChangeArrowheads="1" noChangeAspect="1"/>
                    </pic:cNvPicPr>
                  </pic:nvPicPr>
                  <pic:blipFill>
                    <a:blip r:embed="rId24"/>
                    <a:stretch>
                      <a:fillRect/>
                    </a:stretch>
                  </pic:blipFill>
                  <pic:spPr bwMode="auto">
                    <a:xfrm>
                      <a:off x="0" y="0"/>
                      <a:ext cx="3733800" cy="2482901"/>
                    </a:xfrm>
                    <a:prstGeom prst="rect">
                      <a:avLst/>
                    </a:prstGeom>
                    <a:noFill/>
                    <a:ln w="9525">
                      <a:noFill/>
                      <a:headEnd/>
                      <a:tailEnd/>
                    </a:ln>
                  </pic:spPr>
                </pic:pic>
              </a:graphicData>
            </a:graphic>
          </wp:inline>
        </w:drawing>
      </w:r>
    </w:p>
    <w:p>
      <w:pPr>
        <w:pStyle w:val="ImageCaption"/>
      </w:pPr>
      <w:r>
        <w:t xml:space="preserve">Рис. 1: Ввод команд в терминал</w:t>
      </w:r>
    </w:p>
    <w:bookmarkEnd w:id="27"/>
    <w:bookmarkEnd w:id="28"/>
    <w:bookmarkStart w:id="38" w:name="создание-ssh-ключа."/>
    <w:p>
      <w:pPr>
        <w:pStyle w:val="Heading2"/>
      </w:pPr>
      <w:r>
        <w:rPr>
          <w:rStyle w:val="SectionNumber"/>
        </w:rPr>
        <w:t xml:space="preserve">4.3</w:t>
      </w:r>
      <w:r>
        <w:tab/>
      </w:r>
      <w:r>
        <w:t xml:space="preserve">Создание ssh ключа.</w:t>
      </w:r>
    </w:p>
    <w:p>
      <w:pPr>
        <w:pStyle w:val="FirstParagraph"/>
      </w:pPr>
      <w:r>
        <w:t xml:space="preserve">создания ключа (рис. 2)</w:t>
      </w:r>
    </w:p>
    <w:bookmarkStart w:id="32" w:name="fig:002"/>
    <w:p>
      <w:pPr>
        <w:pStyle w:val="CaptionedFigure"/>
      </w:pPr>
      <w:r>
        <w:drawing>
          <wp:inline>
            <wp:extent cx="3733800" cy="2806030"/>
            <wp:effectExtent b="0" l="0" r="0" t="0"/>
            <wp:docPr descr="Рис. 2: Создание ключа" title="" id="30" name="Picture"/>
            <a:graphic>
              <a:graphicData uri="http://schemas.openxmlformats.org/drawingml/2006/picture">
                <pic:pic>
                  <pic:nvPicPr>
                    <pic:cNvPr descr="image/2.PNG" id="31" name="Picture"/>
                    <pic:cNvPicPr>
                      <a:picLocks noChangeArrowheads="1" noChangeAspect="1"/>
                    </pic:cNvPicPr>
                  </pic:nvPicPr>
                  <pic:blipFill>
                    <a:blip r:embed="rId29"/>
                    <a:stretch>
                      <a:fillRect/>
                    </a:stretch>
                  </pic:blipFill>
                  <pic:spPr bwMode="auto">
                    <a:xfrm>
                      <a:off x="0" y="0"/>
                      <a:ext cx="3733800" cy="2806030"/>
                    </a:xfrm>
                    <a:prstGeom prst="rect">
                      <a:avLst/>
                    </a:prstGeom>
                    <a:noFill/>
                    <a:ln w="9525">
                      <a:noFill/>
                      <a:headEnd/>
                      <a:tailEnd/>
                    </a:ln>
                  </pic:spPr>
                </pic:pic>
              </a:graphicData>
            </a:graphic>
          </wp:inline>
        </w:drawing>
      </w:r>
    </w:p>
    <w:p>
      <w:pPr>
        <w:pStyle w:val="ImageCaption"/>
      </w:pPr>
      <w:r>
        <w:t xml:space="preserve">Рис. 2: Создание ключа</w:t>
      </w:r>
    </w:p>
    <w:bookmarkEnd w:id="32"/>
    <w:bookmarkStart w:id="37" w:name="X29c55c417d389c005c9d0f2740f04a930b13efd"/>
    <w:p>
      <w:pPr>
        <w:pStyle w:val="Heading3"/>
      </w:pPr>
      <w:r>
        <w:rPr>
          <w:rStyle w:val="SectionNumber"/>
        </w:rPr>
        <w:t xml:space="preserve">4.3.1</w:t>
      </w:r>
      <w:r>
        <w:tab/>
      </w:r>
      <w:r>
        <w:t xml:space="preserve">Добавление gpg-ключа в учетную запись ГитХаб.</w:t>
      </w:r>
    </w:p>
    <w:p>
      <w:pPr>
        <w:pStyle w:val="FirstParagraph"/>
      </w:pPr>
      <w:r>
        <w:t xml:space="preserve">Копируем созданный ключ и переносим его на сайт гитхаб в раздел ssh и gpg keys.</w:t>
      </w:r>
    </w:p>
    <w:p>
      <w:pPr>
        <w:pStyle w:val="BodyText"/>
      </w:pPr>
      <w:r>
        <w:t xml:space="preserve">Создаем новый ключ, задаем ему название и переносим ключ в поле key, добавляем ключ на сайт. (рис. 3)</w:t>
      </w:r>
    </w:p>
    <w:bookmarkStart w:id="36" w:name="fig:003"/>
    <w:p>
      <w:pPr>
        <w:pStyle w:val="CaptionedFigure"/>
      </w:pPr>
      <w:r>
        <w:drawing>
          <wp:inline>
            <wp:extent cx="3733800" cy="2189690"/>
            <wp:effectExtent b="0" l="0" r="0" t="0"/>
            <wp:docPr descr="Рис. 3: Новый ключ ssh" title="" id="34" name="Picture"/>
            <a:graphic>
              <a:graphicData uri="http://schemas.openxmlformats.org/drawingml/2006/picture">
                <pic:pic>
                  <pic:nvPicPr>
                    <pic:cNvPr descr="image/3.PNG" id="35" name="Picture"/>
                    <pic:cNvPicPr>
                      <a:picLocks noChangeArrowheads="1" noChangeAspect="1"/>
                    </pic:cNvPicPr>
                  </pic:nvPicPr>
                  <pic:blipFill>
                    <a:blip r:embed="rId33"/>
                    <a:stretch>
                      <a:fillRect/>
                    </a:stretch>
                  </pic:blipFill>
                  <pic:spPr bwMode="auto">
                    <a:xfrm>
                      <a:off x="0" y="0"/>
                      <a:ext cx="3733800" cy="2189690"/>
                    </a:xfrm>
                    <a:prstGeom prst="rect">
                      <a:avLst/>
                    </a:prstGeom>
                    <a:noFill/>
                    <a:ln w="9525">
                      <a:noFill/>
                      <a:headEnd/>
                      <a:tailEnd/>
                    </a:ln>
                  </pic:spPr>
                </pic:pic>
              </a:graphicData>
            </a:graphic>
          </wp:inline>
        </w:drawing>
      </w:r>
    </w:p>
    <w:p>
      <w:pPr>
        <w:pStyle w:val="ImageCaption"/>
      </w:pPr>
      <w:r>
        <w:t xml:space="preserve">Рис. 3: Новый ключ ssh</w:t>
      </w:r>
    </w:p>
    <w:bookmarkEnd w:id="36"/>
    <w:bookmarkEnd w:id="37"/>
    <w:bookmarkEnd w:id="38"/>
    <w:bookmarkStart w:id="57" w:name="создание-pgp-ключа."/>
    <w:p>
      <w:pPr>
        <w:pStyle w:val="Heading2"/>
      </w:pPr>
      <w:r>
        <w:rPr>
          <w:rStyle w:val="SectionNumber"/>
        </w:rPr>
        <w:t xml:space="preserve">4.4</w:t>
      </w:r>
      <w:r>
        <w:tab/>
      </w:r>
      <w:r>
        <w:t xml:space="preserve">Создание PGP ключа.</w:t>
      </w:r>
    </w:p>
    <w:p>
      <w:pPr>
        <w:pStyle w:val="FirstParagraph"/>
      </w:pPr>
      <w:r>
        <w:t xml:space="preserve">создаем шаблон рабочего пространства (рис. 4)</w:t>
      </w:r>
    </w:p>
    <w:bookmarkStart w:id="42" w:name="fig:004"/>
    <w:p>
      <w:pPr>
        <w:pStyle w:val="CaptionedFigure"/>
      </w:pPr>
      <w:r>
        <w:drawing>
          <wp:inline>
            <wp:extent cx="3733800" cy="610209"/>
            <wp:effectExtent b="0" l="0" r="0" t="0"/>
            <wp:docPr descr="Рис. 4: Создание шаблона" title="" id="40" name="Picture"/>
            <a:graphic>
              <a:graphicData uri="http://schemas.openxmlformats.org/drawingml/2006/picture">
                <pic:pic>
                  <pic:nvPicPr>
                    <pic:cNvPr descr="image/4.PNG" id="41" name="Picture"/>
                    <pic:cNvPicPr>
                      <a:picLocks noChangeArrowheads="1" noChangeAspect="1"/>
                    </pic:cNvPicPr>
                  </pic:nvPicPr>
                  <pic:blipFill>
                    <a:blip r:embed="rId39"/>
                    <a:stretch>
                      <a:fillRect/>
                    </a:stretch>
                  </pic:blipFill>
                  <pic:spPr bwMode="auto">
                    <a:xfrm>
                      <a:off x="0" y="0"/>
                      <a:ext cx="3733800" cy="610209"/>
                    </a:xfrm>
                    <a:prstGeom prst="rect">
                      <a:avLst/>
                    </a:prstGeom>
                    <a:noFill/>
                    <a:ln w="9525">
                      <a:noFill/>
                      <a:headEnd/>
                      <a:tailEnd/>
                    </a:ln>
                  </pic:spPr>
                </pic:pic>
              </a:graphicData>
            </a:graphic>
          </wp:inline>
        </w:drawing>
      </w:r>
    </w:p>
    <w:p>
      <w:pPr>
        <w:pStyle w:val="ImageCaption"/>
      </w:pPr>
      <w:r>
        <w:t xml:space="preserve">Рис. 4: Создание шаблона</w:t>
      </w:r>
    </w:p>
    <w:bookmarkEnd w:id="42"/>
    <w:p>
      <w:pPr>
        <w:pStyle w:val="BodyText"/>
      </w:pPr>
      <w:r>
        <w:t xml:space="preserve">связываем аккаунт гит с виртуальной машиной (рис. 5)</w:t>
      </w:r>
    </w:p>
    <w:bookmarkStart w:id="46" w:name="fig:005"/>
    <w:p>
      <w:pPr>
        <w:pStyle w:val="CaptionedFigure"/>
      </w:pPr>
      <w:r>
        <w:drawing>
          <wp:inline>
            <wp:extent cx="3733800" cy="3814822"/>
            <wp:effectExtent b="0" l="0" r="0" t="0"/>
            <wp:docPr descr="Рис. 5: гит" title="" id="44" name="Picture"/>
            <a:graphic>
              <a:graphicData uri="http://schemas.openxmlformats.org/drawingml/2006/picture">
                <pic:pic>
                  <pic:nvPicPr>
                    <pic:cNvPr descr="image/5.PNG" id="45" name="Picture"/>
                    <pic:cNvPicPr>
                      <a:picLocks noChangeArrowheads="1" noChangeAspect="1"/>
                    </pic:cNvPicPr>
                  </pic:nvPicPr>
                  <pic:blipFill>
                    <a:blip r:embed="rId43"/>
                    <a:stretch>
                      <a:fillRect/>
                    </a:stretch>
                  </pic:blipFill>
                  <pic:spPr bwMode="auto">
                    <a:xfrm>
                      <a:off x="0" y="0"/>
                      <a:ext cx="3733800" cy="3814822"/>
                    </a:xfrm>
                    <a:prstGeom prst="rect">
                      <a:avLst/>
                    </a:prstGeom>
                    <a:noFill/>
                    <a:ln w="9525">
                      <a:noFill/>
                      <a:headEnd/>
                      <a:tailEnd/>
                    </a:ln>
                  </pic:spPr>
                </pic:pic>
              </a:graphicData>
            </a:graphic>
          </wp:inline>
        </w:drawing>
      </w:r>
    </w:p>
    <w:p>
      <w:pPr>
        <w:pStyle w:val="ImageCaption"/>
      </w:pPr>
      <w:r>
        <w:t xml:space="preserve">Рис. 5: гит</w:t>
      </w:r>
    </w:p>
    <w:bookmarkEnd w:id="46"/>
    <w:bookmarkStart w:id="51" w:name="добавление-ключа-на-гитхаб."/>
    <w:p>
      <w:pPr>
        <w:pStyle w:val="Heading3"/>
      </w:pPr>
      <w:r>
        <w:rPr>
          <w:rStyle w:val="SectionNumber"/>
        </w:rPr>
        <w:t xml:space="preserve">4.4.1</w:t>
      </w:r>
      <w:r>
        <w:tab/>
      </w:r>
      <w:r>
        <w:t xml:space="preserve">Добавление ключа на ГитХаб.</w:t>
      </w:r>
    </w:p>
    <w:p>
      <w:pPr>
        <w:pStyle w:val="FirstParagraph"/>
      </w:pPr>
      <w:r>
        <w:t xml:space="preserve">создаем папки для лабароторных работ (рис. 6)</w:t>
      </w:r>
    </w:p>
    <w:bookmarkStart w:id="50" w:name="fig:006"/>
    <w:p>
      <w:pPr>
        <w:pStyle w:val="CaptionedFigure"/>
      </w:pPr>
      <w:r>
        <w:drawing>
          <wp:inline>
            <wp:extent cx="3733800" cy="679823"/>
            <wp:effectExtent b="0" l="0" r="0" t="0"/>
            <wp:docPr descr="Рис. 6: Новый ключ PGP" title="" id="48" name="Picture"/>
            <a:graphic>
              <a:graphicData uri="http://schemas.openxmlformats.org/drawingml/2006/picture">
                <pic:pic>
                  <pic:nvPicPr>
                    <pic:cNvPr descr="image/6.PNG" id="49" name="Picture"/>
                    <pic:cNvPicPr>
                      <a:picLocks noChangeArrowheads="1" noChangeAspect="1"/>
                    </pic:cNvPicPr>
                  </pic:nvPicPr>
                  <pic:blipFill>
                    <a:blip r:embed="rId47"/>
                    <a:stretch>
                      <a:fillRect/>
                    </a:stretch>
                  </pic:blipFill>
                  <pic:spPr bwMode="auto">
                    <a:xfrm>
                      <a:off x="0" y="0"/>
                      <a:ext cx="3733800" cy="679823"/>
                    </a:xfrm>
                    <a:prstGeom prst="rect">
                      <a:avLst/>
                    </a:prstGeom>
                    <a:noFill/>
                    <a:ln w="9525">
                      <a:noFill/>
                      <a:headEnd/>
                      <a:tailEnd/>
                    </a:ln>
                  </pic:spPr>
                </pic:pic>
              </a:graphicData>
            </a:graphic>
          </wp:inline>
        </w:drawing>
      </w:r>
    </w:p>
    <w:p>
      <w:pPr>
        <w:pStyle w:val="ImageCaption"/>
      </w:pPr>
      <w:r>
        <w:t xml:space="preserve">Рис. 6: Новый ключ PGP</w:t>
      </w:r>
    </w:p>
    <w:bookmarkEnd w:id="50"/>
    <w:bookmarkEnd w:id="51"/>
    <w:bookmarkStart w:id="56" w:name="X69e72f92ce02f889584ae1182e2710a24ff177c"/>
    <w:p>
      <w:pPr>
        <w:pStyle w:val="Heading3"/>
      </w:pPr>
      <w:r>
        <w:rPr>
          <w:rStyle w:val="SectionNumber"/>
        </w:rPr>
        <w:t xml:space="preserve">4.4.2</w:t>
      </w:r>
      <w:r>
        <w:tab/>
      </w:r>
      <w:r>
        <w:t xml:space="preserve">Настройка автоматических подписей коммитов git</w:t>
      </w:r>
    </w:p>
    <w:p>
      <w:pPr>
        <w:pStyle w:val="FirstParagraph"/>
      </w:pPr>
      <w:r>
        <w:t xml:space="preserve">выгружаем информацию в git (рис. 7)</w:t>
      </w:r>
    </w:p>
    <w:bookmarkStart w:id="55" w:name="fig:007"/>
    <w:p>
      <w:pPr>
        <w:pStyle w:val="CaptionedFigure"/>
      </w:pPr>
      <w:r>
        <w:drawing>
          <wp:inline>
            <wp:extent cx="3733800" cy="916353"/>
            <wp:effectExtent b="0" l="0" r="0" t="0"/>
            <wp:docPr descr="Рис. 7: Настройка необходимых подписей коммитов" title="" id="53" name="Picture"/>
            <a:graphic>
              <a:graphicData uri="http://schemas.openxmlformats.org/drawingml/2006/picture">
                <pic:pic>
                  <pic:nvPicPr>
                    <pic:cNvPr descr="image/7.PNG" id="54" name="Picture"/>
                    <pic:cNvPicPr>
                      <a:picLocks noChangeArrowheads="1" noChangeAspect="1"/>
                    </pic:cNvPicPr>
                  </pic:nvPicPr>
                  <pic:blipFill>
                    <a:blip r:embed="rId52"/>
                    <a:stretch>
                      <a:fillRect/>
                    </a:stretch>
                  </pic:blipFill>
                  <pic:spPr bwMode="auto">
                    <a:xfrm>
                      <a:off x="0" y="0"/>
                      <a:ext cx="3733800" cy="916353"/>
                    </a:xfrm>
                    <a:prstGeom prst="rect">
                      <a:avLst/>
                    </a:prstGeom>
                    <a:noFill/>
                    <a:ln w="9525">
                      <a:noFill/>
                      <a:headEnd/>
                      <a:tailEnd/>
                    </a:ln>
                  </pic:spPr>
                </pic:pic>
              </a:graphicData>
            </a:graphic>
          </wp:inline>
        </w:drawing>
      </w:r>
    </w:p>
    <w:p>
      <w:pPr>
        <w:pStyle w:val="ImageCaption"/>
      </w:pPr>
      <w:r>
        <w:t xml:space="preserve">Рис. 7: Настройка необходимых подписей коммитов</w:t>
      </w:r>
    </w:p>
    <w:bookmarkEnd w:id="55"/>
    <w:bookmarkEnd w:id="56"/>
    <w:bookmarkEnd w:id="57"/>
    <w:bookmarkStart w:id="62" w:name="создание-и-настройка-репозитория-курса."/>
    <w:p>
      <w:pPr>
        <w:pStyle w:val="Heading2"/>
      </w:pPr>
      <w:r>
        <w:rPr>
          <w:rStyle w:val="SectionNumber"/>
        </w:rPr>
        <w:t xml:space="preserve">4.5</w:t>
      </w:r>
      <w:r>
        <w:tab/>
      </w:r>
      <w:r>
        <w:t xml:space="preserve">Создание и настройка репозитория курса.</w:t>
      </w:r>
    </w:p>
    <w:p>
      <w:pPr>
        <w:pStyle w:val="FirstParagraph"/>
      </w:pPr>
      <w:r>
        <w:t xml:space="preserve">Отправляем файлы первой лабораторной работы на сервер.</w:t>
      </w:r>
    </w:p>
    <w:bookmarkStart w:id="61" w:name="fig:008"/>
    <w:p>
      <w:pPr>
        <w:pStyle w:val="CaptionedFigure"/>
      </w:pPr>
      <w:r>
        <w:drawing>
          <wp:inline>
            <wp:extent cx="3733800" cy="2188516"/>
            <wp:effectExtent b="0" l="0" r="0" t="0"/>
            <wp:docPr descr="Рис. 8: git" title="" id="59" name="Picture"/>
            <a:graphic>
              <a:graphicData uri="http://schemas.openxmlformats.org/drawingml/2006/picture">
                <pic:pic>
                  <pic:nvPicPr>
                    <pic:cNvPr descr="image/8.PNG" id="60" name="Picture"/>
                    <pic:cNvPicPr>
                      <a:picLocks noChangeArrowheads="1" noChangeAspect="1"/>
                    </pic:cNvPicPr>
                  </pic:nvPicPr>
                  <pic:blipFill>
                    <a:blip r:embed="rId58"/>
                    <a:stretch>
                      <a:fillRect/>
                    </a:stretch>
                  </pic:blipFill>
                  <pic:spPr bwMode="auto">
                    <a:xfrm>
                      <a:off x="0" y="0"/>
                      <a:ext cx="3733800" cy="2188516"/>
                    </a:xfrm>
                    <a:prstGeom prst="rect">
                      <a:avLst/>
                    </a:prstGeom>
                    <a:noFill/>
                    <a:ln w="9525">
                      <a:noFill/>
                      <a:headEnd/>
                      <a:tailEnd/>
                    </a:ln>
                  </pic:spPr>
                </pic:pic>
              </a:graphicData>
            </a:graphic>
          </wp:inline>
        </w:drawing>
      </w:r>
    </w:p>
    <w:p>
      <w:pPr>
        <w:pStyle w:val="ImageCaption"/>
      </w:pPr>
      <w:r>
        <w:t xml:space="preserve">Рис. 8: git</w:t>
      </w:r>
    </w:p>
    <w:bookmarkEnd w:id="61"/>
    <w:bookmarkEnd w:id="62"/>
    <w:bookmarkEnd w:id="63"/>
    <w:bookmarkStart w:id="64" w:name="контрольные-вопросы"/>
    <w:p>
      <w:pPr>
        <w:pStyle w:val="Heading1"/>
      </w:pPr>
      <w:r>
        <w:rPr>
          <w:rStyle w:val="SectionNumber"/>
        </w:rPr>
        <w:t xml:space="preserve">5</w:t>
      </w:r>
      <w:r>
        <w:tab/>
      </w:r>
      <w:r>
        <w:t xml:space="preserve">Контрольные вопросы</w:t>
      </w:r>
    </w:p>
    <w:p>
      <w:pPr>
        <w:pStyle w:val="Compact"/>
        <w:numPr>
          <w:ilvl w:val="0"/>
          <w:numId w:val="1002"/>
        </w:numPr>
      </w:pPr>
      <w:r>
        <w:t xml:space="preserve">Что такое системы контроля версий (VCS) и для решения каких задач они предназначаются?</w:t>
      </w:r>
    </w:p>
    <w:p>
      <w:pPr>
        <w:pStyle w:val="FirstParagraph"/>
      </w:pPr>
      <w:r>
        <w:t xml:space="preserve">Система контроля версий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 Системы контроля версий (Version Control System, VCS) применяются для:</w:t>
      </w:r>
      <w:r>
        <w:t xml:space="preserve"> </w:t>
      </w:r>
      <w:r>
        <w:t xml:space="preserve">Хранение полной истории изменений причин всех производимых изменений</w:t>
      </w:r>
      <w:r>
        <w:t xml:space="preserve"> </w:t>
      </w:r>
      <w:r>
        <w:t xml:space="preserve">Откат изменений, если что-то пошло не так</w:t>
      </w:r>
      <w:r>
        <w:t xml:space="preserve"> </w:t>
      </w:r>
      <w:r>
        <w:t xml:space="preserve">Поиск причины и ответственного за появления ошибок в программе</w:t>
      </w:r>
      <w:r>
        <w:t xml:space="preserve"> </w:t>
      </w:r>
      <w:r>
        <w:t xml:space="preserve">Совместная работа группы над одним проектом</w:t>
      </w:r>
      <w:r>
        <w:t xml:space="preserve"> </w:t>
      </w:r>
      <w:r>
        <w:t xml:space="preserve">Возможность изменять код, не мешая работе других пользователей</w:t>
      </w:r>
    </w:p>
    <w:p>
      <w:pPr>
        <w:pStyle w:val="Compact"/>
        <w:numPr>
          <w:ilvl w:val="0"/>
          <w:numId w:val="1003"/>
        </w:numPr>
      </w:pPr>
      <w:r>
        <w:t xml:space="preserve">Объясните следующие понятия VCS и их отношения: хранилище, commit, история, рабочая копия</w:t>
      </w:r>
    </w:p>
    <w:p>
      <w:pPr>
        <w:pStyle w:val="FirstParagraph"/>
      </w:pPr>
      <w:r>
        <w:t xml:space="preserve">Репозиторий - хранилище версий - в нем хранятся все документы вместе с историей их изменения и другой служебной информацией.Commit — отслеживание изменений</w:t>
      </w:r>
      <w:r>
        <w:t xml:space="preserve"> </w:t>
      </w:r>
      <w:r>
        <w:t xml:space="preserve">Рабочая копия - копия проекта, связанная с репозиторием (текущее состояние файлов проекта, основанное на версии из хранилища (обычно на последней)</w:t>
      </w:r>
      <w:r>
        <w:t xml:space="preserve"> </w:t>
      </w:r>
      <w:r>
        <w:t xml:space="preserve">История хранит все изменения в проекте и позволяет при необходимости обратиться к нужным данным.</w:t>
      </w:r>
    </w:p>
    <w:p>
      <w:pPr>
        <w:pStyle w:val="Compact"/>
        <w:numPr>
          <w:ilvl w:val="0"/>
          <w:numId w:val="1004"/>
        </w:numPr>
      </w:pPr>
      <w:r>
        <w:t xml:space="preserve">Что представляют собой и чем отличаются централизованные и децентрализованные VCS? Приведите примеры VCS каждого вида</w:t>
      </w:r>
    </w:p>
    <w:p>
      <w:pPr>
        <w:pStyle w:val="FirstParagraph"/>
      </w:pPr>
      <w:r>
        <w:t xml:space="preserve">Централизованные VCS (Subversion; CVS; TFS; VAULT; AccuRev):</w:t>
      </w:r>
      <w:r>
        <w:t xml:space="preserve"> </w:t>
      </w:r>
      <w:r>
        <w:t xml:space="preserve">Одно основное хранилище всего проекта</w:t>
      </w:r>
      <w:r>
        <w:t xml:space="preserve"> </w:t>
      </w:r>
      <w:r>
        <w:t xml:space="preserve">Каждый пользователь копирует себе необходимые ему файлы из этого репозитория, изменяет и, затем, добавляет свои изменения обратно Децентрализованные VCS (Git; Mercurial; Bazaar):</w:t>
      </w:r>
      <w:r>
        <w:t xml:space="preserve"> </w:t>
      </w:r>
      <w:r>
        <w:t xml:space="preserve">У каждого пользователя свой вариант (возможно не один) репозитория</w:t>
      </w:r>
      <w:r>
        <w:t xml:space="preserve"> </w:t>
      </w:r>
      <w:r>
        <w:t xml:space="preserve">Присутствует возможность добавлять и забирать изменения из любого репозитория .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В отличие от классических, в распределённых системах контроля версий центральный репозиторий не является обязательным.</w:t>
      </w:r>
    </w:p>
    <w:p>
      <w:pPr>
        <w:pStyle w:val="Compact"/>
        <w:numPr>
          <w:ilvl w:val="0"/>
          <w:numId w:val="1005"/>
        </w:numPr>
      </w:pPr>
      <w:r>
        <w:t xml:space="preserve">Опишите действия с VCS при единоличной работе с хранилищем.</w:t>
      </w:r>
    </w:p>
    <w:p>
      <w:pPr>
        <w:pStyle w:val="FirstParagraph"/>
      </w:pPr>
      <w:r>
        <w:t xml:space="preserve">Сначала создаем и подключаем удаленный репозиторий. Затем по мере изменения проекта отправлять эти изменения на сервер.</w:t>
      </w:r>
    </w:p>
    <w:p>
      <w:pPr>
        <w:pStyle w:val="Compact"/>
        <w:numPr>
          <w:ilvl w:val="0"/>
          <w:numId w:val="1006"/>
        </w:numPr>
      </w:pPr>
      <w:r>
        <w:t xml:space="preserve">Опишите порядок работы с общим хранилищем VCS.</w:t>
      </w:r>
    </w:p>
    <w:p>
      <w:pPr>
        <w:pStyle w:val="FirstParagraph"/>
      </w:pPr>
      <w:r>
        <w:t xml:space="preserve">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w:t>
      </w:r>
    </w:p>
    <w:p>
      <w:pPr>
        <w:pStyle w:val="Compact"/>
        <w:numPr>
          <w:ilvl w:val="0"/>
          <w:numId w:val="1007"/>
        </w:numPr>
      </w:pPr>
      <w:r>
        <w:t xml:space="preserve">Каковы основные задачи, решаемые инструментальным средством git?</w:t>
      </w:r>
    </w:p>
    <w:p>
      <w:pPr>
        <w:pStyle w:val="FirstParagraph"/>
      </w:pPr>
      <w:r>
        <w:t xml:space="preserve">Первая — хранить информацию о всех изменениях в вашем коде, начиная с самой первой строчки, а вторая — обеспечение удобства командной работы над кодом.</w:t>
      </w:r>
    </w:p>
    <w:p>
      <w:pPr>
        <w:pStyle w:val="Compact"/>
        <w:numPr>
          <w:ilvl w:val="0"/>
          <w:numId w:val="1008"/>
        </w:numPr>
      </w:pPr>
      <w:r>
        <w:t xml:space="preserve">Назовите и дайте краткую характеристику командам git.</w:t>
      </w:r>
    </w:p>
    <w:p>
      <w:pPr>
        <w:pStyle w:val="FirstParagraph"/>
      </w:pPr>
      <w:r>
        <w:t xml:space="preserve">Наиболее часто используемые команды git: • создание основного дерева репозитория: git init • получение обновлений (изменений) текущего дерева из центрального репозитория: git pull • отправка всех произведённых изменений локального дерева в центральный репозиторий: git push • просмотр списка изменённых файлов в текущей директории: git status • просмотр текущих изменения: git diff • сохранение текущих изменений: – добавить все изменённые и/или созданные файлы и/или каталоги: git add. – добавить конкретные изменённые и/или созданные файлы и/или каталоги: git add имена_файлов • удалить файл и/или каталог из индекса репозитория (при этом файл и/или каталог остаётся в локальной директории): git rm имена_файлов • сохранение добавленных изменений: – сохранить все добавленные изменения и все изменённые файлы: git commit -am</w:t>
      </w:r>
      <w:r>
        <w:t xml:space="preserve"> </w:t>
      </w:r>
      <w:r>
        <w:t xml:space="preserve">‘Описание коммита’</w:t>
      </w:r>
      <w:r>
        <w:t xml:space="preserve"> </w:t>
      </w:r>
      <w:r>
        <w:t xml:space="preserve">– сохранить добавленные изменения с внесением комментария через встроенный редактор git commit • создание новой ветки, базирующейся на текущей: git checkout -b имя_ветки • переключение на некоторую ветку: git checkout имя_ветки (при переключении на ветку, которой ещё нет в локальном репозитории, она будет создана и связана с удалённой) • отправка изменений конкретной ветки в центральный репозиторий: git push origin имя_ветки • слияние ветки с текущим деревом: git merge –no-ff имя_ветки • удаление ветки: – удаление локальной уже слитой с основным деревом ветки: git branch -d имя_ветки – принудительное удаление локальной ветки: git branch -D имя_ветки – удаление ветки с центрального репозитория: git push origin :имя_ветки</w:t>
      </w:r>
    </w:p>
    <w:p>
      <w:pPr>
        <w:pStyle w:val="Compact"/>
        <w:numPr>
          <w:ilvl w:val="0"/>
          <w:numId w:val="1009"/>
        </w:numPr>
      </w:pPr>
      <w:r>
        <w:t xml:space="preserve">Приведите примеры использования при работе с локальным и удалённым репозиториями.</w:t>
      </w:r>
    </w:p>
    <w:p>
      <w:pPr>
        <w:pStyle w:val="FirstParagraph"/>
      </w:pPr>
      <w:r>
        <w:t xml:space="preserve">git push –all (push origin master/любой branch)</w:t>
      </w:r>
    </w:p>
    <w:p>
      <w:pPr>
        <w:pStyle w:val="Compact"/>
        <w:numPr>
          <w:ilvl w:val="0"/>
          <w:numId w:val="1010"/>
        </w:numPr>
      </w:pPr>
      <w:r>
        <w:t xml:space="preserve">Что такое и зачем могут быть нужны ветви (branches)?</w:t>
      </w:r>
    </w:p>
    <w:p>
      <w:pPr>
        <w:pStyle w:val="FirstParagraph"/>
      </w:pPr>
      <w:r>
        <w:t xml:space="preserve">Ветвление («ветка», branch) — один из параллельных участков истории в одном хранилище, исходящих из одной версии (точки ветвления). [3] • Обычно есть главная ветка (master), или ствол (trunk). • Между ветками, то есть их концами, возможно слияние. Используются для разработки новых функций.</w:t>
      </w:r>
    </w:p>
    <w:p>
      <w:pPr>
        <w:pStyle w:val="Compact"/>
        <w:numPr>
          <w:ilvl w:val="0"/>
          <w:numId w:val="1011"/>
        </w:numPr>
      </w:pPr>
      <w:r>
        <w:t xml:space="preserve">Как и зачем можно игнорировать некоторые файлы при commit?</w:t>
      </w:r>
    </w:p>
    <w:p>
      <w:pPr>
        <w:pStyle w:val="FirstParagraph"/>
      </w:pPr>
      <w:r>
        <w:t xml:space="preserve">Во время работы над проектом так или иначе могут создаваться файлы, которые не требуется добавлять в последствии в репозиторий. Например, временные файлы, создаваемые редакторами, или объектные файлы, создаваемые компиляторами. Можно прописать шаблоны игнорируемых при добавлении в репозиторий типов файлов в файл .gitignore с помощью сервисов.</w:t>
      </w:r>
    </w:p>
    <w:bookmarkEnd w:id="64"/>
    <w:bookmarkStart w:id="65" w:name="выводы"/>
    <w:p>
      <w:pPr>
        <w:pStyle w:val="Heading1"/>
      </w:pPr>
      <w:r>
        <w:rPr>
          <w:rStyle w:val="SectionNumber"/>
        </w:rPr>
        <w:t xml:space="preserve">6</w:t>
      </w:r>
      <w:r>
        <w:tab/>
      </w:r>
      <w:r>
        <w:t xml:space="preserve">Выводы</w:t>
      </w:r>
    </w:p>
    <w:p>
      <w:pPr>
        <w:pStyle w:val="FirstParagraph"/>
      </w:pPr>
      <w:r>
        <w:t xml:space="preserve">В результате выполнения данной лабораторной работы я приобрела необходимые навыки работы с гит, научилась созданию репозиториев, gpg и ssh ключей, настроила каталог курса и авторизовалась в gh.</w:t>
      </w:r>
    </w:p>
    <w:bookmarkEnd w:id="65"/>
    <w:bookmarkStart w:id="67" w:name="список-литературы"/>
    <w:p>
      <w:pPr>
        <w:pStyle w:val="Heading1"/>
      </w:pPr>
      <w:r>
        <w:t xml:space="preserve">Список литературы</w:t>
      </w:r>
    </w:p>
    <w:bookmarkStart w:id="66" w:name="refs"/>
    <w:bookmarkEnd w:id="66"/>
    <w:bookmarkEnd w:id="6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image" Id="rId58" Target="media/rId5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№2</dc:title>
  <dc:creator>Клименко Алёна Сергеевна</dc:creator>
  <dc:language>ru-RU</dc:language>
  <cp:keywords/>
  <dcterms:created xsi:type="dcterms:W3CDTF">2025-03-06T20:17:05Z</dcterms:created>
  <dcterms:modified xsi:type="dcterms:W3CDTF">2025-03-06T20:17:05Z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DisplayTemplate">
    <vt:lpwstr>e</vt:lpwstr>
  </property>
  <property fmtid="{D5CDD505-2E9C-101B-9397-08002B2CF9AE}" pid="25" name="eqnIndexTemplate">
    <vt:lpwstr>(i)</vt:lpwstr>
  </property>
  <property fmtid="{D5CDD505-2E9C-101B-9397-08002B2CF9AE}" pid="26" name="eqnInlineTableTemplate">
    <vt:lpwstr>e</vt:lpwstr>
  </property>
  <property fmtid="{D5CDD505-2E9C-101B-9397-08002B2CF9AE}" pid="27" name="eqnInlineTemplate">
    <vt:lpwstr>eequationNumberTeX{i}</vt:lpwstr>
  </property>
  <property fmtid="{D5CDD505-2E9C-101B-9397-08002B2CF9AE}" pid="28" name="eqnPrefix">
    <vt:lpwstr/>
  </property>
  <property fmtid="{D5CDD505-2E9C-101B-9397-08002B2CF9AE}" pid="29" name="eqnPrefixTemplate">
    <vt:lpwstr>p i</vt:lpwstr>
  </property>
  <property fmtid="{D5CDD505-2E9C-101B-9397-08002B2CF9AE}" pid="30" name="equationNumberTeX">
    <vt:lpwstr>\qquad</vt:lpwstr>
  </property>
  <property fmtid="{D5CDD505-2E9C-101B-9397-08002B2CF9AE}" pid="31" name="figLabels">
    <vt:lpwstr>arabic</vt:lpwstr>
  </property>
  <property fmtid="{D5CDD505-2E9C-101B-9397-08002B2CF9AE}" pid="32" name="figPrefix">
    <vt:lpwstr/>
  </property>
  <property fmtid="{D5CDD505-2E9C-101B-9397-08002B2CF9AE}" pid="33" name="figPrefixTemplate">
    <vt:lpwstr>p i</vt:lpwstr>
  </property>
  <property fmtid="{D5CDD505-2E9C-101B-9397-08002B2CF9AE}" pid="34" name="figureTemplate">
    <vt:lpwstr>figureTitle ititleDelim t</vt:lpwstr>
  </property>
  <property fmtid="{D5CDD505-2E9C-101B-9397-08002B2CF9AE}" pid="35" name="figureTitle">
    <vt:lpwstr>Рис.</vt:lpwstr>
  </property>
  <property fmtid="{D5CDD505-2E9C-101B-9397-08002B2CF9AE}" pid="36" name="fontsize">
    <vt:lpwstr>12pt</vt:lpwstr>
  </property>
  <property fmtid="{D5CDD505-2E9C-101B-9397-08002B2CF9AE}" pid="37" name="header-includes">
    <vt:lpwstr/>
  </property>
  <property fmtid="{D5CDD505-2E9C-101B-9397-08002B2CF9AE}" pid="38" name="indent">
    <vt:lpwstr>True</vt:lpwstr>
  </property>
  <property fmtid="{D5CDD505-2E9C-101B-9397-08002B2CF9AE}" pid="39" name="lastDelim">
    <vt:lpwstr>, </vt:lpwstr>
  </property>
  <property fmtid="{D5CDD505-2E9C-101B-9397-08002B2CF9AE}" pid="40" name="linestretch">
    <vt:lpwstr>1.5</vt:lpwstr>
  </property>
  <property fmtid="{D5CDD505-2E9C-101B-9397-08002B2CF9AE}" pid="41" name="linkReferences">
    <vt:lpwstr>False</vt:lpwstr>
  </property>
  <property fmtid="{D5CDD505-2E9C-101B-9397-08002B2CF9AE}" pid="42" name="listItemTitleDelim">
    <vt:lpwstr>.</vt:lpwstr>
  </property>
  <property fmtid="{D5CDD505-2E9C-101B-9397-08002B2CF9AE}" pid="43" name="listingTemplate">
    <vt:lpwstr>listingTitle ititleDelim t</vt:lpwstr>
  </property>
  <property fmtid="{D5CDD505-2E9C-101B-9397-08002B2CF9AE}" pid="44" name="listingTitle">
    <vt:lpwstr>Листинг</vt:lpwstr>
  </property>
  <property fmtid="{D5CDD505-2E9C-101B-9397-08002B2CF9AE}" pid="45" name="listings">
    <vt:lpwstr>False</vt:lpwstr>
  </property>
  <property fmtid="{D5CDD505-2E9C-101B-9397-08002B2CF9AE}" pid="46" name="lof">
    <vt:lpwstr>True</vt:lpwstr>
  </property>
  <property fmtid="{D5CDD505-2E9C-101B-9397-08002B2CF9AE}" pid="47" name="lofItemTemplate">
    <vt:lpwstr>lofItemTitleilistItemTitleDelimt </vt:lpwstr>
  </property>
  <property fmtid="{D5CDD505-2E9C-101B-9397-08002B2CF9AE}" pid="48" name="lofItemTitle">
    <vt:lpwstr/>
  </property>
  <property fmtid="{D5CDD505-2E9C-101B-9397-08002B2CF9AE}" pid="49" name="lofTitle">
    <vt:lpwstr>Список иллюстраций</vt:lpwstr>
  </property>
  <property fmtid="{D5CDD505-2E9C-101B-9397-08002B2CF9AE}" pid="50" name="lolItemTemplate">
    <vt:lpwstr>lolItemTitleilistItemTitleDelimt </vt:lpwstr>
  </property>
  <property fmtid="{D5CDD505-2E9C-101B-9397-08002B2CF9AE}" pid="51" name="lolItemTitle">
    <vt:lpwstr/>
  </property>
  <property fmtid="{D5CDD505-2E9C-101B-9397-08002B2CF9AE}" pid="52" name="lolTitle">
    <vt:lpwstr>Листинги</vt:lpwstr>
  </property>
  <property fmtid="{D5CDD505-2E9C-101B-9397-08002B2CF9AE}" pid="53" name="lot">
    <vt:lpwstr>True</vt:lpwstr>
  </property>
  <property fmtid="{D5CDD505-2E9C-101B-9397-08002B2CF9AE}" pid="54" name="lotItemTemplate">
    <vt:lpwstr>lotItemTitleilistItemTitleDelimt </vt:lpwstr>
  </property>
  <property fmtid="{D5CDD505-2E9C-101B-9397-08002B2CF9AE}" pid="55" name="lotItemTitle">
    <vt:lpwstr/>
  </property>
  <property fmtid="{D5CDD505-2E9C-101B-9397-08002B2CF9AE}" pid="56" name="lotTitle">
    <vt:lpwstr>Список таблиц</vt:lpwstr>
  </property>
  <property fmtid="{D5CDD505-2E9C-101B-9397-08002B2CF9AE}" pid="57" name="lstLabels">
    <vt:lpwstr>arabic</vt:lpwstr>
  </property>
  <property fmtid="{D5CDD505-2E9C-101B-9397-08002B2CF9AE}" pid="58" name="lstPrefix">
    <vt:lpwstr/>
  </property>
  <property fmtid="{D5CDD505-2E9C-101B-9397-08002B2CF9AE}" pid="59" name="lstPrefixTemplate">
    <vt:lpwstr>p i</vt:lpwstr>
  </property>
  <property fmtid="{D5CDD505-2E9C-101B-9397-08002B2CF9AE}" pid="60" name="mainfont">
    <vt:lpwstr>IBM Plex Serif</vt:lpwstr>
  </property>
  <property fmtid="{D5CDD505-2E9C-101B-9397-08002B2CF9AE}" pid="61" name="mainfontoptions">
    <vt:lpwstr>Ligatures=Common,Ligatures=TeX,Scale=0.94</vt:lpwstr>
  </property>
  <property fmtid="{D5CDD505-2E9C-101B-9397-08002B2CF9AE}" pid="62" name="mathfont">
    <vt:lpwstr>STIX Two Math</vt:lpwstr>
  </property>
  <property fmtid="{D5CDD505-2E9C-101B-9397-08002B2CF9AE}" pid="63" name="mathfontoptions">
    <vt:lpwstr/>
  </property>
  <property fmtid="{D5CDD505-2E9C-101B-9397-08002B2CF9AE}" pid="64" name="monofont">
    <vt:lpwstr>IBM Plex Mono</vt:lpwstr>
  </property>
  <property fmtid="{D5CDD505-2E9C-101B-9397-08002B2CF9AE}" pid="65" name="monofontoptions">
    <vt:lpwstr>Scale=MatchLowercase,Scale=0.94,FakeStretch=0.9</vt:lpwstr>
  </property>
  <property fmtid="{D5CDD505-2E9C-101B-9397-08002B2CF9AE}" pid="66" name="nameInLink">
    <vt:lpwstr>False</vt:lpwstr>
  </property>
  <property fmtid="{D5CDD505-2E9C-101B-9397-08002B2CF9AE}" pid="67" name="numberSections">
    <vt:lpwstr>False</vt:lpwstr>
  </property>
  <property fmtid="{D5CDD505-2E9C-101B-9397-08002B2CF9AE}" pid="68" name="pairDelim">
    <vt:lpwstr>, </vt:lpwstr>
  </property>
  <property fmtid="{D5CDD505-2E9C-101B-9397-08002B2CF9AE}" pid="69" name="papersize">
    <vt:lpwstr>a4</vt:lpwstr>
  </property>
  <property fmtid="{D5CDD505-2E9C-101B-9397-08002B2CF9AE}" pid="70" name="polyglossia-lang">
    <vt:lpwstr/>
  </property>
  <property fmtid="{D5CDD505-2E9C-101B-9397-08002B2CF9AE}" pid="71" name="polyglossia-otherlangs">
    <vt:lpwstr/>
  </property>
  <property fmtid="{D5CDD505-2E9C-101B-9397-08002B2CF9AE}" pid="72" name="rangeDelim">
    <vt:lpwstr>-</vt:lpwstr>
  </property>
  <property fmtid="{D5CDD505-2E9C-101B-9397-08002B2CF9AE}" pid="73" name="refDelim">
    <vt:lpwstr>, </vt:lpwstr>
  </property>
  <property fmtid="{D5CDD505-2E9C-101B-9397-08002B2CF9AE}" pid="74" name="refIndexTemplate">
    <vt:lpwstr>isuf</vt:lpwstr>
  </property>
  <property fmtid="{D5CDD505-2E9C-101B-9397-08002B2CF9AE}" pid="75" name="romanfont">
    <vt:lpwstr>IBM Plex Serif</vt:lpwstr>
  </property>
  <property fmtid="{D5CDD505-2E9C-101B-9397-08002B2CF9AE}" pid="76" name="romanfontoptions">
    <vt:lpwstr>Ligatures=Common,Ligatures=TeX,Scale=0.94</vt:lpwstr>
  </property>
  <property fmtid="{D5CDD505-2E9C-101B-9397-08002B2CF9AE}" pid="77" name="sansfont">
    <vt:lpwstr>IBM Plex Sans</vt:lpwstr>
  </property>
  <property fmtid="{D5CDD505-2E9C-101B-9397-08002B2CF9AE}" pid="78" name="sansfontoptions">
    <vt:lpwstr>Ligatures=Common,Ligatures=TeX,Scale=MatchLowercase,Scale=0.94</vt:lpwstr>
  </property>
  <property fmtid="{D5CDD505-2E9C-101B-9397-08002B2CF9AE}" pid="79" name="secHeaderDelim">
    <vt:lpwstr> </vt:lpwstr>
  </property>
  <property fmtid="{D5CDD505-2E9C-101B-9397-08002B2CF9AE}" pid="80" name="secHeaderTemplate">
    <vt:lpwstr>isecHeaderDelim[n]t</vt:lpwstr>
  </property>
  <property fmtid="{D5CDD505-2E9C-101B-9397-08002B2CF9AE}" pid="81" name="secLabels">
    <vt:lpwstr>arabic</vt:lpwstr>
  </property>
  <property fmtid="{D5CDD505-2E9C-101B-9397-08002B2CF9AE}" pid="82" name="secPrefix">
    <vt:lpwstr/>
  </property>
  <property fmtid="{D5CDD505-2E9C-101B-9397-08002B2CF9AE}" pid="83" name="secPrefixTemplate">
    <vt:lpwstr>p i</vt:lpwstr>
  </property>
  <property fmtid="{D5CDD505-2E9C-101B-9397-08002B2CF9AE}" pid="84" name="sectionsDepth">
    <vt:lpwstr>0</vt:lpwstr>
  </property>
  <property fmtid="{D5CDD505-2E9C-101B-9397-08002B2CF9AE}" pid="85" name="subfigGrid">
    <vt:lpwstr>False</vt:lpwstr>
  </property>
  <property fmtid="{D5CDD505-2E9C-101B-9397-08002B2CF9AE}" pid="86" name="subfigLabels">
    <vt:lpwstr>alpha a</vt:lpwstr>
  </property>
  <property fmtid="{D5CDD505-2E9C-101B-9397-08002B2CF9AE}" pid="87" name="subfigureChildTemplate">
    <vt:lpwstr>i</vt:lpwstr>
  </property>
  <property fmtid="{D5CDD505-2E9C-101B-9397-08002B2CF9AE}" pid="88" name="subfigureRefIndexTemplate">
    <vt:lpwstr>isuf (s)</vt:lpwstr>
  </property>
  <property fmtid="{D5CDD505-2E9C-101B-9397-08002B2CF9AE}" pid="89" name="subfigureTemplate">
    <vt:lpwstr>figureTitle ititleDelim t. ccs</vt:lpwstr>
  </property>
  <property fmtid="{D5CDD505-2E9C-101B-9397-08002B2CF9AE}" pid="90" name="subtitle">
    <vt:lpwstr>Операционные системы</vt:lpwstr>
  </property>
  <property fmtid="{D5CDD505-2E9C-101B-9397-08002B2CF9AE}" pid="91" name="tableEqns">
    <vt:lpwstr>False</vt:lpwstr>
  </property>
  <property fmtid="{D5CDD505-2E9C-101B-9397-08002B2CF9AE}" pid="92" name="tableTemplate">
    <vt:lpwstr>tableTitle ititleDelim t</vt:lpwstr>
  </property>
  <property fmtid="{D5CDD505-2E9C-101B-9397-08002B2CF9AE}" pid="93" name="tableTitle">
    <vt:lpwstr>Таблица</vt:lpwstr>
  </property>
  <property fmtid="{D5CDD505-2E9C-101B-9397-08002B2CF9AE}" pid="94" name="tblLabels">
    <vt:lpwstr>arabic</vt:lpwstr>
  </property>
  <property fmtid="{D5CDD505-2E9C-101B-9397-08002B2CF9AE}" pid="95" name="tblPrefix">
    <vt:lpwstr/>
  </property>
  <property fmtid="{D5CDD505-2E9C-101B-9397-08002B2CF9AE}" pid="96" name="tblPrefixTemplate">
    <vt:lpwstr>p i</vt:lpwstr>
  </property>
  <property fmtid="{D5CDD505-2E9C-101B-9397-08002B2CF9AE}" pid="97" name="titleDelim">
    <vt:lpwstr>:</vt:lpwstr>
  </property>
  <property fmtid="{D5CDD505-2E9C-101B-9397-08002B2CF9AE}" pid="98" name="toc">
    <vt:lpwstr>True</vt:lpwstr>
  </property>
  <property fmtid="{D5CDD505-2E9C-101B-9397-08002B2CF9AE}" pid="99" name="toc-depth">
    <vt:lpwstr>2</vt:lpwstr>
  </property>
  <property fmtid="{D5CDD505-2E9C-101B-9397-08002B2CF9AE}" pid="100" name="toc-title">
    <vt:lpwstr>Содержание</vt:lpwstr>
  </property>
</Properties>
</file>