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595959"/>
          <w:sz w:val="24"/>
          <w:szCs w:val="24"/>
          <w:rtl/>
        </w:rPr>
        <w:t xml:space="preserve">شركة الروابي للتمويل</w:t>
      </w:r>
    </w:p>
    <w:p>
      <w:pPr>
        <w:pStyle w:val="Title"/>
        <w:bidi/>
        <w:spacing w:after="100"/>
        <w:jc w:val="right"/>
      </w:pPr>
      <w:r>
        <w:rPr>
          <w:rFonts w:ascii="Arial" w:cs="Arial" w:eastAsia="Arial" w:hAnsi="Arial"/>
          <w:b/>
          <w:bCs/>
          <w:color w:val="1F3864"/>
          <w:sz w:val="36"/>
          <w:szCs w:val="36"/>
          <w:rtl/>
        </w:rPr>
        <w:t xml:space="preserve">سياسة أمن المعلومات (داخلية)</w:t>
      </w:r>
    </w:p>
    <w:p>
      <w:pPr>
        <w:pBdr>
          <w:bottom w:val="single" w:color="AAAAAA" w:sz="6" w:space="8"/>
        </w:pBdr>
        <w:bidi/>
        <w:spacing w:after="360"/>
        <w:jc w:val="right"/>
      </w:pPr>
      <w:r>
        <w:rPr>
          <w:rFonts w:ascii="Arial" w:cs="Arial" w:eastAsia="Arial" w:hAnsi="Arial"/>
          <w:i/>
          <w:iCs/>
          <w:color w:val="595959"/>
          <w:sz w:val="20"/>
          <w:szCs w:val="20"/>
          <w:rtl/>
        </w:rPr>
        <w:t xml:space="preserve">مالك الوثيقة: إدارة تقنية المعلومات  |  الإصدار: 2.1  |  آخر مراجعة: 2025</w:t>
      </w:r>
    </w:p>
    <w:p>
      <w:pPr>
        <w:pStyle w:val="Heading2"/>
        <w:bidi/>
        <w:spacing w:after="120" w:before="320"/>
        <w:jc w:val="right"/>
      </w:pPr>
      <w:r>
        <w:rPr>
          <w:rFonts w:ascii="Arial" w:cs="Arial" w:eastAsia="Arial" w:hAnsi="Arial"/>
          <w:b/>
          <w:bCs/>
          <w:color w:val="1F3864"/>
          <w:sz w:val="26"/>
          <w:szCs w:val="26"/>
          <w:rtl/>
        </w:rPr>
        <w:t xml:space="preserve">1. الحوكمة</w:t>
      </w:r>
    </w:p>
    <w:p>
      <w:pPr>
        <w:bidi/>
        <w:spacing w:after="160" w:line="340"/>
        <w:jc w:val="both"/>
      </w:pPr>
      <w:r>
        <w:rPr>
          <w:rFonts w:ascii="Arial" w:cs="Arial" w:eastAsia="Arial" w:hAnsi="Arial"/>
          <w:sz w:val="22"/>
          <w:szCs w:val="22"/>
          <w:rtl/>
        </w:rPr>
        <w:t xml:space="preserve">أنشأت شركة الروابي للتمويل لجنة داخلية لأمن تقنية المعلومات تجتمع بصفة غير رسمية وعند الحاجة لمناقشة الشؤون الأمنية. ويرأس اللجنة مدير إدارة تقنية المعلومات، وتضم ممثلين عن إدارتي العمليات والالتزام. ولا يوجد حالياً ميثاق رسمي للجنة، ولا تواتر ثابت للاجتماعات، ولا منصب مخصص لرئيس أمن المعلومات (CISO)؛ إذ يتولى مدير تقنية المعلومات مسؤوليات الأمن إلى جانب مهامه الاعتيادية.</w:t>
      </w:r>
    </w:p>
    <w:p>
      <w:pPr>
        <w:pStyle w:val="Heading2"/>
        <w:bidi/>
        <w:spacing w:after="120" w:before="320"/>
        <w:jc w:val="right"/>
      </w:pPr>
      <w:r>
        <w:rPr>
          <w:rFonts w:ascii="Arial" w:cs="Arial" w:eastAsia="Arial" w:hAnsi="Arial"/>
          <w:b/>
          <w:bCs/>
          <w:color w:val="1F3864"/>
          <w:sz w:val="26"/>
          <w:szCs w:val="26"/>
          <w:rtl/>
        </w:rPr>
        <w:t xml:space="preserve">2. سياسة أمن المعلومات</w:t>
      </w:r>
    </w:p>
    <w:p>
      <w:pPr>
        <w:bidi/>
        <w:spacing w:after="160" w:line="340"/>
        <w:jc w:val="both"/>
      </w:pPr>
      <w:r>
        <w:rPr>
          <w:rFonts w:ascii="Arial" w:cs="Arial" w:eastAsia="Arial" w:hAnsi="Arial"/>
          <w:sz w:val="22"/>
          <w:szCs w:val="22"/>
          <w:rtl/>
        </w:rPr>
        <w:t xml:space="preserve">تُراجَع وثيقة سياسة أمن المعلومات هذه سنوياً وتُعتمد من المدير العام. وتُنشر على موقع SharePoint الداخلي، ويُطلب من جميع الموظفين الإقرار بالاطلاع عليها أثناء إجراءات التعيين.</w:t>
      </w:r>
    </w:p>
    <w:p>
      <w:pPr>
        <w:pStyle w:val="Heading2"/>
        <w:bidi/>
        <w:spacing w:after="120" w:before="320"/>
        <w:jc w:val="right"/>
      </w:pPr>
      <w:r>
        <w:rPr>
          <w:rFonts w:ascii="Arial" w:cs="Arial" w:eastAsia="Arial" w:hAnsi="Arial"/>
          <w:b/>
          <w:bCs/>
          <w:color w:val="1F3864"/>
          <w:sz w:val="26"/>
          <w:szCs w:val="26"/>
          <w:rtl/>
        </w:rPr>
        <w:t xml:space="preserve">3. إدارة المخاطر</w:t>
      </w:r>
    </w:p>
    <w:p>
      <w:pPr>
        <w:bidi/>
        <w:spacing w:after="160" w:line="340"/>
        <w:jc w:val="both"/>
      </w:pPr>
      <w:r>
        <w:rPr>
          <w:rFonts w:ascii="Arial" w:cs="Arial" w:eastAsia="Arial" w:hAnsi="Arial"/>
          <w:sz w:val="22"/>
          <w:szCs w:val="22"/>
          <w:rtl/>
        </w:rPr>
        <w:t xml:space="preserve">لا تمتلك الشركة حالياً عملية رسمية موثّقة لإدارة مخاطر الأمن السيبراني. وتُتخذ القرارات المتعلقة بالمخاطر (مثل اعتماد مورّد جديد أو نظام جديد) بشكل غير رسمي من مدير تقنية المعلومات على أساس كل حالة على حدة، دون سجل مخاطر منظم، أو بيان لمستوى تقبّل المخاطر، أو جدول دوري لتقييم المخاطر.</w:t>
      </w:r>
    </w:p>
    <w:p>
      <w:pPr>
        <w:pStyle w:val="Heading2"/>
        <w:bidi/>
        <w:spacing w:after="120" w:before="320"/>
        <w:jc w:val="right"/>
      </w:pPr>
      <w:r>
        <w:rPr>
          <w:rFonts w:ascii="Arial" w:cs="Arial" w:eastAsia="Arial" w:hAnsi="Arial"/>
          <w:b/>
          <w:bCs/>
          <w:color w:val="1F3864"/>
          <w:sz w:val="26"/>
          <w:szCs w:val="26"/>
          <w:rtl/>
        </w:rPr>
        <w:t xml:space="preserve">4. الموارد البشرية والتوعية</w:t>
      </w:r>
    </w:p>
    <w:p>
      <w:pPr>
        <w:bidi/>
        <w:spacing w:after="160" w:line="340"/>
        <w:jc w:val="both"/>
      </w:pPr>
      <w:r>
        <w:rPr>
          <w:rFonts w:ascii="Arial" w:cs="Arial" w:eastAsia="Arial" w:hAnsi="Arial"/>
          <w:sz w:val="22"/>
          <w:szCs w:val="22"/>
          <w:rtl/>
        </w:rPr>
        <w:t xml:space="preserve">يتلقى الموظفون الجدد إحاطة توعوية أمنية لمرة واحدة أثناء إجراءات التعيين تغطي ممارسات كلمات المرور السليمة، والتعرف على رسائل التصيّد، والاستخدام المقبول لأنظمة الشركة. ولا يوجد حالياً برنامج تدريب سنوي متكرر، ولا يُقدَّم تدريب تقني متخصص لموظفي تقنية المعلومات في مواضيع الأمن السيبراني.</w:t>
      </w:r>
    </w:p>
    <w:p>
      <w:pPr>
        <w:pStyle w:val="Heading2"/>
        <w:bidi/>
        <w:spacing w:after="120" w:before="320"/>
        <w:jc w:val="right"/>
      </w:pPr>
      <w:r>
        <w:rPr>
          <w:rFonts w:ascii="Arial" w:cs="Arial" w:eastAsia="Arial" w:hAnsi="Arial"/>
          <w:b/>
          <w:bCs/>
          <w:color w:val="1F3864"/>
          <w:sz w:val="26"/>
          <w:szCs w:val="26"/>
          <w:rtl/>
        </w:rPr>
        <w:t xml:space="preserve">5. إدارة الهوية والدخول</w:t>
      </w:r>
    </w:p>
    <w:p>
      <w:pPr>
        <w:bidi/>
        <w:spacing w:after="160" w:line="340"/>
        <w:jc w:val="both"/>
      </w:pPr>
      <w:r>
        <w:rPr>
          <w:rFonts w:ascii="Arial" w:cs="Arial" w:eastAsia="Arial" w:hAnsi="Arial"/>
          <w:sz w:val="22"/>
          <w:szCs w:val="22"/>
          <w:rtl/>
        </w:rPr>
        <w:t xml:space="preserve">تتطلب جميع حسابات الموظفين المصادقة متعددة العوامل (MFA) للدخول إلى البريد الإلكتروني والشبكة الخاصة الافتراضية (VPN) والأنظمة المصرفية الأساسية. وتُمنح صلاحيات الدخول بناءً على الدور الوظيفي (التحكم في الدخول القائم على الأدوار)، ويراجعها مدير تقنية المعلومات بشكل ربع سنوي. وتُلغى صلاحيات الموظفين المغادرين خلال 24 ساعة من آخر يوم عمل لهم، بتأكيد من إدارة الموارد البشرية.</w:t>
      </w:r>
    </w:p>
    <w:p>
      <w:pPr>
        <w:pStyle w:val="Heading2"/>
        <w:bidi/>
        <w:spacing w:after="120" w:before="320"/>
        <w:jc w:val="right"/>
      </w:pPr>
      <w:r>
        <w:rPr>
          <w:rFonts w:ascii="Arial" w:cs="Arial" w:eastAsia="Arial" w:hAnsi="Arial"/>
          <w:b/>
          <w:bCs/>
          <w:color w:val="1F3864"/>
          <w:sz w:val="26"/>
          <w:szCs w:val="26"/>
          <w:rtl/>
        </w:rPr>
        <w:t xml:space="preserve">6. التشفير</w:t>
      </w:r>
    </w:p>
    <w:p>
      <w:pPr>
        <w:bidi/>
        <w:spacing w:after="160" w:line="340"/>
        <w:jc w:val="both"/>
      </w:pPr>
      <w:r>
        <w:rPr>
          <w:rFonts w:ascii="Arial" w:cs="Arial" w:eastAsia="Arial" w:hAnsi="Arial"/>
          <w:sz w:val="22"/>
          <w:szCs w:val="22"/>
          <w:rtl/>
        </w:rPr>
        <w:t xml:space="preserve">تُشفَّر جميع بيانات العملاء أثناء التخزين باستخدام خوارزمية AES-256، وأثناء النقل باستخدام بروتوكول TLS 1.2 أو أعلى. وتُدار مفاتيح التشفير عبر وحدة إدارة المفاتيح المدمجة في نظام المورّد المصرفي الأساسي، والتي اعتمدتها إدارة تقنية المعلومات عند شراء النظام في الأصل.</w:t>
      </w:r>
    </w:p>
    <w:p>
      <w:pPr>
        <w:pStyle w:val="Heading2"/>
        <w:bidi/>
        <w:spacing w:after="120" w:before="320"/>
        <w:jc w:val="right"/>
      </w:pPr>
      <w:r>
        <w:rPr>
          <w:rFonts w:ascii="Arial" w:cs="Arial" w:eastAsia="Arial" w:hAnsi="Arial"/>
          <w:b/>
          <w:bCs/>
          <w:color w:val="1F3864"/>
          <w:sz w:val="26"/>
          <w:szCs w:val="26"/>
          <w:rtl/>
        </w:rPr>
        <w:t xml:space="preserve">7. الأمن المادي</w:t>
      </w:r>
    </w:p>
    <w:p>
      <w:pPr>
        <w:bidi/>
        <w:spacing w:after="160" w:line="340"/>
        <w:jc w:val="both"/>
      </w:pPr>
      <w:r>
        <w:rPr>
          <w:rFonts w:ascii="Arial" w:cs="Arial" w:eastAsia="Arial" w:hAnsi="Arial"/>
          <w:sz w:val="22"/>
          <w:szCs w:val="22"/>
          <w:rtl/>
        </w:rPr>
        <w:t xml:space="preserve">يُحمى مركز البيانات في المقر الرئيسي عبر نظام تحكم بالدخول بالبطاقات التعريفية، وتغطية بكاميرات المراقبة، وسجل لتسجيل دخول الزوار. ويقتصر الدخول إلى غرفة الخوادم على موظفي تقنية المعلومات فقط.</w:t>
      </w:r>
    </w:p>
    <w:p>
      <w:pPr>
        <w:pStyle w:val="Heading2"/>
        <w:bidi/>
        <w:spacing w:after="120" w:before="320"/>
        <w:jc w:val="right"/>
      </w:pPr>
      <w:r>
        <w:rPr>
          <w:rFonts w:ascii="Arial" w:cs="Arial" w:eastAsia="Arial" w:hAnsi="Arial"/>
          <w:b/>
          <w:bCs/>
          <w:color w:val="1F3864"/>
          <w:sz w:val="26"/>
          <w:szCs w:val="26"/>
          <w:rtl/>
        </w:rPr>
        <w:t xml:space="preserve">8. إدارة حوادث الأمن السيبراني</w:t>
      </w:r>
    </w:p>
    <w:p>
      <w:pPr>
        <w:bidi/>
        <w:spacing w:after="160" w:line="340"/>
        <w:jc w:val="both"/>
      </w:pPr>
      <w:r>
        <w:rPr>
          <w:rFonts w:ascii="Arial" w:cs="Arial" w:eastAsia="Arial" w:hAnsi="Arial"/>
          <w:sz w:val="22"/>
          <w:szCs w:val="22"/>
          <w:rtl/>
        </w:rPr>
        <w:t xml:space="preserve">يُوجَّه الموظفون إلى الإبلاغ عن أي حادثة أمنية مشتبه بها إلى مكتب دعم تقنية المعلومات عبر البريد الإلكتروني أو الهاتف. ولا توجد خطة موثّقة رسمياً للاستجابة للحوادث، ولا تصنيف محدد لمستويات خطورة الحوادث، ولا فريق مخصص للاستجابة؛ إذ تُعالَج الحوادث بشكل تفاعلي من قِبل أي موظف متاح في إدارة تقنية المعلومات.</w:t>
      </w:r>
    </w:p>
    <w:p>
      <w:pPr>
        <w:pStyle w:val="Heading2"/>
        <w:bidi/>
        <w:spacing w:after="120" w:before="320"/>
        <w:jc w:val="right"/>
      </w:pPr>
      <w:r>
        <w:rPr>
          <w:rFonts w:ascii="Arial" w:cs="Arial" w:eastAsia="Arial" w:hAnsi="Arial"/>
          <w:b/>
          <w:bCs/>
          <w:color w:val="1F3864"/>
          <w:sz w:val="26"/>
          <w:szCs w:val="26"/>
          <w:rtl/>
        </w:rPr>
        <w:t xml:space="preserve">9. إدارة الأطراف الخارجية والموردين</w:t>
      </w:r>
    </w:p>
    <w:p>
      <w:pPr>
        <w:bidi/>
        <w:spacing w:after="160" w:line="340"/>
        <w:jc w:val="both"/>
      </w:pPr>
      <w:r>
        <w:rPr>
          <w:rFonts w:ascii="Arial" w:cs="Arial" w:eastAsia="Arial" w:hAnsi="Arial"/>
          <w:sz w:val="22"/>
          <w:szCs w:val="22"/>
          <w:rtl/>
        </w:rPr>
        <w:t xml:space="preserve">يُلزَم جميع الموردين الذين لديهم صلاحية الوصول إلى أنظمة الشركة بتوقيع اتفاقية عدم إفصاح (NDA) نموذجية قبل بدء التعامل. ولا يُجرى حالياً أي تقييم رسمي للمخاطر الأمنية أو استبيان أمني للموردين قبل التعاقد أو أثناءه.</w:t>
      </w:r>
    </w:p>
    <w:p>
      <w:pPr>
        <w:pStyle w:val="Heading2"/>
        <w:bidi/>
        <w:spacing w:after="120" w:before="320"/>
        <w:jc w:val="right"/>
      </w:pPr>
      <w:r>
        <w:rPr>
          <w:rFonts w:ascii="Arial" w:cs="Arial" w:eastAsia="Arial" w:hAnsi="Arial"/>
          <w:b/>
          <w:bCs/>
          <w:color w:val="1F3864"/>
          <w:sz w:val="26"/>
          <w:szCs w:val="26"/>
          <w:rtl/>
        </w:rPr>
        <w:t xml:space="preserve">10. إدارة التغيير</w:t>
      </w:r>
    </w:p>
    <w:p>
      <w:pPr>
        <w:bidi/>
        <w:spacing w:after="160" w:line="340"/>
        <w:jc w:val="both"/>
      </w:pPr>
      <w:r>
        <w:rPr>
          <w:rFonts w:ascii="Arial" w:cs="Arial" w:eastAsia="Arial" w:hAnsi="Arial"/>
          <w:sz w:val="22"/>
          <w:szCs w:val="22"/>
          <w:rtl/>
        </w:rPr>
        <w:t xml:space="preserve">تتطلب التغييرات على الأنظمة في بيئات الإنتاج اعتماداً من مدير تقنية المعلومات عبر البريد الإلكتروني قبل التطبيق. وتُسجَّل التغييرات في جدول بيانات مشترك. ولا توجد لجنة رسمية لاعتماد التغييرات (CAB) ولا اشتراط لاختبار إجراءات التراجع.</w:t>
      </w:r>
    </w:p>
    <w:p>
      <w:pPr>
        <w:pStyle w:val="Heading2"/>
        <w:bidi/>
        <w:spacing w:after="120" w:before="320"/>
        <w:jc w:val="right"/>
      </w:pPr>
      <w:r>
        <w:rPr>
          <w:rFonts w:ascii="Arial" w:cs="Arial" w:eastAsia="Arial" w:hAnsi="Arial"/>
          <w:b/>
          <w:bCs/>
          <w:color w:val="1F3864"/>
          <w:sz w:val="26"/>
          <w:szCs w:val="26"/>
          <w:rtl/>
        </w:rPr>
        <w:t xml:space="preserve">11. خدمات المدفوعات والخدمات المصرفية الإلكترونية</w:t>
      </w:r>
    </w:p>
    <w:p>
      <w:pPr>
        <w:bidi/>
        <w:spacing w:after="160" w:line="340"/>
        <w:jc w:val="both"/>
      </w:pPr>
      <w:r>
        <w:rPr>
          <w:rFonts w:ascii="Arial" w:cs="Arial" w:eastAsia="Arial" w:hAnsi="Arial"/>
          <w:sz w:val="22"/>
          <w:szCs w:val="22"/>
          <w:rtl/>
        </w:rPr>
        <w:t xml:space="preserve">يُوزَّع تطبيق الخدمات المصرفية عبر الهاتف المحمول الخاص بالشركة حصرياً من خلال متجر Apple App Store الرسمي ومتجر Google Play. وتُنفَّذ مراقبة العمليات لرصد الأنماط غير الاعتيادية عبر وحدة كشف الاحتيال المدمجة في نظام المورّد المصرفي الأساسي.</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2026-08-02T09:26:03.048Z</dcterms:created>
  <dcterms:modified xsi:type="dcterms:W3CDTF">2026-08-02T09:26:03.059Z</dcterms:modified>
</cp:coreProperties>
</file>

<file path=docProps/custom.xml><?xml version="1.0" encoding="utf-8"?>
<Properties xmlns="http://schemas.openxmlformats.org/officeDocument/2006/custom-properties" xmlns:vt="http://schemas.openxmlformats.org/officeDocument/2006/docPropsVTypes"/>
</file>